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5CDD7" w14:textId="77777777" w:rsidR="00DA1440" w:rsidRDefault="00DA1440" w:rsidP="00DA1440">
      <w:r>
        <w:rPr>
          <w:noProof/>
        </w:rPr>
        <w:drawing>
          <wp:anchor distT="0" distB="0" distL="114300" distR="114300" simplePos="0" relativeHeight="251659264" behindDoc="0" locked="0" layoutInCell="1" allowOverlap="1" wp14:anchorId="5BE9FA96" wp14:editId="3A3F438E">
            <wp:simplePos x="0" y="0"/>
            <wp:positionH relativeFrom="margin">
              <wp:align>left</wp:align>
            </wp:positionH>
            <wp:positionV relativeFrom="paragraph">
              <wp:posOffset>0</wp:posOffset>
            </wp:positionV>
            <wp:extent cx="2926080" cy="685800"/>
            <wp:effectExtent l="0" t="0" r="7620" b="0"/>
            <wp:wrapSquare wrapText="bothSides"/>
            <wp:docPr id="283123973" name="Afbeelding 1" descr="Afbeelding met Lettertype, tekst,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23973" name="Afbeelding 1" descr="Afbeelding met Lettertype, tekst, Graphics, grafische vormgeving&#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26080" cy="685800"/>
                    </a:xfrm>
                    <a:prstGeom prst="rect">
                      <a:avLst/>
                    </a:prstGeom>
                  </pic:spPr>
                </pic:pic>
              </a:graphicData>
            </a:graphic>
            <wp14:sizeRelH relativeFrom="margin">
              <wp14:pctWidth>0</wp14:pctWidth>
            </wp14:sizeRelH>
            <wp14:sizeRelV relativeFrom="margin">
              <wp14:pctHeight>0</wp14:pctHeight>
            </wp14:sizeRelV>
          </wp:anchor>
        </w:drawing>
      </w:r>
    </w:p>
    <w:p w14:paraId="37B693DD" w14:textId="77777777" w:rsidR="00DA1440" w:rsidRDefault="00DA1440" w:rsidP="00DA1440"/>
    <w:p w14:paraId="72534832" w14:textId="77777777" w:rsidR="00DA1440" w:rsidRDefault="00DA1440" w:rsidP="00DA1440"/>
    <w:p w14:paraId="000587E0" w14:textId="77777777" w:rsidR="00DA1440" w:rsidRDefault="00DA1440" w:rsidP="00DA1440"/>
    <w:p w14:paraId="6F3A4A74" w14:textId="77777777" w:rsidR="00DA1440" w:rsidRDefault="00DA1440" w:rsidP="00DA1440"/>
    <w:p w14:paraId="2A47392F" w14:textId="77777777" w:rsidR="00DA1440" w:rsidRDefault="00DA1440" w:rsidP="00DA1440"/>
    <w:p w14:paraId="096976DA" w14:textId="77777777" w:rsidR="00DA1440" w:rsidRDefault="00DA1440" w:rsidP="00DA1440"/>
    <w:p w14:paraId="2E013435" w14:textId="77777777" w:rsidR="00DA1440" w:rsidRDefault="00DA1440" w:rsidP="00DA1440">
      <w:pPr>
        <w:pStyle w:val="Geenafstand"/>
      </w:pPr>
    </w:p>
    <w:p w14:paraId="7F3C92C4" w14:textId="77777777" w:rsidR="00DA1440" w:rsidRDefault="00DA1440" w:rsidP="00DA1440">
      <w:pPr>
        <w:pStyle w:val="Geenafstand"/>
      </w:pPr>
    </w:p>
    <w:p w14:paraId="51D76E46" w14:textId="77777777" w:rsidR="00DA1440" w:rsidRDefault="00DA1440" w:rsidP="00DA1440">
      <w:pPr>
        <w:pStyle w:val="Geenafstand"/>
      </w:pPr>
    </w:p>
    <w:p w14:paraId="50AE640C" w14:textId="77777777" w:rsidR="00DA1440" w:rsidRDefault="00DA1440" w:rsidP="00DA1440">
      <w:pPr>
        <w:pStyle w:val="Geenafstand"/>
      </w:pPr>
    </w:p>
    <w:p w14:paraId="4D40FA6C" w14:textId="77777777" w:rsidR="00DA1440" w:rsidRDefault="00DA1440" w:rsidP="00DA1440">
      <w:pPr>
        <w:pStyle w:val="Geenafstand"/>
      </w:pPr>
    </w:p>
    <w:p w14:paraId="50D3E7CF" w14:textId="77777777" w:rsidR="00DA1440" w:rsidRDefault="00DA1440" w:rsidP="00DA1440">
      <w:pPr>
        <w:pStyle w:val="Geenafstand"/>
      </w:pPr>
    </w:p>
    <w:p w14:paraId="6C70E396" w14:textId="77777777" w:rsidR="00DA1440" w:rsidRDefault="00DA1440" w:rsidP="00DA1440">
      <w:pPr>
        <w:pStyle w:val="Geenafstand"/>
      </w:pPr>
    </w:p>
    <w:p w14:paraId="41D7E734" w14:textId="77777777" w:rsidR="00DA1440" w:rsidRDefault="00DA1440" w:rsidP="00DA1440">
      <w:pPr>
        <w:pStyle w:val="Geenafstand"/>
        <w:jc w:val="left"/>
        <w:rPr>
          <w:b/>
          <w:bCs/>
          <w:sz w:val="40"/>
          <w:szCs w:val="40"/>
        </w:rPr>
      </w:pPr>
      <w:r>
        <w:rPr>
          <w:b/>
          <w:bCs/>
          <w:sz w:val="40"/>
          <w:szCs w:val="40"/>
        </w:rPr>
        <w:t>Steekpenningen en strafrecht</w:t>
      </w:r>
    </w:p>
    <w:p w14:paraId="12CD9D85" w14:textId="77777777" w:rsidR="00DA1440" w:rsidRDefault="00DA1440" w:rsidP="00DA1440">
      <w:pPr>
        <w:pStyle w:val="Geenafstand"/>
        <w:jc w:val="left"/>
        <w:rPr>
          <w:sz w:val="28"/>
          <w:szCs w:val="28"/>
        </w:rPr>
      </w:pPr>
      <w:r w:rsidRPr="00AB542F">
        <w:rPr>
          <w:b/>
          <w:bCs/>
          <w:noProof/>
          <w:color w:val="ADADAD" w:themeColor="background2" w:themeShade="BF"/>
          <w:sz w:val="40"/>
          <w:szCs w:val="40"/>
        </w:rPr>
        <mc:AlternateContent>
          <mc:Choice Requires="wps">
            <w:drawing>
              <wp:anchor distT="0" distB="0" distL="114300" distR="114300" simplePos="0" relativeHeight="251660288" behindDoc="0" locked="0" layoutInCell="1" allowOverlap="1" wp14:anchorId="280F6A1E" wp14:editId="7266B7F8">
                <wp:simplePos x="0" y="0"/>
                <wp:positionH relativeFrom="margin">
                  <wp:posOffset>-635</wp:posOffset>
                </wp:positionH>
                <wp:positionV relativeFrom="paragraph">
                  <wp:posOffset>94615</wp:posOffset>
                </wp:positionV>
                <wp:extent cx="4284000" cy="0"/>
                <wp:effectExtent l="0" t="0" r="0" b="0"/>
                <wp:wrapNone/>
                <wp:docPr id="1440115446" name="Rechte verbindingslijn 2"/>
                <wp:cNvGraphicFramePr/>
                <a:graphic xmlns:a="http://schemas.openxmlformats.org/drawingml/2006/main">
                  <a:graphicData uri="http://schemas.microsoft.com/office/word/2010/wordprocessingShape">
                    <wps:wsp>
                      <wps:cNvCnPr/>
                      <wps:spPr>
                        <a:xfrm>
                          <a:off x="0" y="0"/>
                          <a:ext cx="4284000" cy="0"/>
                        </a:xfrm>
                        <a:prstGeom prst="line">
                          <a:avLst/>
                        </a:prstGeom>
                        <a:ln>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2B3672" id="Rechte verbindingslijn 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7.45pt" to="337.2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" strokecolor="#bfbfbf [2412]" strokeweight=".5pt">
                <v:stroke joinstyle="miter"/>
                <w10:wrap anchorx="margin"/>
              </v:line>
            </w:pict>
          </mc:Fallback>
        </mc:AlternateContent>
      </w:r>
    </w:p>
    <w:p w14:paraId="7520B2CE" w14:textId="77777777" w:rsidR="00DA1440" w:rsidRDefault="00DA1440" w:rsidP="00DA1440">
      <w:pPr>
        <w:pStyle w:val="Geenafstand"/>
        <w:jc w:val="left"/>
        <w:rPr>
          <w:color w:val="ADADAD" w:themeColor="background2" w:themeShade="BF"/>
          <w:sz w:val="28"/>
          <w:szCs w:val="28"/>
        </w:rPr>
      </w:pPr>
      <w:r w:rsidRPr="00AB542F">
        <w:rPr>
          <w:color w:val="ADADAD" w:themeColor="background2" w:themeShade="BF"/>
          <w:sz w:val="28"/>
          <w:szCs w:val="28"/>
        </w:rPr>
        <w:t xml:space="preserve">Een </w:t>
      </w:r>
      <w:r>
        <w:rPr>
          <w:color w:val="ADADAD" w:themeColor="background2" w:themeShade="BF"/>
          <w:sz w:val="28"/>
          <w:szCs w:val="28"/>
        </w:rPr>
        <w:t xml:space="preserve">vergelijkend </w:t>
      </w:r>
      <w:r w:rsidRPr="00AB542F">
        <w:rPr>
          <w:color w:val="ADADAD" w:themeColor="background2" w:themeShade="BF"/>
          <w:sz w:val="28"/>
          <w:szCs w:val="28"/>
        </w:rPr>
        <w:t xml:space="preserve">onderzoek naar de </w:t>
      </w:r>
      <w:r>
        <w:rPr>
          <w:color w:val="ADADAD" w:themeColor="background2" w:themeShade="BF"/>
          <w:sz w:val="28"/>
          <w:szCs w:val="28"/>
        </w:rPr>
        <w:t xml:space="preserve">argumentatie achter het </w:t>
      </w:r>
    </w:p>
    <w:p w14:paraId="02789196" w14:textId="77777777" w:rsidR="00DA1440" w:rsidRDefault="00DA1440" w:rsidP="00DA1440">
      <w:pPr>
        <w:pStyle w:val="Geenafstand"/>
        <w:jc w:val="left"/>
        <w:rPr>
          <w:color w:val="ADADAD" w:themeColor="background2" w:themeShade="BF"/>
          <w:sz w:val="28"/>
          <w:szCs w:val="28"/>
        </w:rPr>
      </w:pPr>
      <w:r>
        <w:rPr>
          <w:color w:val="ADADAD" w:themeColor="background2" w:themeShade="BF"/>
          <w:sz w:val="28"/>
          <w:szCs w:val="28"/>
        </w:rPr>
        <w:t>al dan niet expliciet strafbaar stellen van handel in invloed</w:t>
      </w:r>
    </w:p>
    <w:p w14:paraId="6675C7A2" w14:textId="77777777" w:rsidR="00DA1440" w:rsidRDefault="00DA1440" w:rsidP="00DA1440">
      <w:pPr>
        <w:pStyle w:val="Geenafstand"/>
        <w:jc w:val="left"/>
        <w:rPr>
          <w:color w:val="ADADAD" w:themeColor="background2" w:themeShade="BF"/>
          <w:sz w:val="28"/>
          <w:szCs w:val="28"/>
        </w:rPr>
      </w:pPr>
    </w:p>
    <w:p w14:paraId="4F788F22" w14:textId="77777777" w:rsidR="00DA1440" w:rsidRDefault="00DA1440" w:rsidP="00DA1440">
      <w:pPr>
        <w:pStyle w:val="Geenafstand"/>
        <w:jc w:val="left"/>
        <w:rPr>
          <w:color w:val="ADADAD" w:themeColor="background2" w:themeShade="BF"/>
          <w:sz w:val="28"/>
          <w:szCs w:val="28"/>
        </w:rPr>
      </w:pPr>
    </w:p>
    <w:p w14:paraId="5F17F0CE" w14:textId="77777777" w:rsidR="00DA1440" w:rsidRDefault="00DA1440" w:rsidP="00DA1440">
      <w:pPr>
        <w:pStyle w:val="Geenafstand"/>
        <w:jc w:val="left"/>
        <w:rPr>
          <w:color w:val="ADADAD" w:themeColor="background2" w:themeShade="BF"/>
          <w:sz w:val="28"/>
          <w:szCs w:val="28"/>
        </w:rPr>
      </w:pPr>
    </w:p>
    <w:p w14:paraId="347DE66E" w14:textId="77777777" w:rsidR="00DA1440" w:rsidRDefault="00DA1440" w:rsidP="00DA1440">
      <w:pPr>
        <w:pStyle w:val="Geenafstand"/>
        <w:jc w:val="left"/>
        <w:rPr>
          <w:color w:val="ADADAD" w:themeColor="background2" w:themeShade="BF"/>
          <w:sz w:val="28"/>
          <w:szCs w:val="28"/>
        </w:rPr>
      </w:pPr>
    </w:p>
    <w:p w14:paraId="5CFDCA66" w14:textId="77777777" w:rsidR="00DA1440" w:rsidRDefault="00DA1440" w:rsidP="00DA1440">
      <w:pPr>
        <w:pStyle w:val="Geenafstand"/>
        <w:jc w:val="left"/>
        <w:rPr>
          <w:color w:val="ADADAD" w:themeColor="background2" w:themeShade="BF"/>
          <w:sz w:val="28"/>
          <w:szCs w:val="28"/>
        </w:rPr>
      </w:pPr>
    </w:p>
    <w:p w14:paraId="0F4A8CFD" w14:textId="77777777" w:rsidR="00DA1440" w:rsidRDefault="00DA1440" w:rsidP="00DA1440">
      <w:pPr>
        <w:pStyle w:val="Geenafstand"/>
        <w:jc w:val="left"/>
        <w:rPr>
          <w:color w:val="ADADAD" w:themeColor="background2" w:themeShade="BF"/>
          <w:sz w:val="28"/>
          <w:szCs w:val="28"/>
        </w:rPr>
      </w:pPr>
    </w:p>
    <w:p w14:paraId="3A0F88E6" w14:textId="77777777" w:rsidR="00DA1440" w:rsidRDefault="00DA1440" w:rsidP="00DA1440">
      <w:pPr>
        <w:pStyle w:val="Geenafstand"/>
        <w:jc w:val="center"/>
        <w:rPr>
          <w:color w:val="ADADAD" w:themeColor="background2" w:themeShade="BF"/>
          <w:sz w:val="28"/>
          <w:szCs w:val="28"/>
        </w:rPr>
      </w:pPr>
    </w:p>
    <w:p w14:paraId="0103A1DF" w14:textId="77777777" w:rsidR="00DA1440" w:rsidRDefault="00DA1440" w:rsidP="00DA1440">
      <w:pPr>
        <w:pStyle w:val="Geenafstand"/>
        <w:jc w:val="left"/>
        <w:rPr>
          <w:color w:val="ADADAD" w:themeColor="background2" w:themeShade="BF"/>
          <w:sz w:val="28"/>
          <w:szCs w:val="28"/>
        </w:rPr>
      </w:pPr>
    </w:p>
    <w:p w14:paraId="036591FA" w14:textId="77777777" w:rsidR="00DA1440" w:rsidRDefault="00DA1440" w:rsidP="00DA1440">
      <w:pPr>
        <w:pStyle w:val="Geenafstand"/>
        <w:jc w:val="left"/>
        <w:rPr>
          <w:color w:val="ADADAD" w:themeColor="background2" w:themeShade="BF"/>
          <w:sz w:val="28"/>
          <w:szCs w:val="28"/>
        </w:rPr>
      </w:pPr>
    </w:p>
    <w:p w14:paraId="6A9DCC81" w14:textId="77777777" w:rsidR="00DA1440" w:rsidRDefault="00DA1440" w:rsidP="00DA1440">
      <w:pPr>
        <w:pStyle w:val="Geenafstand"/>
        <w:jc w:val="left"/>
        <w:rPr>
          <w:color w:val="ADADAD" w:themeColor="background2" w:themeShade="BF"/>
          <w:sz w:val="28"/>
          <w:szCs w:val="28"/>
        </w:rPr>
      </w:pPr>
    </w:p>
    <w:p w14:paraId="42BB6E67" w14:textId="77777777" w:rsidR="00DA1440" w:rsidRDefault="00DA1440" w:rsidP="00DA1440">
      <w:pPr>
        <w:pStyle w:val="Geenafstand"/>
        <w:jc w:val="left"/>
        <w:rPr>
          <w:color w:val="ADADAD" w:themeColor="background2" w:themeShade="BF"/>
          <w:sz w:val="28"/>
          <w:szCs w:val="28"/>
        </w:rPr>
      </w:pPr>
    </w:p>
    <w:p w14:paraId="2B873179" w14:textId="77777777" w:rsidR="00DA1440" w:rsidRDefault="00DA1440" w:rsidP="00DA1440">
      <w:pPr>
        <w:pStyle w:val="Geenafstand"/>
        <w:jc w:val="left"/>
        <w:rPr>
          <w:color w:val="ADADAD" w:themeColor="background2" w:themeShade="BF"/>
          <w:sz w:val="28"/>
          <w:szCs w:val="28"/>
        </w:rPr>
      </w:pPr>
    </w:p>
    <w:p w14:paraId="7C81B071" w14:textId="77777777" w:rsidR="00DA1440" w:rsidRDefault="00DA1440" w:rsidP="00DA1440">
      <w:pPr>
        <w:pStyle w:val="Geenafstand"/>
        <w:jc w:val="left"/>
        <w:rPr>
          <w:color w:val="ADADAD" w:themeColor="background2" w:themeShade="BF"/>
          <w:sz w:val="28"/>
          <w:szCs w:val="28"/>
        </w:rPr>
      </w:pPr>
    </w:p>
    <w:p w14:paraId="165AD5D1" w14:textId="77777777" w:rsidR="00DA1440" w:rsidRDefault="00DA1440" w:rsidP="00DA1440">
      <w:pPr>
        <w:pStyle w:val="Geenafstand"/>
        <w:jc w:val="left"/>
        <w:rPr>
          <w:color w:val="ADADAD" w:themeColor="background2" w:themeShade="BF"/>
          <w:sz w:val="28"/>
          <w:szCs w:val="28"/>
        </w:rPr>
      </w:pPr>
    </w:p>
    <w:p w14:paraId="35C962A8" w14:textId="77777777" w:rsidR="00DA1440" w:rsidRDefault="00DA1440" w:rsidP="00DA1440">
      <w:pPr>
        <w:pStyle w:val="Geenafstand"/>
        <w:jc w:val="left"/>
        <w:rPr>
          <w:color w:val="ADADAD" w:themeColor="background2" w:themeShade="BF"/>
          <w:sz w:val="28"/>
          <w:szCs w:val="28"/>
        </w:rPr>
      </w:pPr>
    </w:p>
    <w:p w14:paraId="09DA958F" w14:textId="77777777" w:rsidR="00DA1440" w:rsidRDefault="00DA1440" w:rsidP="00DA1440">
      <w:pPr>
        <w:pStyle w:val="Geenafstand"/>
        <w:jc w:val="left"/>
        <w:rPr>
          <w:color w:val="ADADAD" w:themeColor="background2" w:themeShade="BF"/>
          <w:sz w:val="28"/>
          <w:szCs w:val="28"/>
        </w:rPr>
      </w:pPr>
    </w:p>
    <w:p w14:paraId="21A85037" w14:textId="77777777" w:rsidR="00DA1440" w:rsidRDefault="00DA1440" w:rsidP="00DA1440">
      <w:pPr>
        <w:pStyle w:val="Geenafstand"/>
        <w:jc w:val="left"/>
        <w:rPr>
          <w:color w:val="ADADAD" w:themeColor="background2" w:themeShade="BF"/>
          <w:sz w:val="28"/>
          <w:szCs w:val="28"/>
        </w:rPr>
      </w:pPr>
    </w:p>
    <w:p w14:paraId="511A0979" w14:textId="77777777" w:rsidR="00DA1440" w:rsidRDefault="00DA1440" w:rsidP="00DA1440">
      <w:pPr>
        <w:pStyle w:val="Geenafstand"/>
        <w:jc w:val="left"/>
        <w:rPr>
          <w:color w:val="ADADAD" w:themeColor="background2" w:themeShade="BF"/>
          <w:sz w:val="28"/>
          <w:szCs w:val="28"/>
        </w:rPr>
      </w:pPr>
    </w:p>
    <w:p w14:paraId="6EEA4956" w14:textId="77777777" w:rsidR="00DA1440" w:rsidRDefault="00DA1440" w:rsidP="00DA1440">
      <w:pPr>
        <w:pStyle w:val="Geenafstand"/>
        <w:jc w:val="right"/>
      </w:pPr>
      <w:r>
        <w:t>Rijksuniversiteit Groningen</w:t>
      </w:r>
    </w:p>
    <w:p w14:paraId="2D0C550A" w14:textId="77777777" w:rsidR="00DA1440" w:rsidRDefault="00DA1440" w:rsidP="00DA1440">
      <w:pPr>
        <w:pStyle w:val="Geenafstand"/>
        <w:jc w:val="right"/>
      </w:pPr>
      <w:r>
        <w:t>Masterscriptie Nederlands recht: Strafrecht (Togamaster)</w:t>
      </w:r>
    </w:p>
    <w:p w14:paraId="4D273095" w14:textId="77777777" w:rsidR="00DA1440" w:rsidRDefault="00DA1440" w:rsidP="00DA1440">
      <w:pPr>
        <w:pStyle w:val="Geenafstand"/>
        <w:jc w:val="right"/>
      </w:pPr>
      <w:r>
        <w:t>Inleverdatum: 24 juni 2026</w:t>
      </w:r>
    </w:p>
    <w:p w14:paraId="737F96B2" w14:textId="77777777" w:rsidR="00DA1440" w:rsidRDefault="00DA1440" w:rsidP="00DA1440">
      <w:pPr>
        <w:pStyle w:val="Geenafstand"/>
        <w:jc w:val="right"/>
      </w:pPr>
    </w:p>
    <w:p w14:paraId="00C53150" w14:textId="77777777" w:rsidR="00DA1440" w:rsidRDefault="00DA1440" w:rsidP="00DA1440">
      <w:pPr>
        <w:pStyle w:val="Geenafstand"/>
        <w:jc w:val="right"/>
      </w:pPr>
      <w:r>
        <w:t>Lars Krale</w:t>
      </w:r>
    </w:p>
    <w:p w14:paraId="28018D46" w14:textId="77777777" w:rsidR="00DA1440" w:rsidRDefault="00DA1440" w:rsidP="00DA1440">
      <w:pPr>
        <w:pStyle w:val="Geenafstand"/>
        <w:jc w:val="right"/>
      </w:pPr>
      <w:r>
        <w:t>S4085469</w:t>
      </w:r>
    </w:p>
    <w:p w14:paraId="5E958DA5" w14:textId="60C7B803" w:rsidR="00DA1440" w:rsidRDefault="00DA1440" w:rsidP="00DA1440">
      <w:pPr>
        <w:pStyle w:val="Geenafstand"/>
        <w:jc w:val="right"/>
      </w:pPr>
      <w:r>
        <w:t>Scriptiebegeleider: mr.</w:t>
      </w:r>
      <w:r w:rsidR="00BA36DC">
        <w:t xml:space="preserve"> dr.</w:t>
      </w:r>
      <w:r>
        <w:t xml:space="preserve"> W. Geelhoed</w:t>
      </w:r>
    </w:p>
    <w:p w14:paraId="2A67E8C5" w14:textId="77777777" w:rsidR="00DA1440" w:rsidRDefault="00DA1440" w:rsidP="00DA1440">
      <w:pPr>
        <w:pStyle w:val="Geenafstand"/>
        <w:jc w:val="right"/>
      </w:pPr>
    </w:p>
    <w:p w14:paraId="6F59860F" w14:textId="77777777" w:rsidR="00DA1440" w:rsidRDefault="00DA1440" w:rsidP="00DA1440">
      <w:pPr>
        <w:pStyle w:val="Geenafstand"/>
      </w:pPr>
    </w:p>
    <w:p w14:paraId="5878EC00" w14:textId="77777777" w:rsidR="00DA1440" w:rsidRDefault="00DA1440" w:rsidP="00DA1440">
      <w:pPr>
        <w:pStyle w:val="Geenafstand"/>
      </w:pPr>
    </w:p>
    <w:p w14:paraId="3202B443" w14:textId="77777777" w:rsidR="00DA1440" w:rsidRDefault="00DA1440" w:rsidP="00DA1440">
      <w:pPr>
        <w:pStyle w:val="Geenafstand"/>
      </w:pPr>
    </w:p>
    <w:p w14:paraId="2CCA3646" w14:textId="77777777" w:rsidR="00DA1440" w:rsidRDefault="00DA1440" w:rsidP="00DA1440">
      <w:pPr>
        <w:pStyle w:val="Geenafstand"/>
      </w:pPr>
    </w:p>
    <w:p w14:paraId="6490DD4A" w14:textId="77777777" w:rsidR="00DA1440" w:rsidRDefault="00DA1440" w:rsidP="00DA1440">
      <w:pPr>
        <w:pStyle w:val="Geenafstand"/>
      </w:pPr>
    </w:p>
    <w:p w14:paraId="24865320" w14:textId="77777777" w:rsidR="00DA1440" w:rsidRDefault="00DA1440" w:rsidP="00DA1440">
      <w:pPr>
        <w:pStyle w:val="Geenafstand"/>
      </w:pPr>
    </w:p>
    <w:p w14:paraId="502FB409" w14:textId="77777777" w:rsidR="00DA1440" w:rsidRDefault="00DA1440" w:rsidP="00DA1440">
      <w:pPr>
        <w:pStyle w:val="Geenafstand"/>
      </w:pPr>
    </w:p>
    <w:p w14:paraId="511AAD10" w14:textId="77777777" w:rsidR="00DA1440" w:rsidRDefault="00DA1440" w:rsidP="00DA1440">
      <w:pPr>
        <w:pStyle w:val="Geenafstand"/>
      </w:pPr>
    </w:p>
    <w:p w14:paraId="076E18F4" w14:textId="77777777" w:rsidR="00DA1440" w:rsidRDefault="00DA1440" w:rsidP="00DA1440">
      <w:pPr>
        <w:pStyle w:val="Geenafstand"/>
      </w:pPr>
    </w:p>
    <w:p w14:paraId="25C00FD3" w14:textId="77777777" w:rsidR="00DA1440" w:rsidRDefault="00DA1440" w:rsidP="00DA1440">
      <w:pPr>
        <w:pStyle w:val="Geenafstand"/>
      </w:pPr>
    </w:p>
    <w:p w14:paraId="542BDA8F" w14:textId="77777777" w:rsidR="00DA1440" w:rsidRDefault="00DA1440" w:rsidP="00DA1440">
      <w:pPr>
        <w:pStyle w:val="Geenafstand"/>
      </w:pPr>
    </w:p>
    <w:p w14:paraId="316C6FAD" w14:textId="77777777" w:rsidR="00DA1440" w:rsidRDefault="00DA1440" w:rsidP="00DA1440">
      <w:pPr>
        <w:pStyle w:val="Geenafstand"/>
      </w:pPr>
    </w:p>
    <w:p w14:paraId="2804FD84" w14:textId="77777777" w:rsidR="00DA1440" w:rsidRDefault="00DA1440" w:rsidP="00DA1440">
      <w:pPr>
        <w:pStyle w:val="Geenafstand"/>
      </w:pPr>
    </w:p>
    <w:p w14:paraId="627E773C" w14:textId="77777777" w:rsidR="00DA1440" w:rsidRDefault="00DA1440" w:rsidP="00DA1440">
      <w:pPr>
        <w:pStyle w:val="Geenafstand"/>
      </w:pPr>
    </w:p>
    <w:p w14:paraId="28B1212C" w14:textId="77777777" w:rsidR="00DA1440" w:rsidRDefault="00DA1440" w:rsidP="00DA1440">
      <w:pPr>
        <w:pStyle w:val="Geenafstand"/>
      </w:pPr>
    </w:p>
    <w:p w14:paraId="2E526FCD" w14:textId="77777777" w:rsidR="00DA1440" w:rsidRDefault="00DA1440" w:rsidP="00DA1440">
      <w:pPr>
        <w:pStyle w:val="Geenafstand"/>
      </w:pPr>
    </w:p>
    <w:p w14:paraId="2B97C4A5" w14:textId="77777777" w:rsidR="00DA1440" w:rsidRDefault="00DA1440" w:rsidP="00DA1440">
      <w:pPr>
        <w:pStyle w:val="Geenafstand"/>
      </w:pPr>
      <w:r>
        <w:t>Steekpenningen en strafrecht</w:t>
      </w:r>
    </w:p>
    <w:p w14:paraId="785FB81E" w14:textId="77777777" w:rsidR="00DA1440" w:rsidRDefault="00DA1440" w:rsidP="00DA1440">
      <w:pPr>
        <w:pStyle w:val="Geenafstand"/>
      </w:pPr>
      <w:r>
        <w:br w:type="page"/>
      </w:r>
    </w:p>
    <w:p w14:paraId="0B27505C" w14:textId="77777777" w:rsidR="00DA1440" w:rsidRDefault="00DA1440" w:rsidP="00DA1440">
      <w:pPr>
        <w:pStyle w:val="Geenafstand"/>
        <w:rPr>
          <w:b/>
          <w:bCs/>
          <w:sz w:val="28"/>
          <w:szCs w:val="28"/>
        </w:rPr>
      </w:pPr>
      <w:r>
        <w:rPr>
          <w:b/>
          <w:bCs/>
          <w:sz w:val="28"/>
          <w:szCs w:val="28"/>
        </w:rPr>
        <w:lastRenderedPageBreak/>
        <w:t>Voorwoord</w:t>
      </w:r>
    </w:p>
    <w:p w14:paraId="7E429DD4" w14:textId="77777777" w:rsidR="00DA1440" w:rsidRDefault="00DA1440" w:rsidP="00DA1440">
      <w:pPr>
        <w:pStyle w:val="Geenafstand"/>
      </w:pPr>
    </w:p>
    <w:p w14:paraId="5CADC7FF" w14:textId="77777777" w:rsidR="00DA1440" w:rsidRDefault="00DA1440" w:rsidP="00DA1440">
      <w:pPr>
        <w:pStyle w:val="Geenafstand"/>
      </w:pPr>
      <w:r>
        <w:t>De Vereenigde Oostindische Compagnie (VOC) was gedurende een groot deel van haar (bijna) tweehonderdjarig bestaan het grootste handelsbedrijf ter wereld. Het succes van de VOC kwam echter niet ten goede aan een deel van het personeel, dat een mager salaris had. Bovendien hadden personeelsleden met een hogere positie en dito salaris de behoefte aan meer rijkdom en status.</w:t>
      </w:r>
      <w:r>
        <w:rPr>
          <w:rStyle w:val="Voetnootmarkering"/>
        </w:rPr>
        <w:footnoteReference w:id="1"/>
      </w:r>
      <w:r>
        <w:t xml:space="preserve"> Corruptie ten behoeve van persoonlijk gewin werd daardoor endemisch binnen de VOC. In 1800 ging de Compagnie failliet. In de volksmond werd de oorzaak gevonden en uitgedrukt in een nieuwe betekenis van de afkorting VOC: ‘Vergaan Onder Corruptie’.</w:t>
      </w:r>
      <w:r>
        <w:rPr>
          <w:rStyle w:val="Voetnootmarkering"/>
        </w:rPr>
        <w:footnoteReference w:id="2"/>
      </w:r>
    </w:p>
    <w:p w14:paraId="11DE76C1" w14:textId="77777777" w:rsidR="00DA1440" w:rsidRDefault="00DA1440" w:rsidP="00DA1440">
      <w:pPr>
        <w:pStyle w:val="Geenafstand"/>
      </w:pPr>
    </w:p>
    <w:p w14:paraId="1E7E79EB" w14:textId="77777777" w:rsidR="00DA1440" w:rsidRDefault="00DA1440" w:rsidP="00DA1440">
      <w:pPr>
        <w:pStyle w:val="Geenafstand"/>
      </w:pPr>
      <w:r>
        <w:t>Corruptie kon dus bijdragen aan de neergang van het grootste handelsbedrijf ter wereld.</w:t>
      </w:r>
      <w:r>
        <w:rPr>
          <w:rStyle w:val="Voetnootmarkering"/>
        </w:rPr>
        <w:footnoteReference w:id="3"/>
      </w:r>
      <w:r>
        <w:t xml:space="preserve"> Het fenomeen is echter niet alleen buitengewoon schadelijk in het bedrijfsleven, maar ook in het openbaar bestuur. Specifiek ambtelijke corruptie schaadt namelijk het vertrouwen van de samenleving in de integriteit van het openbaar bestuur.</w:t>
      </w:r>
      <w:r>
        <w:rPr>
          <w:rStyle w:val="Voetnootmarkering"/>
        </w:rPr>
        <w:footnoteReference w:id="4"/>
      </w:r>
      <w:r>
        <w:t xml:space="preserve"> De wetgever merkte hierover op:</w:t>
      </w:r>
    </w:p>
    <w:p w14:paraId="751801DD" w14:textId="77777777" w:rsidR="00DA1440" w:rsidRDefault="00DA1440" w:rsidP="00DA1440">
      <w:pPr>
        <w:pStyle w:val="Geenafstand"/>
      </w:pPr>
    </w:p>
    <w:p w14:paraId="350C5ECA" w14:textId="77777777" w:rsidR="00DA1440" w:rsidRDefault="00DA1440" w:rsidP="00DA1440">
      <w:pPr>
        <w:pStyle w:val="Geenafstand"/>
      </w:pPr>
      <w:r>
        <w:t>“</w:t>
      </w:r>
      <w:r w:rsidRPr="00BE034D">
        <w:t>Het aannemen van geschenken door een ambtenaar (…) schokt het algemeen vertrouwen, knakt het gezag en de waardigheid van den stand waartoe hij behoort, en doet bij het publiek de meening veld winnen dat zoodanige middelen noodig zijn om den beambte te nopen tot het vervullen van zijn pligt</w:t>
      </w:r>
      <w:r>
        <w:t>.”</w:t>
      </w:r>
      <w:r>
        <w:rPr>
          <w:rStyle w:val="Voetnootmarkering"/>
        </w:rPr>
        <w:footnoteReference w:id="5"/>
      </w:r>
    </w:p>
    <w:p w14:paraId="369D4D9D" w14:textId="77777777" w:rsidR="00DA1440" w:rsidRDefault="00DA1440" w:rsidP="00DA1440">
      <w:pPr>
        <w:pStyle w:val="Geenafstand"/>
      </w:pPr>
    </w:p>
    <w:p w14:paraId="4BB75EE5" w14:textId="77777777" w:rsidR="00DA1440" w:rsidRDefault="00DA1440" w:rsidP="00DA1440">
      <w:pPr>
        <w:pStyle w:val="Geenafstand"/>
      </w:pPr>
      <w:r>
        <w:t>Bovendien maakt de georganiseerde misdaad gretig gebruik van corrupte ambtenaren. Dankzij het doorverkopen van persoonsgegevens, zoals adressen, worden ernstige geweldsincidenten mogelijk gemaakt.</w:t>
      </w:r>
      <w:r>
        <w:rPr>
          <w:rStyle w:val="Voetnootmarkering"/>
        </w:rPr>
        <w:footnoteReference w:id="6"/>
      </w:r>
    </w:p>
    <w:p w14:paraId="54C04F62" w14:textId="77777777" w:rsidR="00DA1440" w:rsidRDefault="00DA1440" w:rsidP="00DA1440">
      <w:pPr>
        <w:pStyle w:val="Geenafstand"/>
      </w:pPr>
    </w:p>
    <w:p w14:paraId="70B2346C" w14:textId="77777777" w:rsidR="00DA1440" w:rsidRDefault="00DA1440" w:rsidP="00DA1440">
      <w:pPr>
        <w:pStyle w:val="Geenafstand"/>
      </w:pPr>
      <w:r>
        <w:t>Gelet op de grote gevaren die gepaard gaan met corruptie, is de bestrijding ervan van groot belang. De afgelopen vier jaar heeft de Nederlandse aanpak van corruptie regelmatig in de schijnwerpers gestaan. Met name de strafrechtelijke onderzoeken gericht op Neelie Kroes en Richard de Mos stonden in de belangstelling. Met deze aandacht voor corruptiebestrijding kwam ook kritiek. Op drie manieren is recent forse kritiek geuit op de Nederlandse aanpak van corruptie.</w:t>
      </w:r>
    </w:p>
    <w:p w14:paraId="7F91FA8F" w14:textId="77777777" w:rsidR="00DA1440" w:rsidRDefault="00DA1440" w:rsidP="00DA1440">
      <w:pPr>
        <w:pStyle w:val="Geenafstand"/>
        <w:ind w:firstLine="708"/>
      </w:pPr>
      <w:r>
        <w:t xml:space="preserve">Ten eerste wordt Nederland volgens </w:t>
      </w:r>
      <w:r>
        <w:rPr>
          <w:i/>
          <w:iCs/>
        </w:rPr>
        <w:t xml:space="preserve">Transparency International </w:t>
      </w:r>
      <w:r>
        <w:t>in de perceptie van de respondenten steeds corrupter.</w:t>
      </w:r>
      <w:r>
        <w:rPr>
          <w:rStyle w:val="Voetnootmarkering"/>
        </w:rPr>
        <w:footnoteReference w:id="7"/>
      </w:r>
      <w:r>
        <w:t xml:space="preserve"> Dat zou onder andere te wijten zijn aan gebrekkig politiek leiderschap.</w:t>
      </w:r>
      <w:r>
        <w:rPr>
          <w:rStyle w:val="Voetnootmarkering"/>
        </w:rPr>
        <w:footnoteReference w:id="8"/>
      </w:r>
      <w:r>
        <w:t xml:space="preserve"> In de </w:t>
      </w:r>
      <w:r>
        <w:rPr>
          <w:i/>
          <w:iCs/>
        </w:rPr>
        <w:t>Corruption Perceptions Index</w:t>
      </w:r>
      <w:r>
        <w:t xml:space="preserve"> van </w:t>
      </w:r>
      <w:r>
        <w:rPr>
          <w:i/>
          <w:iCs/>
        </w:rPr>
        <w:t xml:space="preserve">Transparency International </w:t>
      </w:r>
      <w:r>
        <w:t>behaalde Nederland in 2024 de slechtste score in twaalf jaar.</w:t>
      </w:r>
      <w:r>
        <w:rPr>
          <w:rStyle w:val="Voetnootmarkering"/>
        </w:rPr>
        <w:footnoteReference w:id="9"/>
      </w:r>
      <w:r>
        <w:t xml:space="preserve"> In 2025 bleef Nederland steken op deze historisch slechte score.</w:t>
      </w:r>
      <w:r>
        <w:rPr>
          <w:rStyle w:val="Voetnootmarkering"/>
        </w:rPr>
        <w:footnoteReference w:id="10"/>
      </w:r>
    </w:p>
    <w:p w14:paraId="1E462C5F" w14:textId="77777777" w:rsidR="00DA1440" w:rsidRDefault="00DA1440" w:rsidP="00DA1440">
      <w:pPr>
        <w:pStyle w:val="Geenafstand"/>
        <w:ind w:firstLine="708"/>
      </w:pPr>
      <w:r>
        <w:t>Ten tweede schreven Nederlandse ambtenaren in een intern rapport uit 2024 dat het Nederlandse corruptiebeleid ‘naïef’ is. Bovendien pleitten zij voor een stevigere inzet op (strafrechtelijke) repressie.</w:t>
      </w:r>
      <w:r>
        <w:rPr>
          <w:rStyle w:val="Voetnootmarkering"/>
        </w:rPr>
        <w:footnoteReference w:id="11"/>
      </w:r>
    </w:p>
    <w:p w14:paraId="05210C10" w14:textId="77777777" w:rsidR="00DA1440" w:rsidRDefault="00DA1440" w:rsidP="00DA1440">
      <w:pPr>
        <w:pStyle w:val="Geenafstand"/>
        <w:ind w:firstLine="708"/>
      </w:pPr>
      <w:r>
        <w:lastRenderedPageBreak/>
        <w:t xml:space="preserve">Ten derde waren het Openbaar Ministerie (OM) en de Rijksrecherche, volgens onder andere het </w:t>
      </w:r>
      <w:r>
        <w:rPr>
          <w:i/>
          <w:iCs/>
        </w:rPr>
        <w:t>NRC</w:t>
      </w:r>
      <w:r>
        <w:t>, van mening dat de huidige strafwetgeving ontoereikend is om corruptie te vervolgen. De reden daarvoor was dat ‘handel in invloed’ in Nederland niet expliciet strafbaar is gesteld. Hierbij werd verwezen naar het strafrechtelijk onderzoek naar het handelen van oud-Eurocommissaris Neelie Kroes.</w:t>
      </w:r>
      <w:r>
        <w:rPr>
          <w:rStyle w:val="Voetnootmarkering"/>
        </w:rPr>
        <w:footnoteReference w:id="12"/>
      </w:r>
      <w:r>
        <w:t xml:space="preserve"> Overigens waren onderzoekers van </w:t>
      </w:r>
      <w:r>
        <w:rPr>
          <w:i/>
          <w:iCs/>
        </w:rPr>
        <w:t xml:space="preserve">Transparency International Nederland </w:t>
      </w:r>
      <w:r>
        <w:t>van mening dat “Nederland internationale anti-corruptieregels aan de laars lapt”, door handel in invloed niet expliciet strafbaar te stellen.</w:t>
      </w:r>
      <w:r>
        <w:rPr>
          <w:rStyle w:val="Voetnootmarkering"/>
        </w:rPr>
        <w:footnoteReference w:id="13"/>
      </w:r>
    </w:p>
    <w:p w14:paraId="5FD8633B" w14:textId="77777777" w:rsidR="00DA1440" w:rsidRDefault="00DA1440" w:rsidP="00DA1440">
      <w:pPr>
        <w:pStyle w:val="Geenafstand"/>
      </w:pPr>
    </w:p>
    <w:p w14:paraId="0B63A8BA" w14:textId="77777777" w:rsidR="00DA1440" w:rsidRDefault="00DA1440" w:rsidP="00DA1440">
      <w:pPr>
        <w:pStyle w:val="Geenafstand"/>
      </w:pPr>
      <w:r>
        <w:t>Kortom: met de kritiek op de Nederlandse aanpak van corruptie, kwam ook de roep om expliciete strafbaarstelling van handel in invloed.</w:t>
      </w:r>
      <w:r>
        <w:rPr>
          <w:rStyle w:val="Voetnootmarkering"/>
        </w:rPr>
        <w:footnoteReference w:id="14"/>
      </w:r>
      <w:r>
        <w:t xml:space="preserve"> Deze roep heeft mijn aandacht getrokken. Ik ben me daarom gaan verdiepen in de discussie in Nederland rondom expliciete strafbaarstelling van handel in invloed. Met deze scriptie wil ik die discussie uitdiepen en verhelderen.</w:t>
      </w:r>
    </w:p>
    <w:p w14:paraId="094C9654" w14:textId="77777777" w:rsidR="00DA1440" w:rsidRDefault="00DA1440" w:rsidP="00DA1440">
      <w:pPr>
        <w:pStyle w:val="Geenafstand"/>
      </w:pPr>
    </w:p>
    <w:p w14:paraId="5A2FD52D" w14:textId="77777777" w:rsidR="00DA1440" w:rsidRDefault="00DA1440" w:rsidP="00DA1440">
      <w:pPr>
        <w:pStyle w:val="Geenafstand"/>
      </w:pPr>
      <w:r>
        <w:t>Lars Krale</w:t>
      </w:r>
    </w:p>
    <w:p w14:paraId="7812162E" w14:textId="77777777" w:rsidR="00DA1440" w:rsidRDefault="00DA1440" w:rsidP="00DA1440">
      <w:pPr>
        <w:pStyle w:val="Geenafstand"/>
      </w:pPr>
    </w:p>
    <w:p w14:paraId="68E9E60F" w14:textId="77777777" w:rsidR="00DA1440" w:rsidRDefault="00DA1440" w:rsidP="00DA1440">
      <w:pPr>
        <w:pStyle w:val="Geenafstand"/>
      </w:pPr>
      <w:r>
        <w:t>Groningen, juni 2026</w:t>
      </w:r>
    </w:p>
    <w:p w14:paraId="702BB752" w14:textId="77777777" w:rsidR="00DA1440" w:rsidRDefault="00DA1440" w:rsidP="00DA1440">
      <w:pPr>
        <w:pStyle w:val="Geenafstand"/>
      </w:pPr>
      <w:r>
        <w:br w:type="page"/>
      </w:r>
    </w:p>
    <w:sdt>
      <w:sdtPr>
        <w:rPr>
          <w:rFonts w:ascii="Times New Roman" w:eastAsiaTheme="minorHAnsi" w:hAnsi="Times New Roman" w:cstheme="minorBidi"/>
          <w:color w:val="auto"/>
          <w:kern w:val="2"/>
          <w:sz w:val="22"/>
          <w:szCs w:val="22"/>
          <w:lang w:eastAsia="en-US"/>
          <w14:ligatures w14:val="standardContextual"/>
        </w:rPr>
        <w:id w:val="1957444529"/>
        <w:docPartObj>
          <w:docPartGallery w:val="Table of Contents"/>
          <w:docPartUnique/>
        </w:docPartObj>
      </w:sdtPr>
      <w:sdtEndPr>
        <w:rPr>
          <w:b/>
          <w:bCs/>
        </w:rPr>
      </w:sdtEndPr>
      <w:sdtContent>
        <w:p w14:paraId="5824B7E1" w14:textId="77777777" w:rsidR="00DA1440" w:rsidRPr="00983FDF" w:rsidRDefault="00DA1440" w:rsidP="00DA1440">
          <w:pPr>
            <w:pStyle w:val="Kopvaninhoudsopgave"/>
            <w:rPr>
              <w:rFonts w:ascii="Times New Roman" w:hAnsi="Times New Roman" w:cs="Times New Roman"/>
              <w:b/>
              <w:bCs/>
              <w:color w:val="auto"/>
              <w:sz w:val="28"/>
              <w:szCs w:val="28"/>
            </w:rPr>
          </w:pPr>
          <w:r w:rsidRPr="00983FDF">
            <w:rPr>
              <w:rFonts w:ascii="Times New Roman" w:hAnsi="Times New Roman" w:cs="Times New Roman"/>
              <w:b/>
              <w:bCs/>
              <w:color w:val="auto"/>
              <w:sz w:val="28"/>
              <w:szCs w:val="28"/>
            </w:rPr>
            <w:t>Inhoud</w:t>
          </w:r>
        </w:p>
        <w:p w14:paraId="3AFE232A" w14:textId="4DD6566A" w:rsidR="00C31192" w:rsidRDefault="00DA1440">
          <w:pPr>
            <w:pStyle w:val="Inhopg1"/>
            <w:tabs>
              <w:tab w:val="left" w:pos="480"/>
              <w:tab w:val="right" w:leader="dot" w:pos="9062"/>
            </w:tabs>
            <w:rPr>
              <w:rFonts w:asciiTheme="minorHAnsi" w:eastAsiaTheme="minorEastAsia" w:hAnsiTheme="minorHAnsi"/>
              <w:noProof/>
              <w:sz w:val="24"/>
              <w:szCs w:val="24"/>
              <w:lang w:eastAsia="nl-NL"/>
            </w:rPr>
          </w:pPr>
          <w:r>
            <w:fldChar w:fldCharType="begin"/>
          </w:r>
          <w:r>
            <w:instrText xml:space="preserve"> TOC \o "1-3" \h \z \u </w:instrText>
          </w:r>
          <w:r>
            <w:fldChar w:fldCharType="separate"/>
          </w:r>
          <w:hyperlink w:anchor="_Toc233232753" w:history="1">
            <w:r w:rsidR="00C31192" w:rsidRPr="00B03D20">
              <w:rPr>
                <w:rStyle w:val="Hyperlink"/>
                <w:noProof/>
              </w:rPr>
              <w:t>1.</w:t>
            </w:r>
            <w:r w:rsidR="00C31192">
              <w:rPr>
                <w:rFonts w:asciiTheme="minorHAnsi" w:eastAsiaTheme="minorEastAsia" w:hAnsiTheme="minorHAnsi"/>
                <w:noProof/>
                <w:sz w:val="24"/>
                <w:szCs w:val="24"/>
                <w:lang w:eastAsia="nl-NL"/>
              </w:rPr>
              <w:tab/>
            </w:r>
            <w:r w:rsidR="00C31192" w:rsidRPr="00B03D20">
              <w:rPr>
                <w:rStyle w:val="Hyperlink"/>
                <w:noProof/>
              </w:rPr>
              <w:t>Inleiding</w:t>
            </w:r>
            <w:r w:rsidR="00C31192">
              <w:rPr>
                <w:noProof/>
                <w:webHidden/>
              </w:rPr>
              <w:tab/>
            </w:r>
            <w:r w:rsidR="00C31192">
              <w:rPr>
                <w:noProof/>
                <w:webHidden/>
              </w:rPr>
              <w:fldChar w:fldCharType="begin"/>
            </w:r>
            <w:r w:rsidR="00C31192">
              <w:rPr>
                <w:noProof/>
                <w:webHidden/>
              </w:rPr>
              <w:instrText xml:space="preserve"> PAGEREF _Toc233232753 \h </w:instrText>
            </w:r>
            <w:r w:rsidR="00C31192">
              <w:rPr>
                <w:noProof/>
                <w:webHidden/>
              </w:rPr>
            </w:r>
            <w:r w:rsidR="00C31192">
              <w:rPr>
                <w:noProof/>
                <w:webHidden/>
              </w:rPr>
              <w:fldChar w:fldCharType="separate"/>
            </w:r>
            <w:r w:rsidR="00C31192">
              <w:rPr>
                <w:noProof/>
                <w:webHidden/>
              </w:rPr>
              <w:t>6</w:t>
            </w:r>
            <w:r w:rsidR="00C31192">
              <w:rPr>
                <w:noProof/>
                <w:webHidden/>
              </w:rPr>
              <w:fldChar w:fldCharType="end"/>
            </w:r>
          </w:hyperlink>
        </w:p>
        <w:p w14:paraId="4297CDA3" w14:textId="3DCF7348"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54" w:history="1">
            <w:r w:rsidRPr="00B03D20">
              <w:rPr>
                <w:rStyle w:val="Hyperlink"/>
                <w:noProof/>
              </w:rPr>
              <w:t>1.1</w:t>
            </w:r>
            <w:r>
              <w:rPr>
                <w:rFonts w:asciiTheme="minorHAnsi" w:eastAsiaTheme="minorEastAsia" w:hAnsiTheme="minorHAnsi"/>
                <w:noProof/>
                <w:sz w:val="24"/>
                <w:szCs w:val="24"/>
                <w:lang w:eastAsia="nl-NL"/>
              </w:rPr>
              <w:tab/>
            </w:r>
            <w:r w:rsidRPr="00B03D20">
              <w:rPr>
                <w:rStyle w:val="Hyperlink"/>
                <w:noProof/>
              </w:rPr>
              <w:t>Inhoudelijke introductie en definitie van handel in invloed</w:t>
            </w:r>
            <w:r>
              <w:rPr>
                <w:noProof/>
                <w:webHidden/>
              </w:rPr>
              <w:tab/>
            </w:r>
            <w:r>
              <w:rPr>
                <w:noProof/>
                <w:webHidden/>
              </w:rPr>
              <w:fldChar w:fldCharType="begin"/>
            </w:r>
            <w:r>
              <w:rPr>
                <w:noProof/>
                <w:webHidden/>
              </w:rPr>
              <w:instrText xml:space="preserve"> PAGEREF _Toc233232754 \h </w:instrText>
            </w:r>
            <w:r>
              <w:rPr>
                <w:noProof/>
                <w:webHidden/>
              </w:rPr>
            </w:r>
            <w:r>
              <w:rPr>
                <w:noProof/>
                <w:webHidden/>
              </w:rPr>
              <w:fldChar w:fldCharType="separate"/>
            </w:r>
            <w:r>
              <w:rPr>
                <w:noProof/>
                <w:webHidden/>
              </w:rPr>
              <w:t>6</w:t>
            </w:r>
            <w:r>
              <w:rPr>
                <w:noProof/>
                <w:webHidden/>
              </w:rPr>
              <w:fldChar w:fldCharType="end"/>
            </w:r>
          </w:hyperlink>
        </w:p>
        <w:p w14:paraId="54B8B5B6" w14:textId="6E53F1E1"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55" w:history="1">
            <w:r w:rsidRPr="00B03D20">
              <w:rPr>
                <w:rStyle w:val="Hyperlink"/>
                <w:noProof/>
              </w:rPr>
              <w:t>1.2</w:t>
            </w:r>
            <w:r>
              <w:rPr>
                <w:rFonts w:asciiTheme="minorHAnsi" w:eastAsiaTheme="minorEastAsia" w:hAnsiTheme="minorHAnsi"/>
                <w:noProof/>
                <w:sz w:val="24"/>
                <w:szCs w:val="24"/>
                <w:lang w:eastAsia="nl-NL"/>
              </w:rPr>
              <w:tab/>
            </w:r>
            <w:r w:rsidRPr="00B03D20">
              <w:rPr>
                <w:rStyle w:val="Hyperlink"/>
                <w:noProof/>
              </w:rPr>
              <w:t>Relevantie van het onderzoek</w:t>
            </w:r>
            <w:r>
              <w:rPr>
                <w:noProof/>
                <w:webHidden/>
              </w:rPr>
              <w:tab/>
            </w:r>
            <w:r>
              <w:rPr>
                <w:noProof/>
                <w:webHidden/>
              </w:rPr>
              <w:fldChar w:fldCharType="begin"/>
            </w:r>
            <w:r>
              <w:rPr>
                <w:noProof/>
                <w:webHidden/>
              </w:rPr>
              <w:instrText xml:space="preserve"> PAGEREF _Toc233232755 \h </w:instrText>
            </w:r>
            <w:r>
              <w:rPr>
                <w:noProof/>
                <w:webHidden/>
              </w:rPr>
            </w:r>
            <w:r>
              <w:rPr>
                <w:noProof/>
                <w:webHidden/>
              </w:rPr>
              <w:fldChar w:fldCharType="separate"/>
            </w:r>
            <w:r>
              <w:rPr>
                <w:noProof/>
                <w:webHidden/>
              </w:rPr>
              <w:t>7</w:t>
            </w:r>
            <w:r>
              <w:rPr>
                <w:noProof/>
                <w:webHidden/>
              </w:rPr>
              <w:fldChar w:fldCharType="end"/>
            </w:r>
          </w:hyperlink>
        </w:p>
        <w:p w14:paraId="4D1FFC9B" w14:textId="5159AC9C"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56" w:history="1">
            <w:r w:rsidRPr="00B03D20">
              <w:rPr>
                <w:rStyle w:val="Hyperlink"/>
                <w:noProof/>
              </w:rPr>
              <w:t>1.3</w:t>
            </w:r>
            <w:r>
              <w:rPr>
                <w:rFonts w:asciiTheme="minorHAnsi" w:eastAsiaTheme="minorEastAsia" w:hAnsiTheme="minorHAnsi"/>
                <w:noProof/>
                <w:sz w:val="24"/>
                <w:szCs w:val="24"/>
                <w:lang w:eastAsia="nl-NL"/>
              </w:rPr>
              <w:tab/>
            </w:r>
            <w:r w:rsidRPr="00B03D20">
              <w:rPr>
                <w:rStyle w:val="Hyperlink"/>
                <w:noProof/>
              </w:rPr>
              <w:t>Opzet scriptie</w:t>
            </w:r>
            <w:r>
              <w:rPr>
                <w:noProof/>
                <w:webHidden/>
              </w:rPr>
              <w:tab/>
            </w:r>
            <w:r>
              <w:rPr>
                <w:noProof/>
                <w:webHidden/>
              </w:rPr>
              <w:fldChar w:fldCharType="begin"/>
            </w:r>
            <w:r>
              <w:rPr>
                <w:noProof/>
                <w:webHidden/>
              </w:rPr>
              <w:instrText xml:space="preserve"> PAGEREF _Toc233232756 \h </w:instrText>
            </w:r>
            <w:r>
              <w:rPr>
                <w:noProof/>
                <w:webHidden/>
              </w:rPr>
            </w:r>
            <w:r>
              <w:rPr>
                <w:noProof/>
                <w:webHidden/>
              </w:rPr>
              <w:fldChar w:fldCharType="separate"/>
            </w:r>
            <w:r>
              <w:rPr>
                <w:noProof/>
                <w:webHidden/>
              </w:rPr>
              <w:t>8</w:t>
            </w:r>
            <w:r>
              <w:rPr>
                <w:noProof/>
                <w:webHidden/>
              </w:rPr>
              <w:fldChar w:fldCharType="end"/>
            </w:r>
          </w:hyperlink>
        </w:p>
        <w:p w14:paraId="5F2A98F4" w14:textId="3EBCB799"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57" w:history="1">
            <w:r w:rsidRPr="00B03D20">
              <w:rPr>
                <w:rStyle w:val="Hyperlink"/>
                <w:noProof/>
              </w:rPr>
              <w:t>1.4</w:t>
            </w:r>
            <w:r>
              <w:rPr>
                <w:rFonts w:asciiTheme="minorHAnsi" w:eastAsiaTheme="minorEastAsia" w:hAnsiTheme="minorHAnsi"/>
                <w:noProof/>
                <w:sz w:val="24"/>
                <w:szCs w:val="24"/>
                <w:lang w:eastAsia="nl-NL"/>
              </w:rPr>
              <w:tab/>
            </w:r>
            <w:r w:rsidRPr="00B03D20">
              <w:rPr>
                <w:rStyle w:val="Hyperlink"/>
                <w:noProof/>
              </w:rPr>
              <w:t>Methodologie</w:t>
            </w:r>
            <w:r>
              <w:rPr>
                <w:noProof/>
                <w:webHidden/>
              </w:rPr>
              <w:tab/>
            </w:r>
            <w:r>
              <w:rPr>
                <w:noProof/>
                <w:webHidden/>
              </w:rPr>
              <w:fldChar w:fldCharType="begin"/>
            </w:r>
            <w:r>
              <w:rPr>
                <w:noProof/>
                <w:webHidden/>
              </w:rPr>
              <w:instrText xml:space="preserve"> PAGEREF _Toc233232757 \h </w:instrText>
            </w:r>
            <w:r>
              <w:rPr>
                <w:noProof/>
                <w:webHidden/>
              </w:rPr>
            </w:r>
            <w:r>
              <w:rPr>
                <w:noProof/>
                <w:webHidden/>
              </w:rPr>
              <w:fldChar w:fldCharType="separate"/>
            </w:r>
            <w:r>
              <w:rPr>
                <w:noProof/>
                <w:webHidden/>
              </w:rPr>
              <w:t>9</w:t>
            </w:r>
            <w:r>
              <w:rPr>
                <w:noProof/>
                <w:webHidden/>
              </w:rPr>
              <w:fldChar w:fldCharType="end"/>
            </w:r>
          </w:hyperlink>
        </w:p>
        <w:p w14:paraId="003AAFE5" w14:textId="6662AA18" w:rsidR="00C31192" w:rsidRDefault="00C31192">
          <w:pPr>
            <w:pStyle w:val="Inhopg1"/>
            <w:tabs>
              <w:tab w:val="left" w:pos="480"/>
              <w:tab w:val="right" w:leader="dot" w:pos="9062"/>
            </w:tabs>
            <w:rPr>
              <w:rFonts w:asciiTheme="minorHAnsi" w:eastAsiaTheme="minorEastAsia" w:hAnsiTheme="minorHAnsi"/>
              <w:noProof/>
              <w:sz w:val="24"/>
              <w:szCs w:val="24"/>
              <w:lang w:eastAsia="nl-NL"/>
            </w:rPr>
          </w:pPr>
          <w:hyperlink w:anchor="_Toc233232758" w:history="1">
            <w:r w:rsidRPr="00B03D20">
              <w:rPr>
                <w:rStyle w:val="Hyperlink"/>
                <w:noProof/>
              </w:rPr>
              <w:t>2.</w:t>
            </w:r>
            <w:r>
              <w:rPr>
                <w:rFonts w:asciiTheme="minorHAnsi" w:eastAsiaTheme="minorEastAsia" w:hAnsiTheme="minorHAnsi"/>
                <w:noProof/>
                <w:sz w:val="24"/>
                <w:szCs w:val="24"/>
                <w:lang w:eastAsia="nl-NL"/>
              </w:rPr>
              <w:tab/>
            </w:r>
            <w:r w:rsidRPr="00B03D20">
              <w:rPr>
                <w:rStyle w:val="Hyperlink"/>
                <w:noProof/>
              </w:rPr>
              <w:t>Theoretisch kader: handel in invloed en criteria voor strafbaarstelling</w:t>
            </w:r>
            <w:r>
              <w:rPr>
                <w:noProof/>
                <w:webHidden/>
              </w:rPr>
              <w:tab/>
            </w:r>
            <w:r>
              <w:rPr>
                <w:noProof/>
                <w:webHidden/>
              </w:rPr>
              <w:fldChar w:fldCharType="begin"/>
            </w:r>
            <w:r>
              <w:rPr>
                <w:noProof/>
                <w:webHidden/>
              </w:rPr>
              <w:instrText xml:space="preserve"> PAGEREF _Toc233232758 \h </w:instrText>
            </w:r>
            <w:r>
              <w:rPr>
                <w:noProof/>
                <w:webHidden/>
              </w:rPr>
            </w:r>
            <w:r>
              <w:rPr>
                <w:noProof/>
                <w:webHidden/>
              </w:rPr>
              <w:fldChar w:fldCharType="separate"/>
            </w:r>
            <w:r>
              <w:rPr>
                <w:noProof/>
                <w:webHidden/>
              </w:rPr>
              <w:t>12</w:t>
            </w:r>
            <w:r>
              <w:rPr>
                <w:noProof/>
                <w:webHidden/>
              </w:rPr>
              <w:fldChar w:fldCharType="end"/>
            </w:r>
          </w:hyperlink>
        </w:p>
        <w:p w14:paraId="667AA334" w14:textId="7223A211"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59" w:history="1">
            <w:r w:rsidRPr="00B03D20">
              <w:rPr>
                <w:rStyle w:val="Hyperlink"/>
                <w:noProof/>
              </w:rPr>
              <w:t>2.1</w:t>
            </w:r>
            <w:r>
              <w:rPr>
                <w:rFonts w:asciiTheme="minorHAnsi" w:eastAsiaTheme="minorEastAsia" w:hAnsiTheme="minorHAnsi"/>
                <w:noProof/>
                <w:sz w:val="24"/>
                <w:szCs w:val="24"/>
                <w:lang w:eastAsia="nl-NL"/>
              </w:rPr>
              <w:tab/>
            </w:r>
            <w:r w:rsidRPr="00B03D20">
              <w:rPr>
                <w:rStyle w:val="Hyperlink"/>
                <w:noProof/>
              </w:rPr>
              <w:t>Verschil omkopingsbepalingen uit Wetboek van Strafrecht en handel in invloed</w:t>
            </w:r>
            <w:r>
              <w:rPr>
                <w:noProof/>
                <w:webHidden/>
              </w:rPr>
              <w:tab/>
            </w:r>
            <w:r>
              <w:rPr>
                <w:noProof/>
                <w:webHidden/>
              </w:rPr>
              <w:fldChar w:fldCharType="begin"/>
            </w:r>
            <w:r>
              <w:rPr>
                <w:noProof/>
                <w:webHidden/>
              </w:rPr>
              <w:instrText xml:space="preserve"> PAGEREF _Toc233232759 \h </w:instrText>
            </w:r>
            <w:r>
              <w:rPr>
                <w:noProof/>
                <w:webHidden/>
              </w:rPr>
            </w:r>
            <w:r>
              <w:rPr>
                <w:noProof/>
                <w:webHidden/>
              </w:rPr>
              <w:fldChar w:fldCharType="separate"/>
            </w:r>
            <w:r>
              <w:rPr>
                <w:noProof/>
                <w:webHidden/>
              </w:rPr>
              <w:t>12</w:t>
            </w:r>
            <w:r>
              <w:rPr>
                <w:noProof/>
                <w:webHidden/>
              </w:rPr>
              <w:fldChar w:fldCharType="end"/>
            </w:r>
          </w:hyperlink>
        </w:p>
        <w:p w14:paraId="09D3F8E2" w14:textId="07687CA5"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60" w:history="1">
            <w:r w:rsidRPr="00B03D20">
              <w:rPr>
                <w:rStyle w:val="Hyperlink"/>
                <w:noProof/>
              </w:rPr>
              <w:t>2.2</w:t>
            </w:r>
            <w:r>
              <w:rPr>
                <w:rFonts w:asciiTheme="minorHAnsi" w:eastAsiaTheme="minorEastAsia" w:hAnsiTheme="minorHAnsi"/>
                <w:noProof/>
                <w:sz w:val="24"/>
                <w:szCs w:val="24"/>
                <w:lang w:eastAsia="nl-NL"/>
              </w:rPr>
              <w:tab/>
            </w:r>
            <w:r w:rsidRPr="00B03D20">
              <w:rPr>
                <w:rStyle w:val="Hyperlink"/>
                <w:noProof/>
              </w:rPr>
              <w:t>Criteria voor strafbaarstelling</w:t>
            </w:r>
            <w:r>
              <w:rPr>
                <w:noProof/>
                <w:webHidden/>
              </w:rPr>
              <w:tab/>
            </w:r>
            <w:r>
              <w:rPr>
                <w:noProof/>
                <w:webHidden/>
              </w:rPr>
              <w:fldChar w:fldCharType="begin"/>
            </w:r>
            <w:r>
              <w:rPr>
                <w:noProof/>
                <w:webHidden/>
              </w:rPr>
              <w:instrText xml:space="preserve"> PAGEREF _Toc233232760 \h </w:instrText>
            </w:r>
            <w:r>
              <w:rPr>
                <w:noProof/>
                <w:webHidden/>
              </w:rPr>
            </w:r>
            <w:r>
              <w:rPr>
                <w:noProof/>
                <w:webHidden/>
              </w:rPr>
              <w:fldChar w:fldCharType="separate"/>
            </w:r>
            <w:r>
              <w:rPr>
                <w:noProof/>
                <w:webHidden/>
              </w:rPr>
              <w:t>14</w:t>
            </w:r>
            <w:r>
              <w:rPr>
                <w:noProof/>
                <w:webHidden/>
              </w:rPr>
              <w:fldChar w:fldCharType="end"/>
            </w:r>
          </w:hyperlink>
        </w:p>
        <w:p w14:paraId="23FFA2B0" w14:textId="0155CE92" w:rsidR="00C31192" w:rsidRDefault="00C31192">
          <w:pPr>
            <w:pStyle w:val="Inhopg1"/>
            <w:tabs>
              <w:tab w:val="left" w:pos="480"/>
              <w:tab w:val="right" w:leader="dot" w:pos="9062"/>
            </w:tabs>
            <w:rPr>
              <w:rFonts w:asciiTheme="minorHAnsi" w:eastAsiaTheme="minorEastAsia" w:hAnsiTheme="minorHAnsi"/>
              <w:noProof/>
              <w:sz w:val="24"/>
              <w:szCs w:val="24"/>
              <w:lang w:eastAsia="nl-NL"/>
            </w:rPr>
          </w:pPr>
          <w:hyperlink w:anchor="_Toc233232761" w:history="1">
            <w:r w:rsidRPr="00B03D20">
              <w:rPr>
                <w:rStyle w:val="Hyperlink"/>
                <w:noProof/>
              </w:rPr>
              <w:t>3.</w:t>
            </w:r>
            <w:r>
              <w:rPr>
                <w:rFonts w:asciiTheme="minorHAnsi" w:eastAsiaTheme="minorEastAsia" w:hAnsiTheme="minorHAnsi"/>
                <w:noProof/>
                <w:sz w:val="24"/>
                <w:szCs w:val="24"/>
                <w:lang w:eastAsia="nl-NL"/>
              </w:rPr>
              <w:tab/>
            </w:r>
            <w:r w:rsidRPr="00B03D20">
              <w:rPr>
                <w:rStyle w:val="Hyperlink"/>
                <w:noProof/>
              </w:rPr>
              <w:t>Standpunt Nederlandse wetgever</w:t>
            </w:r>
            <w:r>
              <w:rPr>
                <w:noProof/>
                <w:webHidden/>
              </w:rPr>
              <w:tab/>
            </w:r>
            <w:r>
              <w:rPr>
                <w:noProof/>
                <w:webHidden/>
              </w:rPr>
              <w:fldChar w:fldCharType="begin"/>
            </w:r>
            <w:r>
              <w:rPr>
                <w:noProof/>
                <w:webHidden/>
              </w:rPr>
              <w:instrText xml:space="preserve"> PAGEREF _Toc233232761 \h </w:instrText>
            </w:r>
            <w:r>
              <w:rPr>
                <w:noProof/>
                <w:webHidden/>
              </w:rPr>
            </w:r>
            <w:r>
              <w:rPr>
                <w:noProof/>
                <w:webHidden/>
              </w:rPr>
              <w:fldChar w:fldCharType="separate"/>
            </w:r>
            <w:r>
              <w:rPr>
                <w:noProof/>
                <w:webHidden/>
              </w:rPr>
              <w:t>17</w:t>
            </w:r>
            <w:r>
              <w:rPr>
                <w:noProof/>
                <w:webHidden/>
              </w:rPr>
              <w:fldChar w:fldCharType="end"/>
            </w:r>
          </w:hyperlink>
        </w:p>
        <w:p w14:paraId="2110F056" w14:textId="2DCA1666"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62" w:history="1">
            <w:r w:rsidRPr="00B03D20">
              <w:rPr>
                <w:rStyle w:val="Hyperlink"/>
                <w:noProof/>
              </w:rPr>
              <w:t>3.1</w:t>
            </w:r>
            <w:r>
              <w:rPr>
                <w:rFonts w:asciiTheme="minorHAnsi" w:eastAsiaTheme="minorEastAsia" w:hAnsiTheme="minorHAnsi"/>
                <w:noProof/>
                <w:sz w:val="24"/>
                <w:szCs w:val="24"/>
                <w:lang w:eastAsia="nl-NL"/>
              </w:rPr>
              <w:tab/>
            </w:r>
            <w:r w:rsidRPr="00B03D20">
              <w:rPr>
                <w:rStyle w:val="Hyperlink"/>
                <w:noProof/>
              </w:rPr>
              <w:t>Overzicht overwegingen Nederlandse wetgever</w:t>
            </w:r>
            <w:r>
              <w:rPr>
                <w:noProof/>
                <w:webHidden/>
              </w:rPr>
              <w:tab/>
            </w:r>
            <w:r>
              <w:rPr>
                <w:noProof/>
                <w:webHidden/>
              </w:rPr>
              <w:fldChar w:fldCharType="begin"/>
            </w:r>
            <w:r>
              <w:rPr>
                <w:noProof/>
                <w:webHidden/>
              </w:rPr>
              <w:instrText xml:space="preserve"> PAGEREF _Toc233232762 \h </w:instrText>
            </w:r>
            <w:r>
              <w:rPr>
                <w:noProof/>
                <w:webHidden/>
              </w:rPr>
            </w:r>
            <w:r>
              <w:rPr>
                <w:noProof/>
                <w:webHidden/>
              </w:rPr>
              <w:fldChar w:fldCharType="separate"/>
            </w:r>
            <w:r>
              <w:rPr>
                <w:noProof/>
                <w:webHidden/>
              </w:rPr>
              <w:t>17</w:t>
            </w:r>
            <w:r>
              <w:rPr>
                <w:noProof/>
                <w:webHidden/>
              </w:rPr>
              <w:fldChar w:fldCharType="end"/>
            </w:r>
          </w:hyperlink>
        </w:p>
        <w:p w14:paraId="21E0E823" w14:textId="2E9F626C"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63" w:history="1">
            <w:r w:rsidRPr="00B03D20">
              <w:rPr>
                <w:rStyle w:val="Hyperlink"/>
                <w:noProof/>
              </w:rPr>
              <w:t>3.2</w:t>
            </w:r>
            <w:r>
              <w:rPr>
                <w:rFonts w:asciiTheme="minorHAnsi" w:eastAsiaTheme="minorEastAsia" w:hAnsiTheme="minorHAnsi"/>
                <w:noProof/>
                <w:sz w:val="24"/>
                <w:szCs w:val="24"/>
                <w:lang w:eastAsia="nl-NL"/>
              </w:rPr>
              <w:tab/>
            </w:r>
            <w:r w:rsidRPr="00B03D20">
              <w:rPr>
                <w:rStyle w:val="Hyperlink"/>
                <w:noProof/>
              </w:rPr>
              <w:t>Analyse overwegingen Nederlandse wetgever</w:t>
            </w:r>
            <w:r>
              <w:rPr>
                <w:noProof/>
                <w:webHidden/>
              </w:rPr>
              <w:tab/>
            </w:r>
            <w:r>
              <w:rPr>
                <w:noProof/>
                <w:webHidden/>
              </w:rPr>
              <w:fldChar w:fldCharType="begin"/>
            </w:r>
            <w:r>
              <w:rPr>
                <w:noProof/>
                <w:webHidden/>
              </w:rPr>
              <w:instrText xml:space="preserve"> PAGEREF _Toc233232763 \h </w:instrText>
            </w:r>
            <w:r>
              <w:rPr>
                <w:noProof/>
                <w:webHidden/>
              </w:rPr>
            </w:r>
            <w:r>
              <w:rPr>
                <w:noProof/>
                <w:webHidden/>
              </w:rPr>
              <w:fldChar w:fldCharType="separate"/>
            </w:r>
            <w:r>
              <w:rPr>
                <w:noProof/>
                <w:webHidden/>
              </w:rPr>
              <w:t>21</w:t>
            </w:r>
            <w:r>
              <w:rPr>
                <w:noProof/>
                <w:webHidden/>
              </w:rPr>
              <w:fldChar w:fldCharType="end"/>
            </w:r>
          </w:hyperlink>
        </w:p>
        <w:p w14:paraId="4C3658D6" w14:textId="23D5569A" w:rsidR="00C31192" w:rsidRDefault="00C31192">
          <w:pPr>
            <w:pStyle w:val="Inhopg1"/>
            <w:tabs>
              <w:tab w:val="left" w:pos="480"/>
              <w:tab w:val="right" w:leader="dot" w:pos="9062"/>
            </w:tabs>
            <w:rPr>
              <w:rFonts w:asciiTheme="minorHAnsi" w:eastAsiaTheme="minorEastAsia" w:hAnsiTheme="minorHAnsi"/>
              <w:noProof/>
              <w:sz w:val="24"/>
              <w:szCs w:val="24"/>
              <w:lang w:eastAsia="nl-NL"/>
            </w:rPr>
          </w:pPr>
          <w:hyperlink w:anchor="_Toc233232764" w:history="1">
            <w:r w:rsidRPr="00B03D20">
              <w:rPr>
                <w:rStyle w:val="Hyperlink"/>
                <w:noProof/>
              </w:rPr>
              <w:t>4.</w:t>
            </w:r>
            <w:r>
              <w:rPr>
                <w:rFonts w:asciiTheme="minorHAnsi" w:eastAsiaTheme="minorEastAsia" w:hAnsiTheme="minorHAnsi"/>
                <w:noProof/>
                <w:sz w:val="24"/>
                <w:szCs w:val="24"/>
                <w:lang w:eastAsia="nl-NL"/>
              </w:rPr>
              <w:tab/>
            </w:r>
            <w:r w:rsidRPr="00B03D20">
              <w:rPr>
                <w:rStyle w:val="Hyperlink"/>
                <w:noProof/>
              </w:rPr>
              <w:t>Standpunt van de Europese Commissie</w:t>
            </w:r>
            <w:r>
              <w:rPr>
                <w:noProof/>
                <w:webHidden/>
              </w:rPr>
              <w:tab/>
            </w:r>
            <w:r>
              <w:rPr>
                <w:noProof/>
                <w:webHidden/>
              </w:rPr>
              <w:fldChar w:fldCharType="begin"/>
            </w:r>
            <w:r>
              <w:rPr>
                <w:noProof/>
                <w:webHidden/>
              </w:rPr>
              <w:instrText xml:space="preserve"> PAGEREF _Toc233232764 \h </w:instrText>
            </w:r>
            <w:r>
              <w:rPr>
                <w:noProof/>
                <w:webHidden/>
              </w:rPr>
            </w:r>
            <w:r>
              <w:rPr>
                <w:noProof/>
                <w:webHidden/>
              </w:rPr>
              <w:fldChar w:fldCharType="separate"/>
            </w:r>
            <w:r>
              <w:rPr>
                <w:noProof/>
                <w:webHidden/>
              </w:rPr>
              <w:t>23</w:t>
            </w:r>
            <w:r>
              <w:rPr>
                <w:noProof/>
                <w:webHidden/>
              </w:rPr>
              <w:fldChar w:fldCharType="end"/>
            </w:r>
          </w:hyperlink>
        </w:p>
        <w:p w14:paraId="5BFAE694" w14:textId="13D2CFD7"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65" w:history="1">
            <w:r w:rsidRPr="00B03D20">
              <w:rPr>
                <w:rStyle w:val="Hyperlink"/>
                <w:noProof/>
              </w:rPr>
              <w:t>4.1</w:t>
            </w:r>
            <w:r>
              <w:rPr>
                <w:rFonts w:asciiTheme="minorHAnsi" w:eastAsiaTheme="minorEastAsia" w:hAnsiTheme="minorHAnsi"/>
                <w:noProof/>
                <w:sz w:val="24"/>
                <w:szCs w:val="24"/>
                <w:lang w:eastAsia="nl-NL"/>
              </w:rPr>
              <w:tab/>
            </w:r>
            <w:r w:rsidRPr="00B03D20">
              <w:rPr>
                <w:rStyle w:val="Hyperlink"/>
                <w:noProof/>
              </w:rPr>
              <w:t>Corruptierichtlijn</w:t>
            </w:r>
            <w:r>
              <w:rPr>
                <w:noProof/>
                <w:webHidden/>
              </w:rPr>
              <w:tab/>
            </w:r>
            <w:r>
              <w:rPr>
                <w:noProof/>
                <w:webHidden/>
              </w:rPr>
              <w:fldChar w:fldCharType="begin"/>
            </w:r>
            <w:r>
              <w:rPr>
                <w:noProof/>
                <w:webHidden/>
              </w:rPr>
              <w:instrText xml:space="preserve"> PAGEREF _Toc233232765 \h </w:instrText>
            </w:r>
            <w:r>
              <w:rPr>
                <w:noProof/>
                <w:webHidden/>
              </w:rPr>
            </w:r>
            <w:r>
              <w:rPr>
                <w:noProof/>
                <w:webHidden/>
              </w:rPr>
              <w:fldChar w:fldCharType="separate"/>
            </w:r>
            <w:r>
              <w:rPr>
                <w:noProof/>
                <w:webHidden/>
              </w:rPr>
              <w:t>23</w:t>
            </w:r>
            <w:r>
              <w:rPr>
                <w:noProof/>
                <w:webHidden/>
              </w:rPr>
              <w:fldChar w:fldCharType="end"/>
            </w:r>
          </w:hyperlink>
        </w:p>
        <w:p w14:paraId="436C97A1" w14:textId="4B3AB9F4"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66" w:history="1">
            <w:r w:rsidRPr="00B03D20">
              <w:rPr>
                <w:rStyle w:val="Hyperlink"/>
                <w:noProof/>
              </w:rPr>
              <w:t>4.2</w:t>
            </w:r>
            <w:r>
              <w:rPr>
                <w:rFonts w:asciiTheme="minorHAnsi" w:eastAsiaTheme="minorEastAsia" w:hAnsiTheme="minorHAnsi"/>
                <w:noProof/>
                <w:sz w:val="24"/>
                <w:szCs w:val="24"/>
                <w:lang w:eastAsia="nl-NL"/>
              </w:rPr>
              <w:tab/>
            </w:r>
            <w:r w:rsidRPr="00B03D20">
              <w:rPr>
                <w:rStyle w:val="Hyperlink"/>
                <w:noProof/>
              </w:rPr>
              <w:t>Toepassing van de criteria voor strafbaarstelling</w:t>
            </w:r>
            <w:r>
              <w:rPr>
                <w:noProof/>
                <w:webHidden/>
              </w:rPr>
              <w:tab/>
            </w:r>
            <w:r>
              <w:rPr>
                <w:noProof/>
                <w:webHidden/>
              </w:rPr>
              <w:fldChar w:fldCharType="begin"/>
            </w:r>
            <w:r>
              <w:rPr>
                <w:noProof/>
                <w:webHidden/>
              </w:rPr>
              <w:instrText xml:space="preserve"> PAGEREF _Toc233232766 \h </w:instrText>
            </w:r>
            <w:r>
              <w:rPr>
                <w:noProof/>
                <w:webHidden/>
              </w:rPr>
            </w:r>
            <w:r>
              <w:rPr>
                <w:noProof/>
                <w:webHidden/>
              </w:rPr>
              <w:fldChar w:fldCharType="separate"/>
            </w:r>
            <w:r>
              <w:rPr>
                <w:noProof/>
                <w:webHidden/>
              </w:rPr>
              <w:t>24</w:t>
            </w:r>
            <w:r>
              <w:rPr>
                <w:noProof/>
                <w:webHidden/>
              </w:rPr>
              <w:fldChar w:fldCharType="end"/>
            </w:r>
          </w:hyperlink>
        </w:p>
        <w:p w14:paraId="3801C97D" w14:textId="4570787E"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67" w:history="1">
            <w:r w:rsidRPr="00B03D20">
              <w:rPr>
                <w:rStyle w:val="Hyperlink"/>
                <w:noProof/>
              </w:rPr>
              <w:t>4.3</w:t>
            </w:r>
            <w:r>
              <w:rPr>
                <w:rFonts w:asciiTheme="minorHAnsi" w:eastAsiaTheme="minorEastAsia" w:hAnsiTheme="minorHAnsi"/>
                <w:noProof/>
                <w:sz w:val="24"/>
                <w:szCs w:val="24"/>
                <w:lang w:eastAsia="nl-NL"/>
              </w:rPr>
              <w:tab/>
            </w:r>
            <w:r w:rsidRPr="00B03D20">
              <w:rPr>
                <w:rStyle w:val="Hyperlink"/>
                <w:noProof/>
              </w:rPr>
              <w:t>Kritiek op het voorstel</w:t>
            </w:r>
            <w:r>
              <w:rPr>
                <w:noProof/>
                <w:webHidden/>
              </w:rPr>
              <w:tab/>
            </w:r>
            <w:r>
              <w:rPr>
                <w:noProof/>
                <w:webHidden/>
              </w:rPr>
              <w:fldChar w:fldCharType="begin"/>
            </w:r>
            <w:r>
              <w:rPr>
                <w:noProof/>
                <w:webHidden/>
              </w:rPr>
              <w:instrText xml:space="preserve"> PAGEREF _Toc233232767 \h </w:instrText>
            </w:r>
            <w:r>
              <w:rPr>
                <w:noProof/>
                <w:webHidden/>
              </w:rPr>
            </w:r>
            <w:r>
              <w:rPr>
                <w:noProof/>
                <w:webHidden/>
              </w:rPr>
              <w:fldChar w:fldCharType="separate"/>
            </w:r>
            <w:r>
              <w:rPr>
                <w:noProof/>
                <w:webHidden/>
              </w:rPr>
              <w:t>25</w:t>
            </w:r>
            <w:r>
              <w:rPr>
                <w:noProof/>
                <w:webHidden/>
              </w:rPr>
              <w:fldChar w:fldCharType="end"/>
            </w:r>
          </w:hyperlink>
        </w:p>
        <w:p w14:paraId="379B9D9F" w14:textId="411FC209"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68" w:history="1">
            <w:r w:rsidRPr="00B03D20">
              <w:rPr>
                <w:rStyle w:val="Hyperlink"/>
                <w:noProof/>
              </w:rPr>
              <w:t>4.4</w:t>
            </w:r>
            <w:r>
              <w:rPr>
                <w:rFonts w:asciiTheme="minorHAnsi" w:eastAsiaTheme="minorEastAsia" w:hAnsiTheme="minorHAnsi"/>
                <w:noProof/>
                <w:sz w:val="24"/>
                <w:szCs w:val="24"/>
                <w:lang w:eastAsia="nl-NL"/>
              </w:rPr>
              <w:tab/>
            </w:r>
            <w:r w:rsidRPr="00B03D20">
              <w:rPr>
                <w:rStyle w:val="Hyperlink"/>
                <w:noProof/>
              </w:rPr>
              <w:t>Vergelijking met Nederland</w:t>
            </w:r>
            <w:r>
              <w:rPr>
                <w:noProof/>
                <w:webHidden/>
              </w:rPr>
              <w:tab/>
            </w:r>
            <w:r>
              <w:rPr>
                <w:noProof/>
                <w:webHidden/>
              </w:rPr>
              <w:fldChar w:fldCharType="begin"/>
            </w:r>
            <w:r>
              <w:rPr>
                <w:noProof/>
                <w:webHidden/>
              </w:rPr>
              <w:instrText xml:space="preserve"> PAGEREF _Toc233232768 \h </w:instrText>
            </w:r>
            <w:r>
              <w:rPr>
                <w:noProof/>
                <w:webHidden/>
              </w:rPr>
            </w:r>
            <w:r>
              <w:rPr>
                <w:noProof/>
                <w:webHidden/>
              </w:rPr>
              <w:fldChar w:fldCharType="separate"/>
            </w:r>
            <w:r>
              <w:rPr>
                <w:noProof/>
                <w:webHidden/>
              </w:rPr>
              <w:t>27</w:t>
            </w:r>
            <w:r>
              <w:rPr>
                <w:noProof/>
                <w:webHidden/>
              </w:rPr>
              <w:fldChar w:fldCharType="end"/>
            </w:r>
          </w:hyperlink>
        </w:p>
        <w:p w14:paraId="67FAB51A" w14:textId="5C81E204" w:rsidR="00C31192" w:rsidRDefault="00C31192">
          <w:pPr>
            <w:pStyle w:val="Inhopg1"/>
            <w:tabs>
              <w:tab w:val="left" w:pos="480"/>
              <w:tab w:val="right" w:leader="dot" w:pos="9062"/>
            </w:tabs>
            <w:rPr>
              <w:rFonts w:asciiTheme="minorHAnsi" w:eastAsiaTheme="minorEastAsia" w:hAnsiTheme="minorHAnsi"/>
              <w:noProof/>
              <w:sz w:val="24"/>
              <w:szCs w:val="24"/>
              <w:lang w:eastAsia="nl-NL"/>
            </w:rPr>
          </w:pPr>
          <w:hyperlink w:anchor="_Toc233232769" w:history="1">
            <w:r w:rsidRPr="00B03D20">
              <w:rPr>
                <w:rStyle w:val="Hyperlink"/>
                <w:noProof/>
              </w:rPr>
              <w:t>5.</w:t>
            </w:r>
            <w:r>
              <w:rPr>
                <w:rFonts w:asciiTheme="minorHAnsi" w:eastAsiaTheme="minorEastAsia" w:hAnsiTheme="minorHAnsi"/>
                <w:noProof/>
                <w:sz w:val="24"/>
                <w:szCs w:val="24"/>
                <w:lang w:eastAsia="nl-NL"/>
              </w:rPr>
              <w:tab/>
            </w:r>
            <w:r w:rsidRPr="00B03D20">
              <w:rPr>
                <w:rStyle w:val="Hyperlink"/>
                <w:noProof/>
              </w:rPr>
              <w:t>Standpunt Franse wetgever</w:t>
            </w:r>
            <w:r>
              <w:rPr>
                <w:noProof/>
                <w:webHidden/>
              </w:rPr>
              <w:tab/>
            </w:r>
            <w:r>
              <w:rPr>
                <w:noProof/>
                <w:webHidden/>
              </w:rPr>
              <w:fldChar w:fldCharType="begin"/>
            </w:r>
            <w:r>
              <w:rPr>
                <w:noProof/>
                <w:webHidden/>
              </w:rPr>
              <w:instrText xml:space="preserve"> PAGEREF _Toc233232769 \h </w:instrText>
            </w:r>
            <w:r>
              <w:rPr>
                <w:noProof/>
                <w:webHidden/>
              </w:rPr>
            </w:r>
            <w:r>
              <w:rPr>
                <w:noProof/>
                <w:webHidden/>
              </w:rPr>
              <w:fldChar w:fldCharType="separate"/>
            </w:r>
            <w:r>
              <w:rPr>
                <w:noProof/>
                <w:webHidden/>
              </w:rPr>
              <w:t>29</w:t>
            </w:r>
            <w:r>
              <w:rPr>
                <w:noProof/>
                <w:webHidden/>
              </w:rPr>
              <w:fldChar w:fldCharType="end"/>
            </w:r>
          </w:hyperlink>
        </w:p>
        <w:p w14:paraId="18028635" w14:textId="138AB4C8"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70" w:history="1">
            <w:r w:rsidRPr="00B03D20">
              <w:rPr>
                <w:rStyle w:val="Hyperlink"/>
                <w:noProof/>
              </w:rPr>
              <w:t>5.1</w:t>
            </w:r>
            <w:r>
              <w:rPr>
                <w:rFonts w:asciiTheme="minorHAnsi" w:eastAsiaTheme="minorEastAsia" w:hAnsiTheme="minorHAnsi"/>
                <w:noProof/>
                <w:sz w:val="24"/>
                <w:szCs w:val="24"/>
                <w:lang w:eastAsia="nl-NL"/>
              </w:rPr>
              <w:tab/>
            </w:r>
            <w:r w:rsidRPr="00B03D20">
              <w:rPr>
                <w:rStyle w:val="Hyperlink"/>
                <w:noProof/>
              </w:rPr>
              <w:t>Franse strafbaarstelling handel in invloed</w:t>
            </w:r>
            <w:r>
              <w:rPr>
                <w:noProof/>
                <w:webHidden/>
              </w:rPr>
              <w:tab/>
            </w:r>
            <w:r>
              <w:rPr>
                <w:noProof/>
                <w:webHidden/>
              </w:rPr>
              <w:fldChar w:fldCharType="begin"/>
            </w:r>
            <w:r>
              <w:rPr>
                <w:noProof/>
                <w:webHidden/>
              </w:rPr>
              <w:instrText xml:space="preserve"> PAGEREF _Toc233232770 \h </w:instrText>
            </w:r>
            <w:r>
              <w:rPr>
                <w:noProof/>
                <w:webHidden/>
              </w:rPr>
            </w:r>
            <w:r>
              <w:rPr>
                <w:noProof/>
                <w:webHidden/>
              </w:rPr>
              <w:fldChar w:fldCharType="separate"/>
            </w:r>
            <w:r>
              <w:rPr>
                <w:noProof/>
                <w:webHidden/>
              </w:rPr>
              <w:t>29</w:t>
            </w:r>
            <w:r>
              <w:rPr>
                <w:noProof/>
                <w:webHidden/>
              </w:rPr>
              <w:fldChar w:fldCharType="end"/>
            </w:r>
          </w:hyperlink>
        </w:p>
        <w:p w14:paraId="33E357FA" w14:textId="5A6FB3D1"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71" w:history="1">
            <w:r w:rsidRPr="00B03D20">
              <w:rPr>
                <w:rStyle w:val="Hyperlink"/>
                <w:noProof/>
              </w:rPr>
              <w:t>5.2</w:t>
            </w:r>
            <w:r>
              <w:rPr>
                <w:rFonts w:asciiTheme="minorHAnsi" w:eastAsiaTheme="minorEastAsia" w:hAnsiTheme="minorHAnsi"/>
                <w:noProof/>
                <w:sz w:val="24"/>
                <w:szCs w:val="24"/>
                <w:lang w:eastAsia="nl-NL"/>
              </w:rPr>
              <w:tab/>
            </w:r>
            <w:r w:rsidRPr="00B03D20">
              <w:rPr>
                <w:rStyle w:val="Hyperlink"/>
                <w:noProof/>
              </w:rPr>
              <w:t>Reflectie op Franse wetgeving</w:t>
            </w:r>
            <w:r>
              <w:rPr>
                <w:noProof/>
                <w:webHidden/>
              </w:rPr>
              <w:tab/>
            </w:r>
            <w:r>
              <w:rPr>
                <w:noProof/>
                <w:webHidden/>
              </w:rPr>
              <w:fldChar w:fldCharType="begin"/>
            </w:r>
            <w:r>
              <w:rPr>
                <w:noProof/>
                <w:webHidden/>
              </w:rPr>
              <w:instrText xml:space="preserve"> PAGEREF _Toc233232771 \h </w:instrText>
            </w:r>
            <w:r>
              <w:rPr>
                <w:noProof/>
                <w:webHidden/>
              </w:rPr>
            </w:r>
            <w:r>
              <w:rPr>
                <w:noProof/>
                <w:webHidden/>
              </w:rPr>
              <w:fldChar w:fldCharType="separate"/>
            </w:r>
            <w:r>
              <w:rPr>
                <w:noProof/>
                <w:webHidden/>
              </w:rPr>
              <w:t>30</w:t>
            </w:r>
            <w:r>
              <w:rPr>
                <w:noProof/>
                <w:webHidden/>
              </w:rPr>
              <w:fldChar w:fldCharType="end"/>
            </w:r>
          </w:hyperlink>
        </w:p>
        <w:p w14:paraId="33B2D88E" w14:textId="0D7B2600"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72" w:history="1">
            <w:r w:rsidRPr="00B03D20">
              <w:rPr>
                <w:rStyle w:val="Hyperlink"/>
                <w:noProof/>
              </w:rPr>
              <w:t>5.3</w:t>
            </w:r>
            <w:r>
              <w:rPr>
                <w:rFonts w:asciiTheme="minorHAnsi" w:eastAsiaTheme="minorEastAsia" w:hAnsiTheme="minorHAnsi"/>
                <w:noProof/>
                <w:sz w:val="24"/>
                <w:szCs w:val="24"/>
                <w:lang w:eastAsia="nl-NL"/>
              </w:rPr>
              <w:tab/>
            </w:r>
            <w:r w:rsidRPr="00B03D20">
              <w:rPr>
                <w:rStyle w:val="Hyperlink"/>
                <w:noProof/>
              </w:rPr>
              <w:t>Vergelijking met Nederland</w:t>
            </w:r>
            <w:r>
              <w:rPr>
                <w:noProof/>
                <w:webHidden/>
              </w:rPr>
              <w:tab/>
            </w:r>
            <w:r>
              <w:rPr>
                <w:noProof/>
                <w:webHidden/>
              </w:rPr>
              <w:fldChar w:fldCharType="begin"/>
            </w:r>
            <w:r>
              <w:rPr>
                <w:noProof/>
                <w:webHidden/>
              </w:rPr>
              <w:instrText xml:space="preserve"> PAGEREF _Toc233232772 \h </w:instrText>
            </w:r>
            <w:r>
              <w:rPr>
                <w:noProof/>
                <w:webHidden/>
              </w:rPr>
            </w:r>
            <w:r>
              <w:rPr>
                <w:noProof/>
                <w:webHidden/>
              </w:rPr>
              <w:fldChar w:fldCharType="separate"/>
            </w:r>
            <w:r>
              <w:rPr>
                <w:noProof/>
                <w:webHidden/>
              </w:rPr>
              <w:t>30</w:t>
            </w:r>
            <w:r>
              <w:rPr>
                <w:noProof/>
                <w:webHidden/>
              </w:rPr>
              <w:fldChar w:fldCharType="end"/>
            </w:r>
          </w:hyperlink>
        </w:p>
        <w:p w14:paraId="6F2A850B" w14:textId="2D5A67FE" w:rsidR="00C31192" w:rsidRDefault="00C31192">
          <w:pPr>
            <w:pStyle w:val="Inhopg1"/>
            <w:tabs>
              <w:tab w:val="left" w:pos="480"/>
              <w:tab w:val="right" w:leader="dot" w:pos="9062"/>
            </w:tabs>
            <w:rPr>
              <w:rFonts w:asciiTheme="minorHAnsi" w:eastAsiaTheme="minorEastAsia" w:hAnsiTheme="minorHAnsi"/>
              <w:noProof/>
              <w:sz w:val="24"/>
              <w:szCs w:val="24"/>
              <w:lang w:eastAsia="nl-NL"/>
            </w:rPr>
          </w:pPr>
          <w:hyperlink w:anchor="_Toc233232773" w:history="1">
            <w:r w:rsidRPr="00B03D20">
              <w:rPr>
                <w:rStyle w:val="Hyperlink"/>
                <w:noProof/>
              </w:rPr>
              <w:t>6.</w:t>
            </w:r>
            <w:r>
              <w:rPr>
                <w:rFonts w:asciiTheme="minorHAnsi" w:eastAsiaTheme="minorEastAsia" w:hAnsiTheme="minorHAnsi"/>
                <w:noProof/>
                <w:sz w:val="24"/>
                <w:szCs w:val="24"/>
                <w:lang w:eastAsia="nl-NL"/>
              </w:rPr>
              <w:tab/>
            </w:r>
            <w:r w:rsidRPr="00B03D20">
              <w:rPr>
                <w:rStyle w:val="Hyperlink"/>
                <w:noProof/>
              </w:rPr>
              <w:t>Standpunt Zweedse wetgever</w:t>
            </w:r>
            <w:r>
              <w:rPr>
                <w:noProof/>
                <w:webHidden/>
              </w:rPr>
              <w:tab/>
            </w:r>
            <w:r>
              <w:rPr>
                <w:noProof/>
                <w:webHidden/>
              </w:rPr>
              <w:fldChar w:fldCharType="begin"/>
            </w:r>
            <w:r>
              <w:rPr>
                <w:noProof/>
                <w:webHidden/>
              </w:rPr>
              <w:instrText xml:space="preserve"> PAGEREF _Toc233232773 \h </w:instrText>
            </w:r>
            <w:r>
              <w:rPr>
                <w:noProof/>
                <w:webHidden/>
              </w:rPr>
            </w:r>
            <w:r>
              <w:rPr>
                <w:noProof/>
                <w:webHidden/>
              </w:rPr>
              <w:fldChar w:fldCharType="separate"/>
            </w:r>
            <w:r>
              <w:rPr>
                <w:noProof/>
                <w:webHidden/>
              </w:rPr>
              <w:t>32</w:t>
            </w:r>
            <w:r>
              <w:rPr>
                <w:noProof/>
                <w:webHidden/>
              </w:rPr>
              <w:fldChar w:fldCharType="end"/>
            </w:r>
          </w:hyperlink>
        </w:p>
        <w:p w14:paraId="4D3EDF72" w14:textId="3B9A6A81"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74" w:history="1">
            <w:r w:rsidRPr="00B03D20">
              <w:rPr>
                <w:rStyle w:val="Hyperlink"/>
                <w:noProof/>
              </w:rPr>
              <w:t>6.1</w:t>
            </w:r>
            <w:r>
              <w:rPr>
                <w:rFonts w:asciiTheme="minorHAnsi" w:eastAsiaTheme="minorEastAsia" w:hAnsiTheme="minorHAnsi"/>
                <w:noProof/>
                <w:sz w:val="24"/>
                <w:szCs w:val="24"/>
                <w:lang w:eastAsia="nl-NL"/>
              </w:rPr>
              <w:tab/>
            </w:r>
            <w:r w:rsidRPr="00B03D20">
              <w:rPr>
                <w:rStyle w:val="Hyperlink"/>
                <w:noProof/>
              </w:rPr>
              <w:t>Zweedse strafbaarstelling handel in invloed</w:t>
            </w:r>
            <w:r>
              <w:rPr>
                <w:noProof/>
                <w:webHidden/>
              </w:rPr>
              <w:tab/>
            </w:r>
            <w:r>
              <w:rPr>
                <w:noProof/>
                <w:webHidden/>
              </w:rPr>
              <w:fldChar w:fldCharType="begin"/>
            </w:r>
            <w:r>
              <w:rPr>
                <w:noProof/>
                <w:webHidden/>
              </w:rPr>
              <w:instrText xml:space="preserve"> PAGEREF _Toc233232774 \h </w:instrText>
            </w:r>
            <w:r>
              <w:rPr>
                <w:noProof/>
                <w:webHidden/>
              </w:rPr>
            </w:r>
            <w:r>
              <w:rPr>
                <w:noProof/>
                <w:webHidden/>
              </w:rPr>
              <w:fldChar w:fldCharType="separate"/>
            </w:r>
            <w:r>
              <w:rPr>
                <w:noProof/>
                <w:webHidden/>
              </w:rPr>
              <w:t>32</w:t>
            </w:r>
            <w:r>
              <w:rPr>
                <w:noProof/>
                <w:webHidden/>
              </w:rPr>
              <w:fldChar w:fldCharType="end"/>
            </w:r>
          </w:hyperlink>
        </w:p>
        <w:p w14:paraId="000EFA59" w14:textId="1F14CA7C"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75" w:history="1">
            <w:r w:rsidRPr="00B03D20">
              <w:rPr>
                <w:rStyle w:val="Hyperlink"/>
                <w:noProof/>
              </w:rPr>
              <w:t>6.2</w:t>
            </w:r>
            <w:r>
              <w:rPr>
                <w:rFonts w:asciiTheme="minorHAnsi" w:eastAsiaTheme="minorEastAsia" w:hAnsiTheme="minorHAnsi"/>
                <w:noProof/>
                <w:sz w:val="24"/>
                <w:szCs w:val="24"/>
                <w:lang w:eastAsia="nl-NL"/>
              </w:rPr>
              <w:tab/>
            </w:r>
            <w:r w:rsidRPr="00B03D20">
              <w:rPr>
                <w:rStyle w:val="Hyperlink"/>
                <w:noProof/>
              </w:rPr>
              <w:t>Reflectie op Zweedse wetgeving</w:t>
            </w:r>
            <w:r>
              <w:rPr>
                <w:noProof/>
                <w:webHidden/>
              </w:rPr>
              <w:tab/>
            </w:r>
            <w:r>
              <w:rPr>
                <w:noProof/>
                <w:webHidden/>
              </w:rPr>
              <w:fldChar w:fldCharType="begin"/>
            </w:r>
            <w:r>
              <w:rPr>
                <w:noProof/>
                <w:webHidden/>
              </w:rPr>
              <w:instrText xml:space="preserve"> PAGEREF _Toc233232775 \h </w:instrText>
            </w:r>
            <w:r>
              <w:rPr>
                <w:noProof/>
                <w:webHidden/>
              </w:rPr>
            </w:r>
            <w:r>
              <w:rPr>
                <w:noProof/>
                <w:webHidden/>
              </w:rPr>
              <w:fldChar w:fldCharType="separate"/>
            </w:r>
            <w:r>
              <w:rPr>
                <w:noProof/>
                <w:webHidden/>
              </w:rPr>
              <w:t>34</w:t>
            </w:r>
            <w:r>
              <w:rPr>
                <w:noProof/>
                <w:webHidden/>
              </w:rPr>
              <w:fldChar w:fldCharType="end"/>
            </w:r>
          </w:hyperlink>
        </w:p>
        <w:p w14:paraId="59A6EB51" w14:textId="14CA3881" w:rsidR="00C31192" w:rsidRDefault="00C31192">
          <w:pPr>
            <w:pStyle w:val="Inhopg2"/>
            <w:tabs>
              <w:tab w:val="left" w:pos="960"/>
              <w:tab w:val="right" w:leader="dot" w:pos="9062"/>
            </w:tabs>
            <w:rPr>
              <w:rFonts w:asciiTheme="minorHAnsi" w:eastAsiaTheme="minorEastAsia" w:hAnsiTheme="minorHAnsi"/>
              <w:noProof/>
              <w:sz w:val="24"/>
              <w:szCs w:val="24"/>
              <w:lang w:eastAsia="nl-NL"/>
            </w:rPr>
          </w:pPr>
          <w:hyperlink w:anchor="_Toc233232776" w:history="1">
            <w:r w:rsidRPr="00B03D20">
              <w:rPr>
                <w:rStyle w:val="Hyperlink"/>
                <w:noProof/>
              </w:rPr>
              <w:t>6.3</w:t>
            </w:r>
            <w:r>
              <w:rPr>
                <w:rFonts w:asciiTheme="minorHAnsi" w:eastAsiaTheme="minorEastAsia" w:hAnsiTheme="minorHAnsi"/>
                <w:noProof/>
                <w:sz w:val="24"/>
                <w:szCs w:val="24"/>
                <w:lang w:eastAsia="nl-NL"/>
              </w:rPr>
              <w:tab/>
            </w:r>
            <w:r w:rsidRPr="00B03D20">
              <w:rPr>
                <w:rStyle w:val="Hyperlink"/>
                <w:noProof/>
              </w:rPr>
              <w:t>Vergelijking met Nederland</w:t>
            </w:r>
            <w:r>
              <w:rPr>
                <w:noProof/>
                <w:webHidden/>
              </w:rPr>
              <w:tab/>
            </w:r>
            <w:r>
              <w:rPr>
                <w:noProof/>
                <w:webHidden/>
              </w:rPr>
              <w:fldChar w:fldCharType="begin"/>
            </w:r>
            <w:r>
              <w:rPr>
                <w:noProof/>
                <w:webHidden/>
              </w:rPr>
              <w:instrText xml:space="preserve"> PAGEREF _Toc233232776 \h </w:instrText>
            </w:r>
            <w:r>
              <w:rPr>
                <w:noProof/>
                <w:webHidden/>
              </w:rPr>
            </w:r>
            <w:r>
              <w:rPr>
                <w:noProof/>
                <w:webHidden/>
              </w:rPr>
              <w:fldChar w:fldCharType="separate"/>
            </w:r>
            <w:r>
              <w:rPr>
                <w:noProof/>
                <w:webHidden/>
              </w:rPr>
              <w:t>35</w:t>
            </w:r>
            <w:r>
              <w:rPr>
                <w:noProof/>
                <w:webHidden/>
              </w:rPr>
              <w:fldChar w:fldCharType="end"/>
            </w:r>
          </w:hyperlink>
        </w:p>
        <w:p w14:paraId="739E6B19" w14:textId="1E6F2B3E" w:rsidR="00C31192" w:rsidRDefault="00C31192">
          <w:pPr>
            <w:pStyle w:val="Inhopg1"/>
            <w:tabs>
              <w:tab w:val="left" w:pos="480"/>
              <w:tab w:val="right" w:leader="dot" w:pos="9062"/>
            </w:tabs>
            <w:rPr>
              <w:rFonts w:asciiTheme="minorHAnsi" w:eastAsiaTheme="minorEastAsia" w:hAnsiTheme="minorHAnsi"/>
              <w:noProof/>
              <w:sz w:val="24"/>
              <w:szCs w:val="24"/>
              <w:lang w:eastAsia="nl-NL"/>
            </w:rPr>
          </w:pPr>
          <w:hyperlink w:anchor="_Toc233232777" w:history="1">
            <w:r w:rsidRPr="00B03D20">
              <w:rPr>
                <w:rStyle w:val="Hyperlink"/>
                <w:noProof/>
              </w:rPr>
              <w:t>7.</w:t>
            </w:r>
            <w:r>
              <w:rPr>
                <w:rFonts w:asciiTheme="minorHAnsi" w:eastAsiaTheme="minorEastAsia" w:hAnsiTheme="minorHAnsi"/>
                <w:noProof/>
                <w:sz w:val="24"/>
                <w:szCs w:val="24"/>
                <w:lang w:eastAsia="nl-NL"/>
              </w:rPr>
              <w:tab/>
            </w:r>
            <w:r w:rsidRPr="00B03D20">
              <w:rPr>
                <w:rStyle w:val="Hyperlink"/>
                <w:noProof/>
              </w:rPr>
              <w:t>Conclusie</w:t>
            </w:r>
            <w:r>
              <w:rPr>
                <w:noProof/>
                <w:webHidden/>
              </w:rPr>
              <w:tab/>
            </w:r>
            <w:r>
              <w:rPr>
                <w:noProof/>
                <w:webHidden/>
              </w:rPr>
              <w:fldChar w:fldCharType="begin"/>
            </w:r>
            <w:r>
              <w:rPr>
                <w:noProof/>
                <w:webHidden/>
              </w:rPr>
              <w:instrText xml:space="preserve"> PAGEREF _Toc233232777 \h </w:instrText>
            </w:r>
            <w:r>
              <w:rPr>
                <w:noProof/>
                <w:webHidden/>
              </w:rPr>
            </w:r>
            <w:r>
              <w:rPr>
                <w:noProof/>
                <w:webHidden/>
              </w:rPr>
              <w:fldChar w:fldCharType="separate"/>
            </w:r>
            <w:r>
              <w:rPr>
                <w:noProof/>
                <w:webHidden/>
              </w:rPr>
              <w:t>37</w:t>
            </w:r>
            <w:r>
              <w:rPr>
                <w:noProof/>
                <w:webHidden/>
              </w:rPr>
              <w:fldChar w:fldCharType="end"/>
            </w:r>
          </w:hyperlink>
        </w:p>
        <w:p w14:paraId="1F7FA268" w14:textId="469CEE71" w:rsidR="00C31192" w:rsidRDefault="00C31192">
          <w:pPr>
            <w:pStyle w:val="Inhopg1"/>
            <w:tabs>
              <w:tab w:val="right" w:leader="dot" w:pos="9062"/>
            </w:tabs>
            <w:rPr>
              <w:rFonts w:asciiTheme="minorHAnsi" w:eastAsiaTheme="minorEastAsia" w:hAnsiTheme="minorHAnsi"/>
              <w:noProof/>
              <w:sz w:val="24"/>
              <w:szCs w:val="24"/>
              <w:lang w:eastAsia="nl-NL"/>
            </w:rPr>
          </w:pPr>
          <w:hyperlink w:anchor="_Toc233232778" w:history="1">
            <w:r w:rsidRPr="00B03D20">
              <w:rPr>
                <w:rStyle w:val="Hyperlink"/>
                <w:noProof/>
                <w:lang w:val="en-GB"/>
              </w:rPr>
              <w:t>Eindlijst</w:t>
            </w:r>
            <w:r>
              <w:rPr>
                <w:noProof/>
                <w:webHidden/>
              </w:rPr>
              <w:tab/>
            </w:r>
            <w:r>
              <w:rPr>
                <w:noProof/>
                <w:webHidden/>
              </w:rPr>
              <w:fldChar w:fldCharType="begin"/>
            </w:r>
            <w:r>
              <w:rPr>
                <w:noProof/>
                <w:webHidden/>
              </w:rPr>
              <w:instrText xml:space="preserve"> PAGEREF _Toc233232778 \h </w:instrText>
            </w:r>
            <w:r>
              <w:rPr>
                <w:noProof/>
                <w:webHidden/>
              </w:rPr>
            </w:r>
            <w:r>
              <w:rPr>
                <w:noProof/>
                <w:webHidden/>
              </w:rPr>
              <w:fldChar w:fldCharType="separate"/>
            </w:r>
            <w:r>
              <w:rPr>
                <w:noProof/>
                <w:webHidden/>
              </w:rPr>
              <w:t>40</w:t>
            </w:r>
            <w:r>
              <w:rPr>
                <w:noProof/>
                <w:webHidden/>
              </w:rPr>
              <w:fldChar w:fldCharType="end"/>
            </w:r>
          </w:hyperlink>
        </w:p>
        <w:p w14:paraId="58385897" w14:textId="7E86413A" w:rsidR="00DA1440" w:rsidRDefault="00DA1440" w:rsidP="00DA1440">
          <w:r>
            <w:rPr>
              <w:b/>
              <w:bCs/>
              <w:noProof/>
            </w:rPr>
            <w:fldChar w:fldCharType="end"/>
          </w:r>
        </w:p>
      </w:sdtContent>
    </w:sdt>
    <w:p w14:paraId="04AB7698" w14:textId="77777777" w:rsidR="00DA1440" w:rsidRDefault="00DA1440" w:rsidP="00DA1440">
      <w:r>
        <w:br w:type="page"/>
      </w:r>
    </w:p>
    <w:p w14:paraId="40F1619C" w14:textId="77777777" w:rsidR="00DA1440" w:rsidRDefault="00DA1440" w:rsidP="00DA1440">
      <w:pPr>
        <w:pStyle w:val="Kop1"/>
      </w:pPr>
      <w:bookmarkStart w:id="0" w:name="_Toc233232753"/>
      <w:r>
        <w:lastRenderedPageBreak/>
        <w:t>1.</w:t>
      </w:r>
      <w:r>
        <w:tab/>
        <w:t>Inleiding</w:t>
      </w:r>
      <w:bookmarkEnd w:id="0"/>
    </w:p>
    <w:p w14:paraId="073A86F3" w14:textId="77777777" w:rsidR="00DA1440" w:rsidRDefault="00DA1440" w:rsidP="00DA1440">
      <w:pPr>
        <w:pStyle w:val="Kop2"/>
      </w:pPr>
      <w:bookmarkStart w:id="1" w:name="_Toc233232754"/>
      <w:r>
        <w:t>1.1</w:t>
      </w:r>
      <w:r>
        <w:tab/>
        <w:t>Inhoudelijke introductie en definitie van handel in invloed</w:t>
      </w:r>
      <w:bookmarkEnd w:id="1"/>
    </w:p>
    <w:p w14:paraId="6B57D39E" w14:textId="77777777" w:rsidR="00DA1440" w:rsidRDefault="00DA1440" w:rsidP="00DA1440">
      <w:pPr>
        <w:pStyle w:val="Geenafstand"/>
      </w:pPr>
    </w:p>
    <w:p w14:paraId="235E4F35" w14:textId="77777777" w:rsidR="00DA1440" w:rsidRDefault="00DA1440" w:rsidP="00DA1440">
      <w:pPr>
        <w:pStyle w:val="Geenafstand"/>
      </w:pPr>
      <w:r>
        <w:t>Handel in invloed is een vorm van corruptie, die in veel EU-lidstaten al strafbaar is, maar in Nederland niet.</w:t>
      </w:r>
      <w:r>
        <w:rPr>
          <w:rStyle w:val="Voetnootmarkering"/>
        </w:rPr>
        <w:footnoteReference w:id="15"/>
      </w:r>
      <w:r>
        <w:t xml:space="preserve"> In internationaal verband is Nederland verscheidene keren opgeroepen om over te gaan tot expliciete strafbaarstelling van handel in invloed.</w:t>
      </w:r>
      <w:r>
        <w:rPr>
          <w:rStyle w:val="Voetnootmarkering"/>
        </w:rPr>
        <w:footnoteReference w:id="16"/>
      </w:r>
      <w:r>
        <w:t xml:space="preserve"> Ook Nederlandse ambtenaren, het Openbaar Ministerie en de Rijksrecherche zouden volgens verschillende media daartoe hebben opgeroepen.</w:t>
      </w:r>
      <w:r>
        <w:rPr>
          <w:rStyle w:val="Voetnootmarkering"/>
        </w:rPr>
        <w:footnoteReference w:id="17"/>
      </w:r>
      <w:r>
        <w:t xml:space="preserve"> </w:t>
      </w:r>
      <w:r w:rsidRPr="004712F9">
        <w:t>Aan</w:t>
      </w:r>
      <w:r>
        <w:t xml:space="preserve"> deze oproepen is om verschillende redenen tot nu toe geen gehoor gegeven: handel in invloed is nog altijd niet strafbaar in Nederland.</w:t>
      </w:r>
      <w:r>
        <w:rPr>
          <w:rStyle w:val="Voetnootmarkering"/>
        </w:rPr>
        <w:footnoteReference w:id="18"/>
      </w:r>
    </w:p>
    <w:p w14:paraId="74117300" w14:textId="77777777" w:rsidR="00DA1440" w:rsidRDefault="00DA1440" w:rsidP="00DA1440">
      <w:pPr>
        <w:pStyle w:val="Geenafstand"/>
        <w:ind w:firstLine="708"/>
      </w:pPr>
      <w:r>
        <w:t>In de Nederlandse literatuur zijn er uiteenlopende definities gegeven van handel in invloed.</w:t>
      </w:r>
      <w:r>
        <w:rPr>
          <w:rStyle w:val="Voetnootmarkering"/>
        </w:rPr>
        <w:footnoteReference w:id="19"/>
      </w:r>
      <w:r>
        <w:t xml:space="preserve"> Ik ga uit van de definitie van Bottse, omdat zij het meest aansluit bij de definities zoals gegeven in de verschillende internationale instrumenten. Bottse omschrijft handel in invloed als “het aanbieden of aannemen van een voordeel met het oog op het beïnvloeden van besluitvorming door ambtenaren”.</w:t>
      </w:r>
      <w:r>
        <w:rPr>
          <w:rStyle w:val="Voetnootmarkering"/>
        </w:rPr>
        <w:footnoteReference w:id="20"/>
      </w:r>
      <w:r>
        <w:t xml:space="preserve"> De Verenigde Naties (VN) en de Europese Commissie, die in haar voorstel voor een richtlijn ter bestrijding van corruptie dezelfde definitie hanteert als de VN, hebben aan deze definitie verschillende elementen toegevoegd.</w:t>
      </w:r>
      <w:r>
        <w:rPr>
          <w:rStyle w:val="Voetnootmarkering"/>
        </w:rPr>
        <w:footnoteReference w:id="21"/>
      </w:r>
      <w:r>
        <w:t xml:space="preserve"> Hetzelfde geldt voor de Raad van Europa. De definities van deze internationale organisaties beschrijf ik hieronder.</w:t>
      </w:r>
    </w:p>
    <w:p w14:paraId="5C75C388" w14:textId="77777777" w:rsidR="00DA1440" w:rsidRDefault="00DA1440" w:rsidP="00DA1440">
      <w:pPr>
        <w:pStyle w:val="Geenafstand"/>
        <w:ind w:firstLine="708"/>
      </w:pPr>
      <w:r>
        <w:t>Hoewel handel in invloed geen omkoping is in de zin van het Wetboek van Strafrecht – en degene die het voordeel belooft, biedt of geeft dus geen omkoper is – zal ik het vervolg van deze scriptie toch schrijven over de ‘omkoper’.</w:t>
      </w:r>
      <w:r>
        <w:rPr>
          <w:rStyle w:val="Voetnootmarkering"/>
        </w:rPr>
        <w:footnoteReference w:id="22"/>
      </w:r>
      <w:r>
        <w:t xml:space="preserve"> Dat sluit aan bij de woordkeuze in de literatuur.</w:t>
      </w:r>
      <w:r>
        <w:rPr>
          <w:rStyle w:val="Voetnootmarkering"/>
        </w:rPr>
        <w:footnoteReference w:id="23"/>
      </w:r>
      <w:r>
        <w:t xml:space="preserve"> Bovendien leidt het gebruik van de term ‘omkoper’ tot een leesbaardere tekst.</w:t>
      </w:r>
      <w:r>
        <w:rPr>
          <w:rStyle w:val="Voetnootmarkering"/>
        </w:rPr>
        <w:footnoteReference w:id="24"/>
      </w:r>
      <w:r>
        <w:t xml:space="preserve"> Ook kan met deze term eenvoudiger een vergelijking worden gemaakt met de bestaande Nederlandse strafbaarstellingen van omkoping. Uit de context zal telkens duidelijk worden of ik doel op de omkoper bij handel in invloed of die bij omkoping. </w:t>
      </w:r>
    </w:p>
    <w:p w14:paraId="2CDB0E0D" w14:textId="77777777" w:rsidR="00DA1440" w:rsidRDefault="00DA1440" w:rsidP="00DA1440">
      <w:pPr>
        <w:pStyle w:val="Geenafstand"/>
      </w:pPr>
    </w:p>
    <w:p w14:paraId="6AB6D3CC" w14:textId="77777777" w:rsidR="00DA1440" w:rsidRDefault="00DA1440" w:rsidP="00DA1440">
      <w:pPr>
        <w:pStyle w:val="Geenafstand"/>
      </w:pPr>
      <w:r>
        <w:t xml:space="preserve">In het Verdrag van de Verenigde Naties tegen Corruptie (VTC) wordt ‘trading in influence’ in artikel 18 gedefinieerd als een ambtenaar of ander persoon onrechtmatig voordeel beloven, aanbieden of geven, opdat die zijn of haar invloed misbruikt om ervoor te zorgen dat de ‘omkoper’ een onverschuldigd </w:t>
      </w:r>
      <w:r>
        <w:lastRenderedPageBreak/>
        <w:t>voordeel verkrijgt.</w:t>
      </w:r>
      <w:r>
        <w:rPr>
          <w:rStyle w:val="Voetnootmarkering"/>
        </w:rPr>
        <w:footnoteReference w:id="25"/>
      </w:r>
      <w:r>
        <w:t xml:space="preserve"> Ook de passieve variant, dus de ambtenaar die het voordeel ontvangt, kwalificeert als trading in influence.</w:t>
      </w:r>
      <w:r>
        <w:rPr>
          <w:rStyle w:val="Voetnootmarkering"/>
        </w:rPr>
        <w:footnoteReference w:id="26"/>
      </w:r>
      <w:r>
        <w:t xml:space="preserve"> </w:t>
      </w:r>
    </w:p>
    <w:p w14:paraId="02E83977" w14:textId="77777777" w:rsidR="00DA1440" w:rsidRDefault="00DA1440" w:rsidP="00DA1440">
      <w:pPr>
        <w:pStyle w:val="Geenafstand"/>
        <w:ind w:firstLine="708"/>
      </w:pPr>
      <w:r>
        <w:t>Volgens het kabinet en blijkens de literatuur is de bepaling uit het VTC bekend uit het Corruptieverdrag van de Raad van Europa.</w:t>
      </w:r>
      <w:r>
        <w:rPr>
          <w:rStyle w:val="Voetnootmarkering"/>
        </w:rPr>
        <w:footnoteReference w:id="27"/>
      </w:r>
      <w:r>
        <w:t xml:space="preserve"> In dit Corruptieverdrag is overigens geëxpliciteerd wat ook voor het VTC geldt: ook strafbaar moet zijn degene die voordeel ontvangt, terwijl hij enkel </w:t>
      </w:r>
      <w:r>
        <w:rPr>
          <w:i/>
          <w:iCs/>
        </w:rPr>
        <w:t xml:space="preserve">beweert </w:t>
      </w:r>
      <w:r>
        <w:t>invloed uit te kunnen oefenen op de besluitvorming.</w:t>
      </w:r>
      <w:r>
        <w:rPr>
          <w:rStyle w:val="Voetnootmarkering"/>
        </w:rPr>
        <w:footnoteReference w:id="28"/>
      </w:r>
      <w:r>
        <w:t xml:space="preserve"> </w:t>
      </w:r>
    </w:p>
    <w:p w14:paraId="21F1437A" w14:textId="77777777" w:rsidR="00DA1440" w:rsidRDefault="00DA1440" w:rsidP="00DA1440">
      <w:pPr>
        <w:pStyle w:val="Geenafstand"/>
        <w:ind w:firstLine="708"/>
      </w:pPr>
      <w:r>
        <w:t>Volgens de Raad van Europa gaat het bij handel in invloed om een ‘corrupte driehoeksrelatie’: de omkoper is bereid de ontvanger van het voordeel te betalen, omdat die laatste feitelijk of veronderstelde invloed heeft op de beleidsmaker. ‘Corrupte opzet’ bij de ontvanger van het voordeel is volgens de Raad van Europa een cruciaal element, omdat erkende vormen van lobbyen niet onder handel in invloed vallen.</w:t>
      </w:r>
      <w:r>
        <w:rPr>
          <w:rStyle w:val="Voetnootmarkering"/>
        </w:rPr>
        <w:footnoteReference w:id="29"/>
      </w:r>
    </w:p>
    <w:p w14:paraId="3FB67078" w14:textId="77777777" w:rsidR="00DA1440" w:rsidRDefault="00DA1440" w:rsidP="00DA1440">
      <w:pPr>
        <w:pStyle w:val="Geenafstand"/>
      </w:pPr>
    </w:p>
    <w:p w14:paraId="55059192" w14:textId="77777777" w:rsidR="00DA1440" w:rsidRDefault="00DA1440" w:rsidP="00DA1440">
      <w:pPr>
        <w:pStyle w:val="Kop2"/>
      </w:pPr>
      <w:bookmarkStart w:id="2" w:name="_Toc233232755"/>
      <w:r>
        <w:t>1.2</w:t>
      </w:r>
      <w:r>
        <w:tab/>
        <w:t>Relevantie van het onderzoek</w:t>
      </w:r>
      <w:bookmarkEnd w:id="2"/>
    </w:p>
    <w:p w14:paraId="51AE700B" w14:textId="77777777" w:rsidR="00DA1440" w:rsidRPr="001A5D6D" w:rsidRDefault="00DA1440" w:rsidP="00DA1440">
      <w:pPr>
        <w:pStyle w:val="Geenafstand"/>
      </w:pPr>
    </w:p>
    <w:p w14:paraId="2C0D4651" w14:textId="77777777" w:rsidR="00DA1440" w:rsidRDefault="00DA1440" w:rsidP="00DA1440">
      <w:pPr>
        <w:pStyle w:val="Geenafstand"/>
      </w:pPr>
      <w:r>
        <w:t>In de literatuur is de discussie rondom de expliciete strafbaarstelling van handel in invloed in Nederland enkele keren aan bod gekomen.</w:t>
      </w:r>
      <w:r>
        <w:rPr>
          <w:rStyle w:val="Voetnootmarkering"/>
        </w:rPr>
        <w:footnoteReference w:id="30"/>
      </w:r>
      <w:r>
        <w:t xml:space="preserve"> Toch zijn er leemtes te ontdekken in de wetenschappelijke analyse van de discussie. Zo is in de literatuur de draai die de Nederlandse regering heeft gemaakt omtrent het al dan niet strafbaar willen stellen van handel in invloed (hoofdstuk 2) niet erkend en (dus) niet geanalyseerd. Deze kwestie is extra interessant, nu veel (Europese) landen al langer voorstander zijn van expliciete strafbaarstelling van handel in invloed. De vraag waarom de Nederlandse regering (zo relatief laat) een draai heeft gemaakt, is echter nog onbeantwoord. Bovendien bleef het bij bestaande analyses van de discussie rondom strafbaarstelling van handel in invloed bij een eenzijdig perspectief, vanuit bijvoorbeeld de Europese Commissie.</w:t>
      </w:r>
      <w:r>
        <w:rPr>
          <w:rStyle w:val="Voetnootmarkering"/>
        </w:rPr>
        <w:footnoteReference w:id="31"/>
      </w:r>
    </w:p>
    <w:p w14:paraId="144F4F9F" w14:textId="77777777" w:rsidR="00DA1440" w:rsidRDefault="00DA1440" w:rsidP="00DA1440">
      <w:pPr>
        <w:pStyle w:val="Geenafstand"/>
      </w:pPr>
      <w:r>
        <w:tab/>
        <w:t>Daarnaast is er geen rechtsvergelijkend onderzoek gedaan naar de argumentatie achter (het achterwege blijven van) expliciete strafbaarstelling van handel in invloed. Niet eerder is de argumentatie van meerdere wetgevers op dit punt naast elkaar gelegd en getoetst aan de hand van de criteria voor strafbaarstelling.</w:t>
      </w:r>
      <w:r>
        <w:rPr>
          <w:rStyle w:val="Voetnootmarkering"/>
        </w:rPr>
        <w:footnoteReference w:id="32"/>
      </w:r>
      <w:r>
        <w:t xml:space="preserve"> Er is daarom ook een leemte in de wetenschappelijke literatuur op dit punt. </w:t>
      </w:r>
    </w:p>
    <w:p w14:paraId="41AE3119" w14:textId="77777777" w:rsidR="00DA1440" w:rsidRDefault="00DA1440" w:rsidP="00DA1440">
      <w:pPr>
        <w:pStyle w:val="Geenafstand"/>
      </w:pPr>
    </w:p>
    <w:p w14:paraId="529E579C" w14:textId="77777777" w:rsidR="00DA1440" w:rsidRDefault="00DA1440" w:rsidP="00DA1440">
      <w:pPr>
        <w:pStyle w:val="Geenafstand"/>
      </w:pPr>
      <w:r>
        <w:t>Deze scriptie vult de beschreven leemtes in de literatuur op door de overwegingen van de Nederlandse wetgever, de Europese Commissie, de Franse wetgever en de Zweedse wetgever te analyseren en onderling te vergelijken, aan de hand van de criteria voor strafbaarstelling.</w:t>
      </w:r>
      <w:r>
        <w:rPr>
          <w:rStyle w:val="Voetnootmarkering"/>
        </w:rPr>
        <w:footnoteReference w:id="33"/>
      </w:r>
      <w:r>
        <w:t xml:space="preserve"> Daarmee is dit onderzoek op verschillende punten van waarde. Ten eerste wordt inzicht verkregen in de redenen waarom het standpunt van de Nederlandse regering is veranderd over strafbaarstelling van handel in invloed. Ten tweede wordt de wetgevingsargumentatie kritisch geanalyseerd met behulp van de criteria voor strafbaarstelling. Dat laat de kwaliteit van wetgevingsredenering zien.</w:t>
      </w:r>
      <w:r>
        <w:rPr>
          <w:rStyle w:val="Voetnootmarkering"/>
        </w:rPr>
        <w:footnoteReference w:id="34"/>
      </w:r>
      <w:r>
        <w:t xml:space="preserve"> Bovendien geeft deze analyse inzicht hoe criteria voor strafbaarstelling in de praktijk functioneren in wetgevingsprocessen en welke gevolgen dat kan hebben voor de (kwaliteit van) wetgeving. Ten derde wordt, door het analyseren en </w:t>
      </w:r>
      <w:r>
        <w:lastRenderedPageBreak/>
        <w:t>vergelijken van de drie genoemde EU-lidstaten en de Europese Commissie, duidelijk wat de rol is van internationale organisaties bij de overwegingen om tot strafbaarstelling over te gaan. Daarmee maak ik bovendien inzichtelijk of en, zo ja, in hoeverre het handelen van internationale organisaties in verschillende landen vergelijkbare gevolgen heeft.</w:t>
      </w:r>
    </w:p>
    <w:p w14:paraId="1F93D91C" w14:textId="77777777" w:rsidR="00DA1440" w:rsidRDefault="00DA1440" w:rsidP="00DA1440">
      <w:pPr>
        <w:pStyle w:val="Geenafstand"/>
      </w:pPr>
    </w:p>
    <w:p w14:paraId="05FCCE0F" w14:textId="77777777" w:rsidR="00DA1440" w:rsidRPr="007A6590" w:rsidRDefault="00DA1440" w:rsidP="00DA1440">
      <w:pPr>
        <w:pStyle w:val="Kop2"/>
      </w:pPr>
      <w:bookmarkStart w:id="3" w:name="_Toc233232756"/>
      <w:r>
        <w:t>1.3</w:t>
      </w:r>
      <w:r>
        <w:tab/>
      </w:r>
      <w:r w:rsidRPr="007A6590">
        <w:t>Opzet scriptie</w:t>
      </w:r>
      <w:bookmarkEnd w:id="3"/>
    </w:p>
    <w:p w14:paraId="4E79C27B" w14:textId="77777777" w:rsidR="00DA1440" w:rsidRDefault="00DA1440" w:rsidP="00DA1440">
      <w:pPr>
        <w:pStyle w:val="Geenafstand"/>
      </w:pPr>
    </w:p>
    <w:p w14:paraId="3026C8E5" w14:textId="77777777" w:rsidR="00DA1440" w:rsidRDefault="00DA1440" w:rsidP="00DA1440">
      <w:pPr>
        <w:pStyle w:val="Geenafstand"/>
      </w:pPr>
      <w:r>
        <w:t>De argumenten van de Nederlandse wetgever om handel in invloed (in eerste instantie: niet) strafbaar te willen stellen, wil ik vergelijken met de argumenten van andere wetgevers, die (al langer) voorstander zijn van expliciete strafbaarstelling. Ik heb ervoor gekozen om de Nederlandse argumenten te vergelijken met die van de Europese Commissie, Frankrijk en Zweden. De keuze voor deze landen licht ik hieronder toe.</w:t>
      </w:r>
    </w:p>
    <w:p w14:paraId="5AF5B55C" w14:textId="77777777" w:rsidR="00DA1440" w:rsidRDefault="00DA1440" w:rsidP="00DA1440">
      <w:pPr>
        <w:pStyle w:val="Geenafstand"/>
        <w:ind w:firstLine="708"/>
      </w:pPr>
      <w:r>
        <w:t>De Europese Commissie is, getuige de Corruptierichtlijn, van oordeel dat handel in invloed in alle EU-lidstaten expliciet strafbaar moet worden gesteld. Gelet op het belang van de Corruptierichtlijn voor Nederland, analyseer ik in deze scriptie de overwegingen van de Europese Commissie.</w:t>
      </w:r>
      <w:r>
        <w:rPr>
          <w:rStyle w:val="Voetnootmarkering"/>
        </w:rPr>
        <w:footnoteReference w:id="35"/>
      </w:r>
      <w:r>
        <w:t xml:space="preserve"> </w:t>
      </w:r>
    </w:p>
    <w:p w14:paraId="1F3B5ECB" w14:textId="77777777" w:rsidR="00DA1440" w:rsidRDefault="00DA1440" w:rsidP="00DA1440">
      <w:pPr>
        <w:pStyle w:val="Geenafstand"/>
        <w:ind w:firstLine="708"/>
      </w:pPr>
      <w:r>
        <w:t>Voorts focus ik op de overwegingen van de Franse wetgever. De Franse strafbaarstelling van handel in invloed bestaat al erg lang en vormde de basis voor een aantal voorgeschreven strafbaarstellingen uit internationale instrumenten.</w:t>
      </w:r>
      <w:r>
        <w:rPr>
          <w:rStyle w:val="Voetnootmarkering"/>
        </w:rPr>
        <w:footnoteReference w:id="36"/>
      </w:r>
      <w:r>
        <w:t xml:space="preserve"> Dat maakt de Franse argumenten voor strafbaarstelling interessant. Daarnaast is een vergelijking met Frankrijk gepast, omdat het rechtssysteem zeer vergelijkbaar is met dat van Nederland.</w:t>
      </w:r>
      <w:r>
        <w:rPr>
          <w:rStyle w:val="Voetnootmarkering"/>
        </w:rPr>
        <w:footnoteReference w:id="37"/>
      </w:r>
      <w:r>
        <w:t xml:space="preserve"> Bovendien is Frankrijk – net als Nederland – een lidstaat van de EU, de Raad van Europa en de Verenigde Naties. De internationale context is daarmee vergelijkbaar, waardoor een vergelijking zinnig is.</w:t>
      </w:r>
      <w:r>
        <w:rPr>
          <w:rStyle w:val="Voetnootmarkering"/>
        </w:rPr>
        <w:footnoteReference w:id="38"/>
      </w:r>
      <w:r>
        <w:t xml:space="preserve"> Tegelijkertijd is Frankrijk in de perceptie van respondenten van </w:t>
      </w:r>
      <w:r>
        <w:rPr>
          <w:i/>
          <w:iCs/>
        </w:rPr>
        <w:t xml:space="preserve">Transparency International </w:t>
      </w:r>
      <w:r>
        <w:t>corrupter dan Nederland.</w:t>
      </w:r>
      <w:r>
        <w:rPr>
          <w:rStyle w:val="Voetnootmarkering"/>
        </w:rPr>
        <w:footnoteReference w:id="39"/>
      </w:r>
    </w:p>
    <w:p w14:paraId="43B05974" w14:textId="77777777" w:rsidR="00DA1440" w:rsidRPr="0013161A" w:rsidRDefault="00DA1440" w:rsidP="00DA1440">
      <w:pPr>
        <w:pStyle w:val="Geenafstand"/>
        <w:ind w:firstLine="708"/>
      </w:pPr>
      <w:r>
        <w:t>Verder wordt een vergelijking met de Zweedse situatie gemaakt. Voor Zweden geldt dezelfde (hiervoor beschreven) internationale context als in Frankrijk en Nederland, hetgeen een vergelijking passend maakt.</w:t>
      </w:r>
      <w:r>
        <w:rPr>
          <w:rStyle w:val="Voetnootmarkering"/>
        </w:rPr>
        <w:footnoteReference w:id="40"/>
      </w:r>
      <w:r>
        <w:t xml:space="preserve"> Bovendien is de vergelijking met Zweden interessant omdat de Zweedse wetgever lange tijd tegen expliciete strafbaarstelling was van handel in invloed.</w:t>
      </w:r>
      <w:r>
        <w:rPr>
          <w:rStyle w:val="Voetnootmarkering"/>
        </w:rPr>
        <w:footnoteReference w:id="41"/>
      </w:r>
      <w:r>
        <w:t xml:space="preserve"> Daarbij gebruikte hij veelal dezelfde argumenten als de Nederlandse wetgever heeft gebruikt. De Zweden hebben echter enkele jaren geleden een draai gemaakt. Deze draai wil ik vergelijken met de draai van de Nederlandse wetgever. Ten slotte is Zweden (zesde plaats van de wereld) – volgens </w:t>
      </w:r>
      <w:r>
        <w:rPr>
          <w:i/>
          <w:iCs/>
        </w:rPr>
        <w:t>Transparency International</w:t>
      </w:r>
      <w:r>
        <w:t xml:space="preserve"> – in de perceptie van de respondenten minder corrupt dan Nederland (achtste plaats) en Frankrijk (27</w:t>
      </w:r>
      <w:r w:rsidRPr="001E49BF">
        <w:rPr>
          <w:vertAlign w:val="superscript"/>
        </w:rPr>
        <w:t>e</w:t>
      </w:r>
      <w:r>
        <w:t xml:space="preserve"> plaats).</w:t>
      </w:r>
      <w:r>
        <w:rPr>
          <w:rStyle w:val="Voetnootmarkering"/>
        </w:rPr>
        <w:footnoteReference w:id="42"/>
      </w:r>
      <w:r>
        <w:t xml:space="preserve"> Door Nederland te vergelijken met Zweden en Frankrijk, maak ik dus een vergelijking met een land dat in de perceptie minder corrupt is en een land dat corrupter is.</w:t>
      </w:r>
    </w:p>
    <w:p w14:paraId="5F648A76" w14:textId="77777777" w:rsidR="00DA1440" w:rsidRDefault="00DA1440" w:rsidP="00DA1440">
      <w:pPr>
        <w:pStyle w:val="Geenafstand"/>
        <w:ind w:firstLine="708"/>
      </w:pPr>
      <w:r>
        <w:t>De overwegingen van de vier actoren worden in deze scriptie kritisch bekeken, met name in het licht van de criteria voor strafbaarstelling.</w:t>
      </w:r>
      <w:r>
        <w:rPr>
          <w:rStyle w:val="Voetnootmarkering"/>
        </w:rPr>
        <w:footnoteReference w:id="43"/>
      </w:r>
      <w:r>
        <w:t xml:space="preserve"> Wanneer het gaat om de Europese Commissie, Zweden en Frankrijk, maak ik voortdurend de vergelijking met de Nederlandse situatie en de overwegingen van de Nederlandse wetgever.</w:t>
      </w:r>
    </w:p>
    <w:p w14:paraId="2F20AA1C" w14:textId="77777777" w:rsidR="00DA1440" w:rsidRDefault="00DA1440" w:rsidP="00DA1440">
      <w:pPr>
        <w:pStyle w:val="Geenafstand"/>
      </w:pPr>
    </w:p>
    <w:p w14:paraId="4E62DC27" w14:textId="77777777" w:rsidR="00692AEE" w:rsidRDefault="00692AEE">
      <w:r>
        <w:br w:type="page"/>
      </w:r>
    </w:p>
    <w:p w14:paraId="132AB477" w14:textId="5C268FAE" w:rsidR="00DA1440" w:rsidRDefault="00DA1440" w:rsidP="00DA1440">
      <w:pPr>
        <w:pStyle w:val="Geenafstand"/>
      </w:pPr>
      <w:r>
        <w:lastRenderedPageBreak/>
        <w:t>De hoofdvraag van de scriptie luidt als volgt:</w:t>
      </w:r>
    </w:p>
    <w:p w14:paraId="6859E6DC" w14:textId="77777777" w:rsidR="00DA1440" w:rsidRDefault="00DA1440" w:rsidP="00DA1440">
      <w:pPr>
        <w:pStyle w:val="Geenafstand"/>
      </w:pPr>
    </w:p>
    <w:p w14:paraId="5BFA7783" w14:textId="77777777" w:rsidR="00DA1440" w:rsidRPr="00B654DC" w:rsidRDefault="00DA1440" w:rsidP="00DA1440">
      <w:pPr>
        <w:pStyle w:val="Geenafstand"/>
        <w:rPr>
          <w:b/>
          <w:bCs/>
        </w:rPr>
      </w:pPr>
      <w:r>
        <w:rPr>
          <w:b/>
          <w:bCs/>
        </w:rPr>
        <w:t>Welke argumenten, in het licht van de criteria voor strafbaarstelling, verklaren dat de Europese Commissie en de Franse en Zweedse wetgever handel in invloed expliciet strafbaar (hebben) willen stellen en hoe verhouden deze zich tot de overwegingen van de Nederlandse wetgever om handel in invloed (niet) expliciet strafbaar te stellen?</w:t>
      </w:r>
    </w:p>
    <w:p w14:paraId="32C7C484" w14:textId="77777777" w:rsidR="00DA1440" w:rsidRDefault="00DA1440" w:rsidP="00DA1440">
      <w:pPr>
        <w:pStyle w:val="Geenafstand"/>
      </w:pPr>
    </w:p>
    <w:p w14:paraId="34CAD352" w14:textId="77777777" w:rsidR="00DA1440" w:rsidRDefault="00DA1440" w:rsidP="00DA1440">
      <w:pPr>
        <w:pStyle w:val="Geenafstand"/>
      </w:pPr>
      <w:r>
        <w:t>In hoofdstuk 2 worden de twee centrale thema’s van de scriptie nader toegelicht: handel in invloed en de criteria voor strafbaarstelling. Ik leg uit dat handel in invloed in Nederland niet strafbaar is. Daartoe maak ik inzichtelijk wat de verschillen zijn tussen handel in invloed en de strafbare vormen van omkoping. Verder maak ik duidelijk wat de criteria voor strafbaarstelling betekenen en welke functie ze in de scriptie vervullen.</w:t>
      </w:r>
    </w:p>
    <w:p w14:paraId="6419C2AF" w14:textId="77777777" w:rsidR="00DA1440" w:rsidRDefault="00DA1440" w:rsidP="00DA1440">
      <w:pPr>
        <w:pStyle w:val="Geenafstand"/>
        <w:ind w:firstLine="708"/>
      </w:pPr>
      <w:r>
        <w:t>In hoofdstuk 3 besteed ik aandacht aan het standpunt van de Nederlandse wetgever.</w:t>
      </w:r>
      <w:r>
        <w:rPr>
          <w:rStyle w:val="Voetnootmarkering"/>
        </w:rPr>
        <w:footnoteReference w:id="44"/>
      </w:r>
      <w:r>
        <w:t xml:space="preserve"> Daartoe geef ik een overzicht van de verschillende overwegingen van de Nederlandse regering door de jaren heen. Daarmee wordt de draai duidelijk die op dit punt is gemaakt. Ook maak ik de criteria voor strafbaarstelling expliciet die terugkomen in de overwegingen. Vervolgens geef ik een kritische beschouwing van dit standpunt.</w:t>
      </w:r>
    </w:p>
    <w:p w14:paraId="4B4EA1DE" w14:textId="77777777" w:rsidR="00DA1440" w:rsidRDefault="00DA1440" w:rsidP="00DA1440">
      <w:pPr>
        <w:pStyle w:val="Geenafstand"/>
      </w:pPr>
      <w:r>
        <w:tab/>
        <w:t>Hoofdstuk 4 staat in het teken van het standpunt van de Europese Commissie, zoals zij dat naar voren heeft laten komen in het voorstel voor de Corruptierichtlijn. Allereerst zet ik de overwegingen van de Commissie uiteen om strafbaarstelling van handel in invloed voor te schrijven, mede in het licht van de Europese criteria voor strafbaarstelling. Vervolgens wordt de onderbouwing van het voorstel kritisch bekeken. Ten slotte vergelijk ik de argumenten van de Commissie met die van de Nederlandse wetgever, specifiek met het oog op het verschil in weging van een aantal criteria voor strafbaarstelling.</w:t>
      </w:r>
    </w:p>
    <w:p w14:paraId="22A4A9E0" w14:textId="77777777" w:rsidR="00DA1440" w:rsidRDefault="00DA1440" w:rsidP="00DA1440">
      <w:pPr>
        <w:pStyle w:val="Geenafstand"/>
      </w:pPr>
      <w:r>
        <w:tab/>
        <w:t xml:space="preserve">Hoofdstuk 5 ziet op de overwegingen van de Franse wetgever om ongeveer 150 jaar geleden handel in invloed strafbaar te stellen. Daarbij komt de toepassing van de criteria voor strafbaarstelling aan bod, analyseer ik de gebruikte argumenten, bespreek ik de geuite kritiek op de strafbaarstelling en vergelijk ik de Franse situatie met de Nederlandse. </w:t>
      </w:r>
    </w:p>
    <w:p w14:paraId="2215C341" w14:textId="77777777" w:rsidR="00DA1440" w:rsidRDefault="00DA1440" w:rsidP="00DA1440">
      <w:pPr>
        <w:pStyle w:val="Geenafstand"/>
      </w:pPr>
      <w:r>
        <w:tab/>
        <w:t>In hoofdstuk 6 komen de argumenten van de Zweedse wetgever aan bod, wederom in het licht van de criteria voor strafbaarstelling. Vervolgens analyseer ik het standpunt van de Zweedse wetgever en de werking van de strafbaarstelling in de praktijk. Ten slotte maak ik een vergelijking met de Nederlandse situatie.</w:t>
      </w:r>
    </w:p>
    <w:p w14:paraId="37F05607" w14:textId="77777777" w:rsidR="00DA1440" w:rsidRDefault="00DA1440" w:rsidP="00DA1440">
      <w:pPr>
        <w:pStyle w:val="Geenafstand"/>
      </w:pPr>
      <w:r>
        <w:tab/>
        <w:t>Ten slotte vat ik in het zevende hoofdstuk, de conclusie, mijn bevindingen samen en beantwoord ik de hoofdvraag.</w:t>
      </w:r>
    </w:p>
    <w:p w14:paraId="1A2113FA" w14:textId="77777777" w:rsidR="00DA1440" w:rsidRDefault="00DA1440" w:rsidP="00DA1440">
      <w:pPr>
        <w:pStyle w:val="Geenafstand"/>
      </w:pPr>
    </w:p>
    <w:p w14:paraId="0208119A" w14:textId="77777777" w:rsidR="00DA1440" w:rsidRDefault="00DA1440" w:rsidP="00DA1440">
      <w:pPr>
        <w:pStyle w:val="Kop2"/>
      </w:pPr>
      <w:bookmarkStart w:id="4" w:name="_Toc233232757"/>
      <w:r>
        <w:t>1.4</w:t>
      </w:r>
      <w:r>
        <w:tab/>
        <w:t>Methodologie</w:t>
      </w:r>
      <w:bookmarkEnd w:id="4"/>
    </w:p>
    <w:p w14:paraId="0A97E1C4" w14:textId="77777777" w:rsidR="00DA1440" w:rsidRDefault="00DA1440" w:rsidP="00DA1440">
      <w:pPr>
        <w:pStyle w:val="Geenafstand"/>
      </w:pPr>
    </w:p>
    <w:p w14:paraId="7FBCE51B" w14:textId="77777777" w:rsidR="00DA1440" w:rsidRDefault="00DA1440" w:rsidP="00DA1440">
      <w:pPr>
        <w:pStyle w:val="Geenafstand"/>
      </w:pPr>
      <w:r>
        <w:t>Deze scriptie bevat aspecten van verschillende soorten juridisch onderzoek. De aard van het onderzoek verschilt per hoofdstuk. Daarom wordt hieronder uiteengezet hoe elk hoofdstuk moet worden getypeerd. Voorts leg ik uit hoe ik per hoofdstuk te werk ben gegaan. Vooraf merk ik op dat het onderzoek in de kern extern (micro-)rechtsvergelijkend van aard is, vanwege de vergelijkingen met het buitenland en de Europese Commissie. Waar er echter in een doorsnee rechtsvergelijkend onderzoek veelal wordt gefocust op de ‘elders’ geldende rechtsregels, focust deze scriptie op de daaraan ten grondslag liggende argumenten voor strafbaarstelling.</w:t>
      </w:r>
      <w:r>
        <w:rPr>
          <w:rStyle w:val="Voetnootmarkering"/>
        </w:rPr>
        <w:footnoteReference w:id="45"/>
      </w:r>
      <w:r>
        <w:t xml:space="preserve"> Daarbij gebruik ik het leerstuk van de criteria voor strafbaarstelling voor een analyse van de argumenten van de Nederlandse wetgever, van de Europese Commissie, van de Franse wetgever en van de Zweedse wetgever. </w:t>
      </w:r>
    </w:p>
    <w:p w14:paraId="0CAE49E5" w14:textId="77777777" w:rsidR="00DA1440" w:rsidRDefault="00DA1440" w:rsidP="00DA1440">
      <w:pPr>
        <w:pStyle w:val="Geenafstand"/>
      </w:pPr>
      <w:r>
        <w:tab/>
        <w:t xml:space="preserve">Bij de start van het onderzoek, heb ik via de zoekmachines </w:t>
      </w:r>
      <w:r w:rsidRPr="008F2A0B">
        <w:rPr>
          <w:i/>
          <w:iCs/>
        </w:rPr>
        <w:t>Legal Intelligence</w:t>
      </w:r>
      <w:r w:rsidRPr="008F2A0B">
        <w:t xml:space="preserve">, </w:t>
      </w:r>
      <w:r w:rsidRPr="008F2A0B">
        <w:rPr>
          <w:i/>
          <w:iCs/>
        </w:rPr>
        <w:t>InView</w:t>
      </w:r>
      <w:r w:rsidRPr="008F2A0B">
        <w:t xml:space="preserve">, </w:t>
      </w:r>
      <w:r w:rsidRPr="008F2A0B">
        <w:rPr>
          <w:i/>
          <w:iCs/>
        </w:rPr>
        <w:t>Google Scholar</w:t>
      </w:r>
      <w:r w:rsidRPr="008F2A0B">
        <w:t xml:space="preserve">, </w:t>
      </w:r>
      <w:r w:rsidRPr="008F2A0B">
        <w:rPr>
          <w:i/>
          <w:iCs/>
        </w:rPr>
        <w:t>Scopus</w:t>
      </w:r>
      <w:r w:rsidRPr="008F2A0B">
        <w:t xml:space="preserve">, </w:t>
      </w:r>
      <w:r w:rsidRPr="008F2A0B">
        <w:rPr>
          <w:i/>
          <w:iCs/>
        </w:rPr>
        <w:t xml:space="preserve">Web of Science </w:t>
      </w:r>
      <w:r w:rsidRPr="008F2A0B">
        <w:t xml:space="preserve">en </w:t>
      </w:r>
      <w:r w:rsidRPr="008F2A0B">
        <w:rPr>
          <w:i/>
          <w:iCs/>
        </w:rPr>
        <w:t>JSTOR</w:t>
      </w:r>
      <w:r w:rsidRPr="008F2A0B">
        <w:t xml:space="preserve"> gezocht op</w:t>
      </w:r>
      <w:r>
        <w:t xml:space="preserve"> de</w:t>
      </w:r>
      <w:r w:rsidRPr="008F2A0B">
        <w:t xml:space="preserve"> zoekterm ‘</w:t>
      </w:r>
      <w:r>
        <w:t xml:space="preserve">handel in invloed’. Daarop kwamen relatief weinig ‘hits’. Door de aldus gevonden bronnen te bestuderen, kwam ik achter de veelgebruikte terminologie en de relevante trefwoorden. Vervolgens ging ik ook zoeken op de termen ‘trading in influence’ en ‘ongeoorloofde beïnvloeding’. Daarnaast zocht ik op de verschillende verdragen, in combinatie met het artikel waarin ‘handel in invloed’ is geregeld. Hierdoor kreeg ik een goed beeld van </w:t>
      </w:r>
      <w:r>
        <w:lastRenderedPageBreak/>
        <w:t>de juridische literatuur op dit punt. Een groot deel van de gevonden bronnen kon ik gebruiken voor de inleiding en de hoofdstukken 2 en 3.</w:t>
      </w:r>
    </w:p>
    <w:p w14:paraId="15557B95" w14:textId="77777777" w:rsidR="00DA1440" w:rsidRPr="00E5192E" w:rsidRDefault="00DA1440" w:rsidP="00DA1440">
      <w:pPr>
        <w:pStyle w:val="Geenafstand"/>
      </w:pPr>
      <w:r>
        <w:tab/>
        <w:t>Er is veel over de criteria voor strafbaarstelling geschreven.</w:t>
      </w:r>
      <w:r>
        <w:rPr>
          <w:rStyle w:val="Voetnootmarkering"/>
        </w:rPr>
        <w:footnoteReference w:id="46"/>
      </w:r>
      <w:r>
        <w:t xml:space="preserve"> Er zijn daarom veel verschillende (invullingen van de) criteria voor strafbaarstelling.</w:t>
      </w:r>
      <w:r>
        <w:rPr>
          <w:rStyle w:val="Voetnootmarkering"/>
        </w:rPr>
        <w:footnoteReference w:id="47"/>
      </w:r>
      <w:r>
        <w:t xml:space="preserve"> Door De Hullu te raadplegen, kwam ik achter de gezaghebbende werken van Hulsman en De Roos.</w:t>
      </w:r>
      <w:r>
        <w:rPr>
          <w:rStyle w:val="Voetnootmarkering"/>
        </w:rPr>
        <w:footnoteReference w:id="48"/>
      </w:r>
      <w:r>
        <w:t xml:space="preserve"> Ook Van Bemmelen en Haveman hebben in het bijzonder bijgedragen aan de theorievorming over de criteria voor strafbaarstelling.</w:t>
      </w:r>
      <w:r>
        <w:rPr>
          <w:rStyle w:val="Voetnootmarkering"/>
        </w:rPr>
        <w:footnoteReference w:id="49"/>
      </w:r>
      <w:r>
        <w:t xml:space="preserve"> Deze veelvuldig geciteerde werken zijn echter enigszins gedateerd.</w:t>
      </w:r>
      <w:r>
        <w:rPr>
          <w:rStyle w:val="Voetnootmarkering"/>
        </w:rPr>
        <w:footnoteReference w:id="50"/>
      </w:r>
      <w:r>
        <w:t xml:space="preserve"> Daarom heb ik op</w:t>
      </w:r>
      <w:r w:rsidRPr="00E5192E">
        <w:rPr>
          <w:i/>
          <w:iCs/>
        </w:rPr>
        <w:t xml:space="preserve"> </w:t>
      </w:r>
      <w:r w:rsidRPr="008F2A0B">
        <w:rPr>
          <w:i/>
          <w:iCs/>
        </w:rPr>
        <w:t>Legal Intelligence</w:t>
      </w:r>
      <w:r w:rsidRPr="008F2A0B">
        <w:t xml:space="preserve">, </w:t>
      </w:r>
      <w:r w:rsidRPr="008F2A0B">
        <w:rPr>
          <w:i/>
          <w:iCs/>
        </w:rPr>
        <w:t>InView</w:t>
      </w:r>
      <w:r w:rsidRPr="008F2A0B">
        <w:t xml:space="preserve">, </w:t>
      </w:r>
      <w:r w:rsidRPr="008F2A0B">
        <w:rPr>
          <w:i/>
          <w:iCs/>
        </w:rPr>
        <w:t>Google Scholar</w:t>
      </w:r>
      <w:r w:rsidRPr="008F2A0B">
        <w:t xml:space="preserve">, </w:t>
      </w:r>
      <w:r w:rsidRPr="008F2A0B">
        <w:rPr>
          <w:i/>
          <w:iCs/>
        </w:rPr>
        <w:t>Scopus</w:t>
      </w:r>
      <w:r w:rsidRPr="008F2A0B">
        <w:t xml:space="preserve">, </w:t>
      </w:r>
      <w:r w:rsidRPr="008F2A0B">
        <w:rPr>
          <w:i/>
          <w:iCs/>
        </w:rPr>
        <w:t xml:space="preserve">Web of Science </w:t>
      </w:r>
      <w:r w:rsidRPr="008F2A0B">
        <w:t xml:space="preserve">en </w:t>
      </w:r>
      <w:r w:rsidRPr="008F2A0B">
        <w:rPr>
          <w:i/>
          <w:iCs/>
        </w:rPr>
        <w:t>JSTOR</w:t>
      </w:r>
      <w:r>
        <w:rPr>
          <w:i/>
          <w:iCs/>
        </w:rPr>
        <w:t xml:space="preserve"> </w:t>
      </w:r>
      <w:r>
        <w:t>gezocht op “criteria voor strafbaarstelling”. Op deze manier hoopte ik te achterhalen of er naderhand nog belangrijke aanvullingen op de werken van Hulsman, De Roos, Van Bemmelen en Haveman hebben plaatsgevonden. Zo ontdekte ik het artikel van Buisman – eveneens veelvuldig geciteerd – dat een overzicht geeft van de belangrijkste literatuur op het gebied van de criteria voor strafbaarstelling.</w:t>
      </w:r>
      <w:r>
        <w:rPr>
          <w:rStyle w:val="Voetnootmarkering"/>
        </w:rPr>
        <w:footnoteReference w:id="51"/>
      </w:r>
      <w:r>
        <w:t xml:space="preserve"> Dankzij Buisman heb ik inspiratie kunnen putten uit de stukken van andere auteurs. Met name de werken van Haenen, Groenhuijsen en Ouwerkerk heb ik gebruikt bij het schrijven van deze scriptie.</w:t>
      </w:r>
      <w:r>
        <w:rPr>
          <w:rStyle w:val="Voetnootmarkering"/>
        </w:rPr>
        <w:footnoteReference w:id="52"/>
      </w:r>
    </w:p>
    <w:p w14:paraId="0B72CF1C" w14:textId="77777777" w:rsidR="00DA1440" w:rsidRDefault="00DA1440" w:rsidP="00DA1440">
      <w:pPr>
        <w:pStyle w:val="Geenafstand"/>
      </w:pPr>
    </w:p>
    <w:p w14:paraId="4E801FB1" w14:textId="77777777" w:rsidR="00DA1440" w:rsidRDefault="00DA1440" w:rsidP="00DA1440">
      <w:pPr>
        <w:pStyle w:val="Geenafstand"/>
      </w:pPr>
      <w:r>
        <w:t>Hoofdstuk 3 focust op het standpunt van de Nederlandse wetgever. Aan de hand van de parlementaire stukken reconstrueer ik hoe het standpunt van de Nederlandse wetgever zich heeft ontwikkeld. Daartoe heb ik via zoek.officielebekendmakingen.nl gezocht op de term ‘handel in invloed’ en een veelgebruikt synoniem: ‘ongeoorloofde beïnvloeding’. Vervolgens heb ik alle resultaten gelezen en heb ik op basis daarvan een beeld geschetst van de ontwikkeling van het standpunt van de Nederlandse wetgever. Dit hoofdstuk kenmerkt zich daarom primair als klassiek-juridisch. Daarnaast is er een normatief element, nu ik de gebruikte argumenten toets aan de criteria voor strafbaarstelling. Bovendien bekritiseer ik een belangrijk bezwaar van de Nederlandse wetgever, namelijk de bescherming van lobbyen.</w:t>
      </w:r>
      <w:r>
        <w:rPr>
          <w:rStyle w:val="Voetnootmarkering"/>
        </w:rPr>
        <w:footnoteReference w:id="53"/>
      </w:r>
      <w:r>
        <w:t xml:space="preserve"> Hoofdstuk 3 is dus een klassiek-juridisch onderzoek met normatieve trekken.</w:t>
      </w:r>
    </w:p>
    <w:p w14:paraId="244C9DD2" w14:textId="77777777" w:rsidR="00DA1440" w:rsidRDefault="00DA1440" w:rsidP="00DA1440">
      <w:pPr>
        <w:pStyle w:val="Geenafstand"/>
      </w:pPr>
    </w:p>
    <w:p w14:paraId="2A4F56EF" w14:textId="77777777" w:rsidR="00DA1440" w:rsidRDefault="00DA1440" w:rsidP="00DA1440">
      <w:pPr>
        <w:pStyle w:val="Geenafstand"/>
      </w:pPr>
      <w:r>
        <w:t>Het onderzoek ten behoeve van hoofdstuk 4 (standpunt van de Europese Commissie) heeft een aanvang genomen door de voorgestelde richtlijn en de toelichting daarop te lezen. Ook heb ik de Nederlandse literatuur over de voorgestelde richtlijn geraadpleegd. Vervolgens ging ik verder met ‘sneeuwbalzoeken’. Ik leerde daardoor ook belangrijke buitenlandse bronnen op dit punt kennen.</w:t>
      </w:r>
      <w:r>
        <w:rPr>
          <w:rStyle w:val="Voetnootmarkering"/>
        </w:rPr>
        <w:footnoteReference w:id="54"/>
      </w:r>
    </w:p>
    <w:p w14:paraId="40C6D9E7" w14:textId="77777777" w:rsidR="00DA1440" w:rsidRDefault="00DA1440" w:rsidP="00DA1440">
      <w:pPr>
        <w:pStyle w:val="Geenafstand"/>
      </w:pPr>
      <w:r>
        <w:tab/>
        <w:t>Door de inhoud van het voorstel en de toelichting daarop (kritisch) te analyseren, is hoofdstuk 4 primair een klassiek-juridisch onderzoek, met normatieve trekken. Bovendien ga ik daarbij ook in op de cijfermatige onderbouwing van de richtlijn. Dat maakt dat ook kwantitatief onderzoek aan bod komt, al lever ik zelf geen nieuwe cijfers aan. Ten slotte is hoofdstuk 4 rechtsvergelijkend van aard, nu ik het standpunt van de Europese Commissie vergelijk met dat van de Nederlandse regering.</w:t>
      </w:r>
      <w:r>
        <w:rPr>
          <w:rStyle w:val="Voetnootmarkering"/>
        </w:rPr>
        <w:footnoteReference w:id="55"/>
      </w:r>
    </w:p>
    <w:p w14:paraId="27A24CE9" w14:textId="77777777" w:rsidR="00DA1440" w:rsidRDefault="00DA1440" w:rsidP="00DA1440">
      <w:pPr>
        <w:pStyle w:val="Geenafstand"/>
      </w:pPr>
    </w:p>
    <w:p w14:paraId="186D3FE4" w14:textId="77777777" w:rsidR="00DA1440" w:rsidRPr="000D370C" w:rsidRDefault="00DA1440" w:rsidP="00DA1440">
      <w:pPr>
        <w:pStyle w:val="Geenafstand"/>
      </w:pPr>
      <w:r>
        <w:t xml:space="preserve">In hoofdstuk 5 staat het standpunt van de Franse wetgever centraal. Dankzij het onderzoek van Bouman leerde ik het Franse strafrecht op het gebied van corruptie kennen, waaronder de Franse strafbaarstelling </w:t>
      </w:r>
      <w:r>
        <w:lastRenderedPageBreak/>
        <w:t>van handel in invloed.</w:t>
      </w:r>
      <w:r>
        <w:rPr>
          <w:rStyle w:val="Voetnootmarkering"/>
        </w:rPr>
        <w:footnoteReference w:id="56"/>
      </w:r>
      <w:r>
        <w:t xml:space="preserve"> Bovendien leerde ik het Franse jargon op dit punt. Aan de hand daarvan ben ik in de genoemde zoekmachines gaan zoeken op de term ‘trafic d’influence’ (handel in invloed). Zo leerde ik de internationale literatuur kennen. Ook ben ik in de genoemde zoekmachines gaan zoeken naar beschrijvingen van het Franse recht. Specifiek ben ik gaan lezen in de </w:t>
      </w:r>
      <w:r w:rsidRPr="004A52B0">
        <w:rPr>
          <w:i/>
          <w:iCs/>
        </w:rPr>
        <w:t>Dalloz</w:t>
      </w:r>
      <w:r>
        <w:t>-reeks.</w:t>
      </w:r>
      <w:r>
        <w:rPr>
          <w:rStyle w:val="Voetnootmarkering"/>
        </w:rPr>
        <w:footnoteReference w:id="57"/>
      </w:r>
      <w:r>
        <w:t xml:space="preserve"> </w:t>
      </w:r>
      <w:r w:rsidRPr="002A472B">
        <w:t>Ook</w:t>
      </w:r>
      <w:r>
        <w:t xml:space="preserve"> ben ik via de website van de </w:t>
      </w:r>
      <w:r w:rsidRPr="00F608F6">
        <w:rPr>
          <w:i/>
          <w:iCs/>
        </w:rPr>
        <w:t>Assemblée nationale</w:t>
      </w:r>
      <w:r>
        <w:t xml:space="preserve"> en de </w:t>
      </w:r>
      <w:r w:rsidRPr="00F608F6">
        <w:rPr>
          <w:i/>
          <w:iCs/>
        </w:rPr>
        <w:t>Sénat</w:t>
      </w:r>
      <w:r>
        <w:t xml:space="preserve"> gaan zoeken naar parlementaire stukken. Dankzij de aldus gevonden beschrijvingen van de Franse strafbaarstelling, kon ik de onderbouwing van de strafbaarstelling beter duiden. Vervolgens ben ik in de internationale literatuur gaan zoeken naar de aanleiding voor de strafbaarstelling van handel in invloed in Frankrijk. Daarbij maakte ik gebruik van sneeuwbalzoeken.</w:t>
      </w:r>
      <w:r>
        <w:rPr>
          <w:rStyle w:val="Voetnootmarkering"/>
        </w:rPr>
        <w:footnoteReference w:id="58"/>
      </w:r>
      <w:r>
        <w:t xml:space="preserve"> </w:t>
      </w:r>
    </w:p>
    <w:p w14:paraId="3238DEFA" w14:textId="77777777" w:rsidR="00DA1440" w:rsidRDefault="00DA1440" w:rsidP="00DA1440">
      <w:pPr>
        <w:pStyle w:val="Geenafstand"/>
      </w:pPr>
      <w:r>
        <w:tab/>
        <w:t xml:space="preserve">Daar ik het Franse recht – en vooral de toelichting daarop – analyseer, is hoofdstuk 5 voornamelijk klassiek-juridisch van aard. Nu ook de vergelijking met Nederland wordt gemaakt, heeft het hoofdstuk ook (dogmatisch en functioneel) rechtsvergelijkende trekken. </w:t>
      </w:r>
    </w:p>
    <w:p w14:paraId="4ACEEBCB" w14:textId="77777777" w:rsidR="00DA1440" w:rsidRDefault="00DA1440" w:rsidP="00DA1440">
      <w:pPr>
        <w:pStyle w:val="Geenafstand"/>
      </w:pPr>
    </w:p>
    <w:p w14:paraId="7F38B5D1" w14:textId="77777777" w:rsidR="00DA1440" w:rsidRPr="005E21D9" w:rsidRDefault="00DA1440" w:rsidP="00DA1440">
      <w:pPr>
        <w:pStyle w:val="Geenafstand"/>
      </w:pPr>
      <w:r>
        <w:t>In hoofdstuk 6 komt het standpunt van de Zweedse wetgever aan bod. Ten behoeve van het onderzoek op dit punt, ben ik eerst in internationale bronnen gaan zoeken naar de Zweedse strafbaarstelling. Met name de rapporten van het GRECO waren hierbij relevant. Hierdoor leerde ik ook de Zweedse terminologie kennen. Daardoor kon ik gericht zoeken in de Zweedse parlementaire geschiedenis, via regeringen.se, door te zoeken op de term ‘handel med inflytande’ (handel in invloed). Ik ben vervolgens de resultaten gaan lezen en heb zo een beeld gekregen van de Zweedse parlementaire geschiedenis op dit punt.</w:t>
      </w:r>
      <w:r>
        <w:rPr>
          <w:rStyle w:val="Voetnootmarkering"/>
        </w:rPr>
        <w:footnoteReference w:id="59"/>
      </w:r>
    </w:p>
    <w:p w14:paraId="3DA4026B" w14:textId="77777777" w:rsidR="00DA1440" w:rsidRDefault="00DA1440" w:rsidP="00DA1440">
      <w:pPr>
        <w:pStyle w:val="Geenafstand"/>
        <w:ind w:firstLine="708"/>
      </w:pPr>
      <w:r>
        <w:t xml:space="preserve">In hoofdstuk 6 omschrijf ik de Zweedse argumenten om tot strafbaarstelling van handel in invloed te komen. Bovendien komt de inhoud van deze strafbaarstelling aan bod. Daarmee is hoofdstuk 6 deels klassiek-juridisch van aard. Nu bovendien een vergelijking wordt gemaakt tussen de Zweedse argumenten en de Nederlandse argumenten rondom strafbaarstelling van handel in invloed, is ook dit hoofdstuk (dogmatisch en functioneel) rechtsvergelijkend van aard. Aangezien in hoofdstuk 6 ook de praktische uitwerking van de Zweedse strafbaarstelling aan bod komt – </w:t>
      </w:r>
      <w:r>
        <w:rPr>
          <w:i/>
          <w:iCs/>
        </w:rPr>
        <w:t xml:space="preserve">law in action </w:t>
      </w:r>
      <w:r>
        <w:t>– is het hoofdstuk op punten ook empirisch-juridisch.</w:t>
      </w:r>
      <w:r>
        <w:br w:type="page"/>
      </w:r>
    </w:p>
    <w:p w14:paraId="57FDA780" w14:textId="77777777" w:rsidR="00DA1440" w:rsidRDefault="00DA1440" w:rsidP="00DA1440">
      <w:pPr>
        <w:pStyle w:val="Kop1"/>
      </w:pPr>
      <w:bookmarkStart w:id="5" w:name="_Toc233232758"/>
      <w:r>
        <w:lastRenderedPageBreak/>
        <w:t>2.</w:t>
      </w:r>
      <w:r>
        <w:tab/>
        <w:t>Theoretisch kader: handel in invloed en criteria voor strafbaarstelling</w:t>
      </w:r>
      <w:bookmarkEnd w:id="5"/>
    </w:p>
    <w:p w14:paraId="390FB12B" w14:textId="77777777" w:rsidR="00DA1440" w:rsidRDefault="00DA1440" w:rsidP="00DA1440">
      <w:pPr>
        <w:pStyle w:val="Kop2"/>
      </w:pPr>
      <w:bookmarkStart w:id="6" w:name="_Toc233232759"/>
      <w:r>
        <w:t>2.1</w:t>
      </w:r>
      <w:r>
        <w:tab/>
        <w:t>Verschil omkopingsbepalingen uit Wetboek van Strafrecht en handel in invloed</w:t>
      </w:r>
      <w:bookmarkEnd w:id="6"/>
    </w:p>
    <w:p w14:paraId="2A0C8608" w14:textId="77777777" w:rsidR="00DA1440" w:rsidRDefault="00DA1440" w:rsidP="00DA1440">
      <w:pPr>
        <w:pStyle w:val="Geenafstand"/>
      </w:pPr>
    </w:p>
    <w:p w14:paraId="3D7E985B" w14:textId="77777777" w:rsidR="00DA1440" w:rsidRDefault="00DA1440" w:rsidP="00DA1440">
      <w:pPr>
        <w:pStyle w:val="Geenafstand"/>
      </w:pPr>
      <w:r>
        <w:t>Het Nederlandse Wetboek van Strafrecht kent verschillende bepalingen die zien op omkoping.</w:t>
      </w:r>
      <w:r>
        <w:rPr>
          <w:rStyle w:val="Voetnootmarkering"/>
        </w:rPr>
        <w:footnoteReference w:id="60"/>
      </w:r>
      <w:r>
        <w:t xml:space="preserve"> Geen van die bepalingen stelt handel in invloed echter strafbaar. Het belangrijkste verschil tussen handel in invloed en de strafbare vormen van omkoping is dat in eerstgenoemd geval niet de beleidsmaker wordt omgekocht, maar de tussenpersoon: de ‘handelaar in invloed’. In het Wetboek van Strafrecht gaat het verder om ‘quid pro quo’ in een in beginsel bilaterale relatie (omkoper en beslissingsbevoegde omgekochte). Bij handel in invloed gaat het echter om een ‘corrupte driehoeksrelatie’.</w:t>
      </w:r>
      <w:r>
        <w:rPr>
          <w:rStyle w:val="Voetnootmarkering"/>
        </w:rPr>
        <w:footnoteReference w:id="61"/>
      </w:r>
      <w:r>
        <w:t xml:space="preserve"> Daarbij is de omkoper bereid de ontvanger van het voordeel te betalen, omdat laatstgenoemde feitelijke of veronderstelde invloed heeft op de beleidsmaker.</w:t>
      </w:r>
      <w:r>
        <w:rPr>
          <w:rStyle w:val="Voetnootmarkering"/>
        </w:rPr>
        <w:footnoteReference w:id="62"/>
      </w:r>
      <w:r>
        <w:t xml:space="preserve"> </w:t>
      </w:r>
    </w:p>
    <w:p w14:paraId="3CA79E6B" w14:textId="77777777" w:rsidR="00DA1440" w:rsidRDefault="00DA1440" w:rsidP="00DA1440">
      <w:pPr>
        <w:pStyle w:val="Geenafstand"/>
      </w:pPr>
      <w:r>
        <w:tab/>
        <w:t>Een eerste verschil tussen handel in invloed en de omkopingsartikelen uit het Wetboek van Strafrecht bestaat dus in de relatie met en de hoedanigheid van de ontvanger van het voordeel. Bij omkoping is de ontvanger van het voordeel een beslissingsbevoegde ambtenaar. Bij handel in invloed is de ontvanger van het voordeel iemand die (veronderstelde of daadwerkelijke) invloed heeft op de beslissingsbevoegde ambtenaar. Bij handel in invloed gaat het per definitie om een driehoeksrelatie, bij omkoping meestal niet. Een driehoeksrelatie is evenwel niet uitgesloten in de Nederlandse omkopingsbepalingen. Vereist is dan wel dat het omkopingsmiddel (‘quid’) uiteindelijk (deels) terechtkomt bij de beslissingsbevoegde ambtenaar. Bij handel in invloed komt dat omkopingsmiddel enkel terecht bij de tussenpersoon.</w:t>
      </w:r>
      <w:r>
        <w:rPr>
          <w:rStyle w:val="Voetnootmarkering"/>
        </w:rPr>
        <w:footnoteReference w:id="63"/>
      </w:r>
    </w:p>
    <w:p w14:paraId="05755407" w14:textId="77777777" w:rsidR="00DA1440" w:rsidRDefault="00DA1440" w:rsidP="00DA1440">
      <w:pPr>
        <w:pStyle w:val="Geenafstand"/>
        <w:ind w:firstLine="708"/>
      </w:pPr>
      <w:r>
        <w:t>Hieronder heb ik het verschil tussen omkoping, zoals strafbaar gesteld in het Wetboek van Strafrecht, en handel in invloed schematisch weergegeven.</w:t>
      </w:r>
      <w:r>
        <w:rPr>
          <w:rStyle w:val="Voetnootmarkering"/>
        </w:rPr>
        <w:footnoteReference w:id="64"/>
      </w:r>
      <w:r>
        <w:t xml:space="preserve">  Hieronder staat eerst omkoping zonder tussenpersoon afgebeeld.</w:t>
      </w:r>
    </w:p>
    <w:p w14:paraId="01254C44" w14:textId="77777777" w:rsidR="00DA1440" w:rsidRDefault="00DA1440" w:rsidP="00DA1440">
      <w:pPr>
        <w:pStyle w:val="Geenafstand"/>
        <w:ind w:firstLine="708"/>
      </w:pPr>
    </w:p>
    <w:p w14:paraId="0EEB7744" w14:textId="77777777" w:rsidR="00DA1440" w:rsidRDefault="00DA1440" w:rsidP="00DA1440">
      <w:pPr>
        <w:pStyle w:val="Geenafstand"/>
        <w:rPr>
          <w:u w:val="single"/>
        </w:rPr>
      </w:pPr>
      <w:r>
        <w:rPr>
          <w:u w:val="single"/>
        </w:rPr>
        <w:t>Omkoping zonder tussenpersoon</w:t>
      </w:r>
    </w:p>
    <w:p w14:paraId="7A4B25C5" w14:textId="77777777" w:rsidR="00DA1440" w:rsidRPr="00CB5370" w:rsidRDefault="00DA1440" w:rsidP="00DA1440">
      <w:pPr>
        <w:pStyle w:val="Geenafstand"/>
        <w:rPr>
          <w:u w:val="single"/>
        </w:rPr>
      </w:pPr>
      <w:r>
        <w:t>Bij omkoping zonder tussenpersoon verschaft de omkoper een omkopingsmiddel (‘quid’, bijvoorbeeld een geldbedrag) aan de ambtenaar, in ruil waarvoor de ambtenaar een tegenprestatie (‘quo’) levert. Deze tegenprestatie is bijvoorbeeld een voor de omkoper gunstig besluit.</w:t>
      </w:r>
      <w:r>
        <w:rPr>
          <w:rStyle w:val="Voetnootmarkering"/>
        </w:rPr>
        <w:footnoteReference w:id="65"/>
      </w:r>
      <w:r>
        <w:t xml:space="preserve"> Het gaat bij omkoping dus om ‘quid pro quo’:</w:t>
      </w:r>
    </w:p>
    <w:p w14:paraId="2FF4F981" w14:textId="77777777" w:rsidR="00DA1440" w:rsidRDefault="00DA1440" w:rsidP="00DA1440">
      <w:pPr>
        <w:pStyle w:val="Geenafstand"/>
      </w:pPr>
      <w:r w:rsidRPr="008D07DB">
        <w:rPr>
          <w:noProof/>
        </w:rPr>
        <w:drawing>
          <wp:inline distT="0" distB="0" distL="0" distR="0" wp14:anchorId="69AC9256" wp14:editId="1C76E727">
            <wp:extent cx="5760720" cy="1605280"/>
            <wp:effectExtent l="0" t="0" r="0" b="0"/>
            <wp:docPr id="5383425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15719" name=""/>
                    <pic:cNvPicPr/>
                  </pic:nvPicPr>
                  <pic:blipFill>
                    <a:blip r:embed="rId9"/>
                    <a:stretch>
                      <a:fillRect/>
                    </a:stretch>
                  </pic:blipFill>
                  <pic:spPr>
                    <a:xfrm>
                      <a:off x="0" y="0"/>
                      <a:ext cx="5760720" cy="1605280"/>
                    </a:xfrm>
                    <a:prstGeom prst="rect">
                      <a:avLst/>
                    </a:prstGeom>
                  </pic:spPr>
                </pic:pic>
              </a:graphicData>
            </a:graphic>
          </wp:inline>
        </w:drawing>
      </w:r>
    </w:p>
    <w:p w14:paraId="6414A08E" w14:textId="77777777" w:rsidR="00DA1440" w:rsidRDefault="00DA1440" w:rsidP="00DA1440">
      <w:pPr>
        <w:pStyle w:val="Geenafstand"/>
      </w:pPr>
    </w:p>
    <w:p w14:paraId="0660477F" w14:textId="77777777" w:rsidR="00DA1440" w:rsidRDefault="00DA1440" w:rsidP="00DA1440">
      <w:pPr>
        <w:pStyle w:val="Geenafstand"/>
        <w:rPr>
          <w:u w:val="single"/>
        </w:rPr>
      </w:pPr>
    </w:p>
    <w:p w14:paraId="65458DC4" w14:textId="77777777" w:rsidR="00692AEE" w:rsidRDefault="00692AEE" w:rsidP="00DA1440">
      <w:pPr>
        <w:pStyle w:val="Geenafstand"/>
        <w:rPr>
          <w:u w:val="single"/>
        </w:rPr>
      </w:pPr>
    </w:p>
    <w:p w14:paraId="4EA6B51F" w14:textId="77777777" w:rsidR="00692AEE" w:rsidRDefault="00692AEE" w:rsidP="00DA1440">
      <w:pPr>
        <w:pStyle w:val="Geenafstand"/>
        <w:rPr>
          <w:u w:val="single"/>
        </w:rPr>
      </w:pPr>
    </w:p>
    <w:p w14:paraId="6C0F717B" w14:textId="77777777" w:rsidR="00692AEE" w:rsidRDefault="00692AEE" w:rsidP="00DA1440">
      <w:pPr>
        <w:pStyle w:val="Geenafstand"/>
        <w:rPr>
          <w:u w:val="single"/>
        </w:rPr>
      </w:pPr>
    </w:p>
    <w:p w14:paraId="36A399CC" w14:textId="6C7F55E7" w:rsidR="00DA1440" w:rsidRDefault="00DA1440" w:rsidP="00DA1440">
      <w:pPr>
        <w:pStyle w:val="Geenafstand"/>
        <w:rPr>
          <w:u w:val="single"/>
        </w:rPr>
      </w:pPr>
      <w:r w:rsidRPr="002F24B6">
        <w:rPr>
          <w:u w:val="single"/>
        </w:rPr>
        <w:lastRenderedPageBreak/>
        <w:t>Omkoping door middel van een tussenpersoon</w:t>
      </w:r>
    </w:p>
    <w:p w14:paraId="3D4FE59A" w14:textId="77777777" w:rsidR="00DA1440" w:rsidRDefault="00DA1440" w:rsidP="00DA1440">
      <w:pPr>
        <w:pStyle w:val="Geenafstand"/>
      </w:pPr>
      <w:r>
        <w:t>Bij omkoping door middel van een tussenpersoon verschaft de omkoper een omkopingsmiddel aan de ambtenaar. Dit omkopingsmiddel komt via de tussenpersoon bij de ambtenaar terecht (vandaar dat de lijn in de figuur hieronder door de tussenpersoon heen loopt):</w:t>
      </w:r>
    </w:p>
    <w:p w14:paraId="3D280B27" w14:textId="77777777" w:rsidR="00DA1440" w:rsidRPr="002F24B6" w:rsidRDefault="00DA1440" w:rsidP="00DA1440">
      <w:pPr>
        <w:pStyle w:val="Geenafstand"/>
        <w:rPr>
          <w:u w:val="single"/>
        </w:rPr>
      </w:pPr>
    </w:p>
    <w:p w14:paraId="4440B893" w14:textId="77777777" w:rsidR="00DA1440" w:rsidRDefault="00DA1440" w:rsidP="00DA1440">
      <w:pPr>
        <w:pStyle w:val="Geenafstand"/>
      </w:pPr>
      <w:r w:rsidRPr="004C49DA">
        <w:rPr>
          <w:noProof/>
        </w:rPr>
        <w:drawing>
          <wp:inline distT="0" distB="0" distL="0" distR="0" wp14:anchorId="188E8AF4" wp14:editId="2F756691">
            <wp:extent cx="5760720" cy="1628140"/>
            <wp:effectExtent l="0" t="0" r="0" b="0"/>
            <wp:docPr id="5842854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285457" name=""/>
                    <pic:cNvPicPr/>
                  </pic:nvPicPr>
                  <pic:blipFill>
                    <a:blip r:embed="rId10"/>
                    <a:stretch>
                      <a:fillRect/>
                    </a:stretch>
                  </pic:blipFill>
                  <pic:spPr>
                    <a:xfrm>
                      <a:off x="0" y="0"/>
                      <a:ext cx="5760720" cy="1628140"/>
                    </a:xfrm>
                    <a:prstGeom prst="rect">
                      <a:avLst/>
                    </a:prstGeom>
                  </pic:spPr>
                </pic:pic>
              </a:graphicData>
            </a:graphic>
          </wp:inline>
        </w:drawing>
      </w:r>
    </w:p>
    <w:p w14:paraId="01F5BE57" w14:textId="77777777" w:rsidR="00DA1440" w:rsidRDefault="00DA1440" w:rsidP="00DA1440">
      <w:pPr>
        <w:pStyle w:val="Geenafstand"/>
      </w:pPr>
    </w:p>
    <w:p w14:paraId="4B93C867" w14:textId="77777777" w:rsidR="00DA1440" w:rsidRDefault="00DA1440" w:rsidP="00DA1440">
      <w:pPr>
        <w:pStyle w:val="Geenafstand"/>
        <w:rPr>
          <w:u w:val="single"/>
        </w:rPr>
      </w:pPr>
      <w:r w:rsidRPr="002F24B6">
        <w:rPr>
          <w:u w:val="single"/>
        </w:rPr>
        <w:t>Handel in invloed</w:t>
      </w:r>
    </w:p>
    <w:p w14:paraId="7F7BE51E" w14:textId="77777777" w:rsidR="00DA1440" w:rsidRDefault="00DA1440" w:rsidP="00DA1440">
      <w:pPr>
        <w:pStyle w:val="Geenafstand"/>
      </w:pPr>
      <w:r>
        <w:t>In geval van handel in invloed gaat het om een driehoeksrelatie: een omkoper, een tussenpersoon en een ambtenaar. Anders dan bij omkoping, komt het voordeel niet ten goede van de ambtenaar, maar van de tussenpersoon.</w:t>
      </w:r>
      <w:r>
        <w:rPr>
          <w:rStyle w:val="Voetnootmarkering"/>
        </w:rPr>
        <w:footnoteReference w:id="66"/>
      </w:r>
    </w:p>
    <w:p w14:paraId="4F11AE9A" w14:textId="77777777" w:rsidR="00DA1440" w:rsidRDefault="00DA1440" w:rsidP="00DA1440">
      <w:pPr>
        <w:pStyle w:val="Geenafstand"/>
      </w:pPr>
      <w:r>
        <w:tab/>
        <w:t xml:space="preserve">Bij handel in invloed zijn er twee situaties mogelijk. De eerste situatie is dat een actieve omkoper voordeel verschaft aan een tussenpersoon, omdat die tussenpersoon </w:t>
      </w:r>
      <w:r w:rsidRPr="00F608F6">
        <w:rPr>
          <w:i/>
          <w:iCs/>
        </w:rPr>
        <w:t>daadwerkelijk</w:t>
      </w:r>
      <w:r>
        <w:t xml:space="preserve"> invloed heeft op de ambtenaar. Nadat de tussenpersoon het voordeel heeft ontvangen, kan hij </w:t>
      </w:r>
      <w:r>
        <w:rPr>
          <w:i/>
          <w:iCs/>
        </w:rPr>
        <w:t xml:space="preserve">eventueel </w:t>
      </w:r>
      <w:r>
        <w:t xml:space="preserve">overgaan tot de beïnvloeding van de ambtenaar, maar dat is voor een bewezenverklaring van handel in invloed niet noodzakelijk. Is de ambtenaar beïnvloed, dan kan hij vervolgens </w:t>
      </w:r>
      <w:r>
        <w:rPr>
          <w:i/>
          <w:iCs/>
        </w:rPr>
        <w:t xml:space="preserve">eventueel </w:t>
      </w:r>
      <w:r>
        <w:t>een voor de omkoper welgevallig besluit nemen, maar ook dat is niet nodig om te kunnen spreken van handel in invloed.</w:t>
      </w:r>
      <w:r>
        <w:rPr>
          <w:rStyle w:val="Voetnootmarkering"/>
        </w:rPr>
        <w:footnoteReference w:id="67"/>
      </w:r>
      <w:r>
        <w:t xml:space="preserve">  Schematisch ziet de eerste situatie (daadwerkelijke invloed van de tussenpersoon op de ambtenaar) er als volgt uit:</w:t>
      </w:r>
    </w:p>
    <w:p w14:paraId="746429C7" w14:textId="77777777" w:rsidR="00DA1440" w:rsidRPr="00F608F6" w:rsidRDefault="00DA1440" w:rsidP="00DA1440">
      <w:pPr>
        <w:pStyle w:val="Geenafstand"/>
      </w:pPr>
    </w:p>
    <w:p w14:paraId="41A39D58" w14:textId="77777777" w:rsidR="00DA1440" w:rsidRDefault="00DA1440" w:rsidP="00DA1440">
      <w:pPr>
        <w:pStyle w:val="Geenafstand"/>
      </w:pPr>
      <w:r w:rsidRPr="009B7356">
        <w:rPr>
          <w:noProof/>
        </w:rPr>
        <w:drawing>
          <wp:inline distT="0" distB="0" distL="0" distR="0" wp14:anchorId="45EC9DCB" wp14:editId="216E5BC6">
            <wp:extent cx="5760720" cy="1252220"/>
            <wp:effectExtent l="0" t="0" r="0" b="5080"/>
            <wp:docPr id="2343052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05293" name=""/>
                    <pic:cNvPicPr/>
                  </pic:nvPicPr>
                  <pic:blipFill>
                    <a:blip r:embed="rId11"/>
                    <a:stretch>
                      <a:fillRect/>
                    </a:stretch>
                  </pic:blipFill>
                  <pic:spPr>
                    <a:xfrm>
                      <a:off x="0" y="0"/>
                      <a:ext cx="5760720" cy="1252220"/>
                    </a:xfrm>
                    <a:prstGeom prst="rect">
                      <a:avLst/>
                    </a:prstGeom>
                  </pic:spPr>
                </pic:pic>
              </a:graphicData>
            </a:graphic>
          </wp:inline>
        </w:drawing>
      </w:r>
    </w:p>
    <w:p w14:paraId="3CD82218" w14:textId="77777777" w:rsidR="00DA1440" w:rsidRDefault="00DA1440" w:rsidP="00DA1440">
      <w:pPr>
        <w:pStyle w:val="Geenafstand"/>
      </w:pPr>
      <w:r>
        <w:t xml:space="preserve">De tweede situatie van handel in invloed is dat de actieve omkoper voordeel verschaft aan een tussenpersoon, omdat die tussenpersoon niet daadwerkelijk, maar enkel </w:t>
      </w:r>
      <w:r>
        <w:rPr>
          <w:i/>
          <w:iCs/>
        </w:rPr>
        <w:t xml:space="preserve">veronderstelde </w:t>
      </w:r>
      <w:r>
        <w:t>invloed heeft op de ambtenaar. Heeft de tussenpersoon de omkoper (ten onrechte) voorgehouden dat hij invloed heeft, dan ziet dat er als volgt uit:</w:t>
      </w:r>
    </w:p>
    <w:p w14:paraId="4AA0C67D" w14:textId="77777777" w:rsidR="00DA1440" w:rsidRDefault="00DA1440" w:rsidP="00DA1440">
      <w:pPr>
        <w:pStyle w:val="Geenafstand"/>
      </w:pPr>
    </w:p>
    <w:p w14:paraId="14EB8619" w14:textId="77777777" w:rsidR="00DA1440" w:rsidRDefault="00DA1440" w:rsidP="00DA1440">
      <w:pPr>
        <w:pStyle w:val="Geenafstand"/>
      </w:pPr>
      <w:r w:rsidRPr="00093CE3">
        <w:rPr>
          <w:noProof/>
        </w:rPr>
        <w:drawing>
          <wp:inline distT="0" distB="0" distL="0" distR="0" wp14:anchorId="21C38B68" wp14:editId="65C7CB67">
            <wp:extent cx="5760720" cy="1500505"/>
            <wp:effectExtent l="0" t="0" r="0" b="4445"/>
            <wp:docPr id="6792336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073012" name=""/>
                    <pic:cNvPicPr/>
                  </pic:nvPicPr>
                  <pic:blipFill>
                    <a:blip r:embed="rId12"/>
                    <a:stretch>
                      <a:fillRect/>
                    </a:stretch>
                  </pic:blipFill>
                  <pic:spPr>
                    <a:xfrm>
                      <a:off x="0" y="0"/>
                      <a:ext cx="5760720" cy="1500505"/>
                    </a:xfrm>
                    <a:prstGeom prst="rect">
                      <a:avLst/>
                    </a:prstGeom>
                  </pic:spPr>
                </pic:pic>
              </a:graphicData>
            </a:graphic>
          </wp:inline>
        </w:drawing>
      </w:r>
    </w:p>
    <w:p w14:paraId="2A843B02" w14:textId="77777777" w:rsidR="00DA1440" w:rsidRDefault="00DA1440" w:rsidP="00DA1440">
      <w:pPr>
        <w:pStyle w:val="Geenafstand"/>
      </w:pPr>
    </w:p>
    <w:p w14:paraId="2DD891F8" w14:textId="77777777" w:rsidR="00DA1440" w:rsidRDefault="00DA1440" w:rsidP="00DA1440">
      <w:pPr>
        <w:pStyle w:val="Geenafstand"/>
      </w:pPr>
      <w:r>
        <w:lastRenderedPageBreak/>
        <w:t>In dit geval heeft de tussenpersoon geen invloed op de ambtenaar.</w:t>
      </w:r>
      <w:r>
        <w:rPr>
          <w:rStyle w:val="Voetnootmarkering"/>
        </w:rPr>
        <w:footnoteReference w:id="68"/>
      </w:r>
      <w:r>
        <w:t xml:space="preserve"> De ambtenaar staat helemaal buiten deze variant: hij ontvangt geen voordeel en hij wordt ook niet beïnvloed.</w:t>
      </w:r>
    </w:p>
    <w:p w14:paraId="6864B38E" w14:textId="77777777" w:rsidR="00DA1440" w:rsidRDefault="00DA1440" w:rsidP="00DA1440">
      <w:pPr>
        <w:pStyle w:val="Geenafstand"/>
      </w:pPr>
    </w:p>
    <w:p w14:paraId="7A492DF7" w14:textId="77777777" w:rsidR="00DA1440" w:rsidRDefault="00DA1440" w:rsidP="00DA1440">
      <w:pPr>
        <w:pStyle w:val="Geenafstand"/>
      </w:pPr>
      <w:r>
        <w:t>Uit de schematische weergave blijkt dat bij handel in invloed, anders dan bij omkoping, geen tegenprestatie van de ambtenaar vereist is. Bij omkoping moet het gaan om een quid-pro-quo-relatie tussen de actieve omkoper en de ambtenaar, waarbij een specifiek handelen door de ambtenaar in het vooruitzicht wordt gesteld.</w:t>
      </w:r>
      <w:r>
        <w:rPr>
          <w:rStyle w:val="Voetnootmarkering"/>
        </w:rPr>
        <w:footnoteReference w:id="69"/>
      </w:r>
      <w:r>
        <w:t xml:space="preserve"> Dat is bij handel in invloed niet het geval.</w:t>
      </w:r>
      <w:r>
        <w:rPr>
          <w:rStyle w:val="Voetnootmarkering"/>
        </w:rPr>
        <w:footnoteReference w:id="70"/>
      </w:r>
      <w:r>
        <w:t xml:space="preserve"> Handel in invloed vereist enkel dat (vermeende) invloed in het vooruitzicht wordt gesteld, in ruil voor een gift. In beide gevallen is dus sprake van ‘wederkerigheid’, maar bij omkoping moet de tegenprestatie gespecificeerd zijn en bij handel in invloed is dat geen bestanddeel.</w:t>
      </w:r>
      <w:r>
        <w:rPr>
          <w:rStyle w:val="Voetnootmarkering"/>
        </w:rPr>
        <w:footnoteReference w:id="71"/>
      </w:r>
      <w:r>
        <w:t xml:space="preserve"> Thans is een poging tot het uitoefenen van invloed slechts strafbaar gesteld, indien sprake is van het concreet in het vooruitzicht stellen van voordelen, bestemd voor en geleverd door ambtenaren die betrokken zijn bij de besluitvorming.</w:t>
      </w:r>
      <w:r>
        <w:rPr>
          <w:rStyle w:val="Voetnootmarkering"/>
        </w:rPr>
        <w:footnoteReference w:id="72"/>
      </w:r>
      <w:r>
        <w:t xml:space="preserve"> Strafbaarstelling van handel in invloed zou betekenen dat, naast  het blijk geven van het voornemen tot actieve omkoping, ook het blijk geven van de (vermeende) capaciteit tot ongeoorloofde beïnvloeding (als passieve vorm) strafbaar is.</w:t>
      </w:r>
      <w:r>
        <w:rPr>
          <w:rStyle w:val="Voetnootmarkering"/>
        </w:rPr>
        <w:footnoteReference w:id="73"/>
      </w:r>
    </w:p>
    <w:p w14:paraId="647565B3" w14:textId="77777777" w:rsidR="00DA1440" w:rsidRDefault="00DA1440" w:rsidP="00DA1440">
      <w:pPr>
        <w:pStyle w:val="Geenafstand"/>
      </w:pPr>
    </w:p>
    <w:p w14:paraId="06CB5F5E" w14:textId="77777777" w:rsidR="00DA1440" w:rsidRDefault="00DA1440" w:rsidP="00DA1440">
      <w:pPr>
        <w:pStyle w:val="Geenafstand"/>
      </w:pPr>
      <w:r>
        <w:t>De ontvanger van het voordeel hoeft bij handel in invloed overigens niet per definitie een ambtenaar te zijn, terwijl dat in het geval van ambtelijke omkoping wel is vereist.</w:t>
      </w:r>
      <w:r>
        <w:rPr>
          <w:rStyle w:val="Voetnootmarkering"/>
        </w:rPr>
        <w:footnoteReference w:id="74"/>
      </w:r>
      <w:r>
        <w:t xml:space="preserve"> De ontvanger kan bijvoorbeeld ook de partner van de ambtenaar zijn. Het verschil met omkoping bestaat dus (ook) in de hoedanigheid van degene die zijn (vermeende) invloed verkoopt.</w:t>
      </w:r>
      <w:r>
        <w:rPr>
          <w:rStyle w:val="Voetnootmarkering"/>
        </w:rPr>
        <w:footnoteReference w:id="75"/>
      </w:r>
      <w:r>
        <w:t xml:space="preserve"> </w:t>
      </w:r>
    </w:p>
    <w:p w14:paraId="43165CBC" w14:textId="77777777" w:rsidR="00DA1440" w:rsidRDefault="00DA1440" w:rsidP="00DA1440">
      <w:pPr>
        <w:pStyle w:val="Geenafstand"/>
      </w:pPr>
    </w:p>
    <w:p w14:paraId="4BF06BFE" w14:textId="7EAD17D0" w:rsidR="00DA1440" w:rsidRDefault="00DA1440" w:rsidP="00DA1440">
      <w:pPr>
        <w:pStyle w:val="Geenafstand"/>
      </w:pPr>
      <w:r>
        <w:t xml:space="preserve">Kortom, tussen handel in invloed en de Nederlandse omkopingsbepalingen </w:t>
      </w:r>
      <w:r w:rsidR="002D7900">
        <w:t>bestaan</w:t>
      </w:r>
      <w:r>
        <w:t xml:space="preserve"> </w:t>
      </w:r>
      <w:r w:rsidR="003E3774">
        <w:t xml:space="preserve">er </w:t>
      </w:r>
      <w:r>
        <w:t>een aantal belangrijke verschillen, die zien op de onderlinge relatie tussen de betrokkenen, de hoedanigheid van de ontvanger van het voordeel en de wederkerigheid.</w:t>
      </w:r>
    </w:p>
    <w:p w14:paraId="616BC4FD" w14:textId="77777777" w:rsidR="00DA1440" w:rsidRDefault="00DA1440" w:rsidP="00DA1440">
      <w:pPr>
        <w:pStyle w:val="Geenafstand"/>
      </w:pPr>
    </w:p>
    <w:p w14:paraId="7E711651" w14:textId="77777777" w:rsidR="00DA1440" w:rsidRDefault="00DA1440" w:rsidP="00DA1440">
      <w:pPr>
        <w:pStyle w:val="Kop2"/>
      </w:pPr>
      <w:bookmarkStart w:id="7" w:name="_Toc233232760"/>
      <w:r>
        <w:t>2.2</w:t>
      </w:r>
      <w:r>
        <w:tab/>
        <w:t>Criteria voor strafbaarstelling</w:t>
      </w:r>
      <w:bookmarkEnd w:id="7"/>
    </w:p>
    <w:p w14:paraId="53721DA8" w14:textId="77777777" w:rsidR="00DA1440" w:rsidRDefault="00DA1440" w:rsidP="00DA1440">
      <w:pPr>
        <w:pStyle w:val="Geenafstand"/>
      </w:pPr>
    </w:p>
    <w:p w14:paraId="5BE8962A" w14:textId="77777777" w:rsidR="00DA1440" w:rsidRDefault="00DA1440" w:rsidP="00DA1440">
      <w:pPr>
        <w:pStyle w:val="Geenafstand"/>
      </w:pPr>
      <w:r>
        <w:t>In deze scriptie wordt aan de hand van de criteria voor strafbaarstelling de discussie geanalyseerd rondom expliciete strafbaarstelling van handel in invloed. De criteria voor strafbaarstelling verschaffen inzicht in de legitimiteit van strafbaarstellingen.</w:t>
      </w:r>
      <w:r>
        <w:rPr>
          <w:rStyle w:val="Voetnootmarkering"/>
        </w:rPr>
        <w:footnoteReference w:id="76"/>
      </w:r>
      <w:r>
        <w:t xml:space="preserve"> Daarmee maken ze wetgevingsargumentatie toetsbaar en leggen bloot of een strafbaarstelling (inhoudelijk) wordt gedragen door meer dan politiek opportunisme.</w:t>
      </w:r>
      <w:r>
        <w:rPr>
          <w:rStyle w:val="Voetnootmarkering"/>
        </w:rPr>
        <w:footnoteReference w:id="77"/>
      </w:r>
      <w:r>
        <w:t xml:space="preserve"> </w:t>
      </w:r>
    </w:p>
    <w:p w14:paraId="04D5A4D3" w14:textId="77777777" w:rsidR="00DA1440" w:rsidRDefault="00DA1440" w:rsidP="00DA1440">
      <w:pPr>
        <w:pStyle w:val="Geenafstand"/>
      </w:pPr>
      <w:r>
        <w:tab/>
        <w:t>Er is veel geschreven over de criteria voor strafbaarstellingen. Dat heeft tot gevolg dat er veel verschillende (invullingen van de) criteria voor strafbaarstelling zijn.</w:t>
      </w:r>
      <w:r>
        <w:rPr>
          <w:rStyle w:val="Voetnootmarkering"/>
        </w:rPr>
        <w:footnoteReference w:id="78"/>
      </w:r>
      <w:r>
        <w:t xml:space="preserve"> Wat de verschillende (invullingen van de) criteria gemeen hebben, is dat ze zijn verbonden met de doelen van het strafrecht en van </w:t>
      </w:r>
      <w:r>
        <w:lastRenderedPageBreak/>
        <w:t>straffen.</w:t>
      </w:r>
      <w:r>
        <w:rPr>
          <w:rStyle w:val="Voetnootmarkering"/>
        </w:rPr>
        <w:footnoteReference w:id="79"/>
      </w:r>
      <w:r>
        <w:t xml:space="preserve"> Hoewel verschillende schrijvers dus verschillende criteria hebben ontworpen, komen de criteria vaak in de kern op hetzelfde neer. De belangrijkste criteria beschrijf ik hieronder kort.</w:t>
      </w:r>
      <w:r>
        <w:rPr>
          <w:rStyle w:val="Voetnootmarkering"/>
        </w:rPr>
        <w:footnoteReference w:id="80"/>
      </w:r>
    </w:p>
    <w:p w14:paraId="1320E4C8" w14:textId="77777777" w:rsidR="00DA1440" w:rsidRDefault="00DA1440" w:rsidP="00DA1440">
      <w:pPr>
        <w:pStyle w:val="Geenafstand"/>
      </w:pPr>
    </w:p>
    <w:p w14:paraId="6FF593FC" w14:textId="77777777" w:rsidR="00DA1440" w:rsidRDefault="00DA1440" w:rsidP="00DA1440">
      <w:pPr>
        <w:pStyle w:val="Geenafstand"/>
      </w:pPr>
      <w:r>
        <w:t>In veel modellen met criteria voor strafbaarstelling is het vaststellen van schade en onrecht de eerste stap.</w:t>
      </w:r>
      <w:r>
        <w:rPr>
          <w:rStyle w:val="Voetnootmarkering"/>
        </w:rPr>
        <w:footnoteReference w:id="81"/>
      </w:r>
      <w:r>
        <w:t xml:space="preserve"> Dat bouwt voort op het standpunt van de voormalig minister van Justitie, Modderman. Hij vond “</w:t>
      </w:r>
      <w:r w:rsidRPr="00502636">
        <w:t>dat alleen datgene mag gestraft worden, wat in de eerste plaats onregt is. Dat is eene conditio sine qua non.</w:t>
      </w:r>
      <w:r>
        <w:t>”</w:t>
      </w:r>
      <w:r>
        <w:rPr>
          <w:rStyle w:val="Voetnootmarkering"/>
        </w:rPr>
        <w:footnoteReference w:id="82"/>
      </w:r>
      <w:r>
        <w:t xml:space="preserve"> Aldus appelleerde de wetgever aan een criterium voor strafbaarstelling, dat zich laat samenvatten als ‘in dubio pro libertate’.</w:t>
      </w:r>
      <w:r>
        <w:rPr>
          <w:rStyle w:val="Voetnootmarkering"/>
        </w:rPr>
        <w:footnoteReference w:id="83"/>
      </w:r>
      <w:r>
        <w:t xml:space="preserve"> Wanneer het gedrag geen schade kan toebrengen aan derden of de maatschappij, zou de staat niet bevoegd (moeten) zijn om over te gaan tot strafbaarstelling.</w:t>
      </w:r>
      <w:r>
        <w:rPr>
          <w:rStyle w:val="Voetnootmarkering"/>
        </w:rPr>
        <w:footnoteReference w:id="84"/>
      </w:r>
      <w:r>
        <w:t xml:space="preserve"> Daarmee wordt paternalisme voorkomen.</w:t>
      </w:r>
      <w:r>
        <w:rPr>
          <w:rStyle w:val="Voetnootmarkering"/>
        </w:rPr>
        <w:footnoteReference w:id="85"/>
      </w:r>
    </w:p>
    <w:p w14:paraId="3B3B27C1" w14:textId="77777777" w:rsidR="00DA1440" w:rsidRDefault="00DA1440" w:rsidP="00DA1440">
      <w:pPr>
        <w:pStyle w:val="Geenafstand"/>
      </w:pPr>
      <w:r>
        <w:tab/>
        <w:t>Het tweede criterium ziet op het tolerantiebeginsel. Dat houdt in dat de wetgever schadelijk gedrag niet mag verbieden, indien dat zou leiden tot een te vergaande inbreuk op de individuele vrijheid.</w:t>
      </w:r>
      <w:r>
        <w:rPr>
          <w:rStyle w:val="Voetnootmarkering"/>
        </w:rPr>
        <w:footnoteReference w:id="86"/>
      </w:r>
    </w:p>
    <w:p w14:paraId="6770DEAB" w14:textId="77777777" w:rsidR="00DA1440" w:rsidRDefault="00DA1440" w:rsidP="00DA1440">
      <w:pPr>
        <w:pStyle w:val="Geenafstand"/>
      </w:pPr>
      <w:r>
        <w:tab/>
        <w:t>Het derde criterium is het subsidiariteitsbeginsel of het principe van ultimum remedium.</w:t>
      </w:r>
      <w:r>
        <w:rPr>
          <w:rStyle w:val="Voetnootmarkering"/>
        </w:rPr>
        <w:footnoteReference w:id="87"/>
      </w:r>
      <w:r>
        <w:t xml:space="preserve"> Modderman motiveerde dit criterium als volgt: “De strafbedreiging moet blijven een ultimum remedium. Uit den aard der zaak zijn aan elke strafbedreiging bezwaren verbonden.”</w:t>
      </w:r>
      <w:r>
        <w:rPr>
          <w:rStyle w:val="Voetnootmarkering"/>
        </w:rPr>
        <w:footnoteReference w:id="88"/>
      </w:r>
    </w:p>
    <w:p w14:paraId="701B31DE" w14:textId="77777777" w:rsidR="00DA1440" w:rsidRDefault="00DA1440" w:rsidP="00DA1440">
      <w:pPr>
        <w:pStyle w:val="Geenafstand"/>
      </w:pPr>
      <w:r>
        <w:tab/>
        <w:t>Ten vierde wordt het proportionaliteitsbeginsel vaak gebruikt als criterium.</w:t>
      </w:r>
      <w:r>
        <w:rPr>
          <w:rStyle w:val="Voetnootmarkering"/>
        </w:rPr>
        <w:footnoteReference w:id="89"/>
      </w:r>
      <w:r>
        <w:t xml:space="preserve"> Volgens De Roos moet de vraag worden gesteld of inschakeling van het strafrecht proportioneel is aan het gedrag in kwestie.</w:t>
      </w:r>
      <w:r>
        <w:rPr>
          <w:rStyle w:val="Voetnootmarkering"/>
        </w:rPr>
        <w:footnoteReference w:id="90"/>
      </w:r>
    </w:p>
    <w:p w14:paraId="5E54F321" w14:textId="77777777" w:rsidR="00DA1440" w:rsidRDefault="00DA1440" w:rsidP="00DA1440">
      <w:pPr>
        <w:pStyle w:val="Geenafstand"/>
      </w:pPr>
      <w:r>
        <w:tab/>
        <w:t>Ten vijfde wordt het legaliteitsbeginsel veelvuldig aangehaald als criterium voor strafbaarstelling. Dit beginsel eist dat er een aan de gedraging voorafgaande wettelijke strafbaarstelling bestaat. Volgens Hulsman moet in beginsel geen strafbaarstelling plaatsvinden, indien het gedrag betreft dat moeilijk enigszins nauwkeurig kan worden omschreven.</w:t>
      </w:r>
      <w:r>
        <w:rPr>
          <w:rStyle w:val="Voetnootmarkering"/>
        </w:rPr>
        <w:footnoteReference w:id="91"/>
      </w:r>
    </w:p>
    <w:p w14:paraId="7C001EF6" w14:textId="77777777" w:rsidR="00DA1440" w:rsidRDefault="00DA1440" w:rsidP="00DA1440">
      <w:pPr>
        <w:pStyle w:val="Geenafstand"/>
      </w:pPr>
      <w:r>
        <w:tab/>
        <w:t>Ten slotte wordt de praktische hanteerbaarheid en effectiviteit van de strafbaarstelling veelvuldig als criterium voor strafbaarstelling gehanteerd.</w:t>
      </w:r>
      <w:r>
        <w:rPr>
          <w:rStyle w:val="Voetnootmarkering"/>
        </w:rPr>
        <w:footnoteReference w:id="92"/>
      </w:r>
      <w:r>
        <w:t xml:space="preserve"> Indien de in te voeren strafbepaling in de praktijk niet is te handhaven of geen effect sorteert, is dat een reden om af te zien van strafbaarstelling.</w:t>
      </w:r>
      <w:r>
        <w:rPr>
          <w:rStyle w:val="Voetnootmarkering"/>
        </w:rPr>
        <w:footnoteReference w:id="93"/>
      </w:r>
    </w:p>
    <w:p w14:paraId="2BB0CBBD" w14:textId="77777777" w:rsidR="00DA1440" w:rsidRDefault="00DA1440" w:rsidP="00DA1440">
      <w:pPr>
        <w:pStyle w:val="Geenafstand"/>
      </w:pPr>
    </w:p>
    <w:p w14:paraId="1880D463" w14:textId="77777777" w:rsidR="00DA1440" w:rsidRDefault="00DA1440" w:rsidP="00DA1440">
      <w:pPr>
        <w:pStyle w:val="Geenafstand"/>
      </w:pPr>
      <w:r>
        <w:t>In de literatuur is betoogd dat op EU-niveau andere criteria voor strafbaarstelling relevant zijn dan op nationaal niveau. In het bijzonder is relevant de subsidiariteit, hetgeen – anders dan op nationaal niveau – betekent dat wetgevend optreden op het gebied van strafrecht slechts is toegestaan, als de doelstellingen van de beoogde wetgeving beter op EU-niveau dan op nationaal niveau kunnen worden bereikt.</w:t>
      </w:r>
      <w:r>
        <w:rPr>
          <w:rStyle w:val="Voetnootmarkering"/>
        </w:rPr>
        <w:footnoteReference w:id="94"/>
      </w:r>
      <w:r>
        <w:t xml:space="preserve"> Voorts zijn de vereisten uit de grondslag voor de harmonisatie van belang.</w:t>
      </w:r>
      <w:r>
        <w:rPr>
          <w:rStyle w:val="Voetnootmarkering"/>
        </w:rPr>
        <w:footnoteReference w:id="95"/>
      </w:r>
      <w:r>
        <w:t xml:space="preserve"> Verder zien de Commissie, de Raad en het Parlement het strafrecht als ultimum remedium. Dat is daarmee een derde </w:t>
      </w:r>
      <w:r>
        <w:lastRenderedPageBreak/>
        <w:t xml:space="preserve">criterium voor strafbaarstelling. In het kader van de afweging om te komen tot strafbaarstelling, leggen de Raad en het Parlement bovendien de nadruk op de beschikbaarheid van </w:t>
      </w:r>
      <w:r>
        <w:rPr>
          <w:i/>
          <w:iCs/>
        </w:rPr>
        <w:t>factual evidence</w:t>
      </w:r>
      <w:r>
        <w:t>.</w:t>
      </w:r>
      <w:r>
        <w:rPr>
          <w:rStyle w:val="Voetnootmarkering"/>
        </w:rPr>
        <w:footnoteReference w:id="96"/>
      </w:r>
    </w:p>
    <w:p w14:paraId="100DBA80" w14:textId="77777777" w:rsidR="00DA1440" w:rsidRDefault="00DA1440" w:rsidP="00DA1440">
      <w:pPr>
        <w:pStyle w:val="Geenafstand"/>
      </w:pPr>
      <w:r>
        <w:br w:type="page"/>
      </w:r>
    </w:p>
    <w:p w14:paraId="12061833" w14:textId="77777777" w:rsidR="00DA1440" w:rsidRDefault="00DA1440" w:rsidP="00DA1440">
      <w:pPr>
        <w:pStyle w:val="Kop1"/>
      </w:pPr>
      <w:bookmarkStart w:id="8" w:name="_Toc233232761"/>
      <w:r>
        <w:lastRenderedPageBreak/>
        <w:t>3.</w:t>
      </w:r>
      <w:r>
        <w:tab/>
        <w:t>Standpunt Nederlandse wetgever</w:t>
      </w:r>
      <w:bookmarkEnd w:id="8"/>
    </w:p>
    <w:p w14:paraId="0EDB176D" w14:textId="77777777" w:rsidR="00DA1440" w:rsidRDefault="00DA1440" w:rsidP="00DA1440">
      <w:pPr>
        <w:pStyle w:val="Kop2"/>
      </w:pPr>
      <w:bookmarkStart w:id="9" w:name="_Toc233232762"/>
      <w:r>
        <w:t>3.1</w:t>
      </w:r>
      <w:r>
        <w:tab/>
        <w:t>Overzicht overwegingen Nederlandse wetgever</w:t>
      </w:r>
      <w:bookmarkEnd w:id="9"/>
    </w:p>
    <w:p w14:paraId="061E5B3C" w14:textId="77777777" w:rsidR="00DA1440" w:rsidRDefault="00DA1440" w:rsidP="00DA1440">
      <w:pPr>
        <w:pStyle w:val="Geenafstand"/>
      </w:pPr>
    </w:p>
    <w:p w14:paraId="559ECDD5" w14:textId="77777777" w:rsidR="00DA1440" w:rsidRDefault="00DA1440" w:rsidP="00DA1440">
      <w:pPr>
        <w:pStyle w:val="Geenafstand"/>
      </w:pPr>
      <w:r>
        <w:t>Lange tijd was de Nederlandse wetgever de mening toebedeeld dat een expliciete strafbaarstelling van handel in invloed ongewenst was. Het feit dat de Nederlandse regering zich jarenlang tegenstander toonde van expliciete strafbaarstelling van handel in invloed, gaat in tegen de in de literatuur waargenomen tendens dat de Nederlandse politiek juist steeds eerder geneigd is over te gaan op strafbaarstelling.</w:t>
      </w:r>
      <w:r>
        <w:rPr>
          <w:rStyle w:val="Voetnootmarkering"/>
        </w:rPr>
        <w:footnoteReference w:id="97"/>
      </w:r>
    </w:p>
    <w:p w14:paraId="484B57B2" w14:textId="77777777" w:rsidR="00DA1440" w:rsidRDefault="00DA1440" w:rsidP="00DA1440">
      <w:pPr>
        <w:pStyle w:val="Geenafstand"/>
        <w:ind w:firstLine="708"/>
      </w:pPr>
      <w:r>
        <w:t>De parlementaire discussie over strafbaarstelling van handel in invloed startte in 2000, toen het ging om de goedkeuring van enkele verdragen inzake de bestrijding van fraude en corruptie. Eén van die verdragen was het Verdrag inzake de strafrechtelijke bestrijding van corruptie van de Raad van Europa. Artikel 12 daarvan dringt aan op expliciete strafbaarstelling van handel in invloed. Het belangrijkste bezwaar van de regering tegen expliciete strafbaarstelling conform dit verdrag is dat de voorgestelde bepaling meer omvat dan hetgeen strafwaardig werd geacht.</w:t>
      </w:r>
      <w:r>
        <w:rPr>
          <w:rStyle w:val="Voetnootmarkering"/>
        </w:rPr>
        <w:footnoteReference w:id="98"/>
      </w:r>
      <w:r>
        <w:t xml:space="preserve"> </w:t>
      </w:r>
    </w:p>
    <w:p w14:paraId="0D70100C" w14:textId="77777777" w:rsidR="00DA1440" w:rsidRDefault="00DA1440" w:rsidP="00DA1440">
      <w:pPr>
        <w:pStyle w:val="Geenafstand"/>
        <w:ind w:firstLine="708"/>
      </w:pPr>
      <w:r>
        <w:t>De kern van de argumentatie door de jaren heen is dat handel in invloed “nagenoeg geheel bestraft kan worden op grond van de bepalingen inzake actieve en passieve omkoping”.</w:t>
      </w:r>
      <w:r>
        <w:rPr>
          <w:rStyle w:val="Voetnootmarkering"/>
        </w:rPr>
        <w:footnoteReference w:id="99"/>
      </w:r>
      <w:r>
        <w:t xml:space="preserve"> Deze argumentatie werd bijvoorbeeld in 2006 gebruikt. De gevallen van handel in invloed die thans niet strafbaar zijn, betroffen in de ogen van de wetgever ook geen laakbaar handelen. De wetgever verwees daarbij naar lobbyen.</w:t>
      </w:r>
      <w:r>
        <w:rPr>
          <w:rStyle w:val="Voetnootmarkering"/>
        </w:rPr>
        <w:footnoteReference w:id="100"/>
      </w:r>
      <w:r>
        <w:t xml:space="preserve"> Dit argument steunt enerzijds op het criterium dat het strafbaar te stellen gedrag schadelijk moet zijn en anderzijds op het standpunt van Hulsman, dat erop neerkomt dat strafbaarstelling nimmer mag plaatsvinden, “uitsluitend vanuit de overweging dat men een bepaalde morele opvatting omtrent bepaald gedrag heersend wil maken”. Het strafrecht is namelijk niet geschikt voor het uitvechten van morele issues, vanwege de hoge kosten.</w:t>
      </w:r>
      <w:r>
        <w:rPr>
          <w:rStyle w:val="Voetnootmarkering"/>
        </w:rPr>
        <w:footnoteReference w:id="101"/>
      </w:r>
      <w:r>
        <w:t xml:space="preserve"> De Nederlandse wetgever verwijst echter niet zozeer naar de hoge kosten, maar naar het feit dat lobbyen niet strafwaardig (want niet schadelijk) is.</w:t>
      </w:r>
      <w:r>
        <w:rPr>
          <w:rStyle w:val="Voetnootmarkering"/>
        </w:rPr>
        <w:footnoteReference w:id="102"/>
      </w:r>
      <w:r>
        <w:t xml:space="preserve"> Overigens was de wetgever van mening dat niet elke vorm van lobbyen moet zijn toegestaan. Er is sprake van laakbaar lobbyen wanneer iemand een omkopingsmiddel verschaft aan de bij de besluitvorming betrokken ambtenaren, of dit in het vooruitzicht stelt. In dat geval is volgens de wetgever het strafrecht ook nu al van toepassing.</w:t>
      </w:r>
      <w:r>
        <w:rPr>
          <w:rStyle w:val="Voetnootmarkering"/>
        </w:rPr>
        <w:footnoteReference w:id="103"/>
      </w:r>
    </w:p>
    <w:p w14:paraId="1F2461AC" w14:textId="77777777" w:rsidR="00DA1440" w:rsidRDefault="00DA1440" w:rsidP="00DA1440">
      <w:pPr>
        <w:pStyle w:val="Geenafstand"/>
        <w:ind w:firstLine="708"/>
      </w:pPr>
      <w:r>
        <w:t>In oktober 2025 liet het kabinet weten dat Nederland zich inzet voor een brede strafbaarstelling van handel in invloed.</w:t>
      </w:r>
      <w:r>
        <w:rPr>
          <w:rStyle w:val="Voetnootmarkering"/>
        </w:rPr>
        <w:footnoteReference w:id="104"/>
      </w:r>
      <w:r>
        <w:t xml:space="preserve"> Het kabinet heeft op dit punt dus een draai gemaakt en laat de eerder naar voren gebrachte bezwaren varen. De aanloop naar deze draai geef ik hieronder weer aan de hand van een chronologisch overzicht van de gebruikte argumenten.</w:t>
      </w:r>
    </w:p>
    <w:p w14:paraId="51C3B7A2" w14:textId="77777777" w:rsidR="00DA1440" w:rsidRDefault="00DA1440" w:rsidP="00DA1440">
      <w:pPr>
        <w:pStyle w:val="Geenafstand"/>
      </w:pPr>
    </w:p>
    <w:p w14:paraId="5C68ABE0" w14:textId="77777777" w:rsidR="00DA1440" w:rsidRDefault="00DA1440" w:rsidP="00DA1440">
      <w:pPr>
        <w:pStyle w:val="Geenafstand"/>
      </w:pPr>
      <w:r>
        <w:t xml:space="preserve">In 2009 onderschrijft de minister van Justitie expliciet het standpunt uit 2006: handel in invloed kan nagenoeg geheel bestraft worden op grond van de bepalingen inzake actieve en passieve omkoping. Hoewel hij niet expliciet de bescherming van lobbyen aanhaalt, geeft hij wel aan dat alle </w:t>
      </w:r>
      <w:r>
        <w:rPr>
          <w:i/>
          <w:iCs/>
        </w:rPr>
        <w:t xml:space="preserve">strafwaardige </w:t>
      </w:r>
      <w:r>
        <w:lastRenderedPageBreak/>
        <w:t>vormen van beïnvloeding reeds strafbaar zijn naar Nederlands recht.</w:t>
      </w:r>
      <w:r>
        <w:rPr>
          <w:rStyle w:val="Voetnootmarkering"/>
        </w:rPr>
        <w:footnoteReference w:id="105"/>
      </w:r>
      <w:r>
        <w:t xml:space="preserve"> Dat lijkt een impliciete verwijzing naar lobbyen te zijn. </w:t>
      </w:r>
    </w:p>
    <w:p w14:paraId="36968B0A" w14:textId="77777777" w:rsidR="00DA1440" w:rsidRDefault="00DA1440" w:rsidP="00DA1440">
      <w:pPr>
        <w:pStyle w:val="Geenafstand"/>
        <w:ind w:firstLine="708"/>
      </w:pPr>
      <w:r>
        <w:t>In 2014 is een eerste stap gezet richting een positieve houding ten opzichte van strafbaarstelling van handel in invloed. In dat jaar werd namelijk de Associatieovereenkomst van de EU, de Europese Gemeenschap voor Atoomenergie en hun lidstaten met Moldavië goedgekeurd. In artikel 16 daarvan is opgenomen dat beide partijen samenwerken ter voorkoming en bestrijding van handel in invloed.</w:t>
      </w:r>
      <w:r>
        <w:rPr>
          <w:rStyle w:val="Voetnootmarkering"/>
        </w:rPr>
        <w:footnoteReference w:id="106"/>
      </w:r>
    </w:p>
    <w:p w14:paraId="4860D03B" w14:textId="77777777" w:rsidR="00DA1440" w:rsidRDefault="00DA1440" w:rsidP="00DA1440">
      <w:pPr>
        <w:pStyle w:val="Geenafstand"/>
      </w:pPr>
      <w:r>
        <w:tab/>
        <w:t xml:space="preserve">Vervolgens is er tot 2019 geen discussie gevoerd over de wenselijkheid van expliciete strafbaarstelling van handel in invloed. In 2019 werpt Eerste Kamerlid Faber (PVV) op dat het opvallend is dat niemand in de Kamer heeft gereageerd op het feit dat Nederland (negentien jaar eerder) artikel 12 van het </w:t>
      </w:r>
      <w:r w:rsidRPr="00741C28">
        <w:t>Verdrag inzake de strafrechtelijke bestrijding van corruptie</w:t>
      </w:r>
      <w:r>
        <w:t xml:space="preserve"> niet heeft omgezet in nationale wetgeving.</w:t>
      </w:r>
      <w:r>
        <w:rPr>
          <w:rStyle w:val="Voetnootmarkering"/>
        </w:rPr>
        <w:footnoteReference w:id="107"/>
      </w:r>
      <w:r>
        <w:t xml:space="preserve"> De opmerking van Faber leidt uiteindelijk niet tot verdere inhoudelijke uitweidingen.</w:t>
      </w:r>
    </w:p>
    <w:p w14:paraId="452139DB" w14:textId="77777777" w:rsidR="00DA1440" w:rsidRDefault="00DA1440" w:rsidP="00DA1440">
      <w:pPr>
        <w:pStyle w:val="Geenafstand"/>
        <w:ind w:firstLine="708"/>
      </w:pPr>
      <w:r>
        <w:t>Op 9 september 2022 sturen vijf bewindslieden een brief naar beide Kamers. In de brief wordt gereageerd op het Rechtsstaatrapport van de Europese Commissie. In dat rapport is opgemerkt dat handel in invloed thans niet strafbaar is in Nederland. De bewindslieden bevestigen dat, maar geven ook meteen aan dat strafbaarstelling niet aan de orde is. Wederom wordt het argument gehanteerd dat al sinds het begin van de eeuw wordt gebruikt: “</w:t>
      </w:r>
      <w:r w:rsidRPr="00CE1B3B">
        <w:t>het kabinet is van mening</w:t>
      </w:r>
      <w:r>
        <w:t xml:space="preserve"> [dat]</w:t>
      </w:r>
      <w:r w:rsidRPr="00CE1B3B">
        <w:t xml:space="preserve"> de bepalingen inzake actieve en passieve omkoping voldoende bescherming bieden tegen ongeoorloofde en daadwerkelijke uitoefening van invloed en dat geen afzonderlijk misdrijf hoeft te worden vastgesteld om dit strafbaar te stellen</w:t>
      </w:r>
      <w:r>
        <w:t>.”</w:t>
      </w:r>
      <w:r>
        <w:rPr>
          <w:rStyle w:val="Voetnootmarkering"/>
        </w:rPr>
        <w:footnoteReference w:id="108"/>
      </w:r>
      <w:r>
        <w:t xml:space="preserve"> </w:t>
      </w:r>
    </w:p>
    <w:p w14:paraId="26B558E8" w14:textId="77777777" w:rsidR="00DA1440" w:rsidRDefault="00DA1440" w:rsidP="00DA1440">
      <w:pPr>
        <w:pStyle w:val="Geenafstand"/>
      </w:pPr>
      <w:r>
        <w:tab/>
        <w:t>Op 9 juni 2023 geeft het kabinet bij monde van de minister van Buitenlandse Zaken plots aan dat het kabinet zich inzet voor een heldere strafbaarstelling van handel in invloed.</w:t>
      </w:r>
      <w:r>
        <w:rPr>
          <w:rStyle w:val="Voetnootmarkering"/>
        </w:rPr>
        <w:footnoteReference w:id="109"/>
      </w:r>
      <w:r>
        <w:t xml:space="preserve">  Daarbij leek</w:t>
      </w:r>
      <w:r w:rsidRPr="00BF5EE4">
        <w:t xml:space="preserve"> het kabinet de subsidiariteit aan te halen: de bepalingen moeten niet verder gaan dan noodzakelijk om het doel van de richtlijn te verwezenlijken.</w:t>
      </w:r>
      <w:r>
        <w:rPr>
          <w:rStyle w:val="Voetnootmarkering"/>
        </w:rPr>
        <w:footnoteReference w:id="110"/>
      </w:r>
      <w:r>
        <w:t xml:space="preserve"> Voorts wees het kabinet op het belang van </w:t>
      </w:r>
      <w:r>
        <w:rPr>
          <w:i/>
          <w:iCs/>
        </w:rPr>
        <w:t xml:space="preserve">evidence-informed </w:t>
      </w:r>
      <w:r>
        <w:t>beleid.</w:t>
      </w:r>
      <w:r w:rsidRPr="00BF5EE4">
        <w:rPr>
          <w:rStyle w:val="Voetnootmarkering"/>
        </w:rPr>
        <w:footnoteReference w:id="111"/>
      </w:r>
      <w:r>
        <w:t xml:space="preserve"> Opvallend verschil met de argumentatie in 2006 is dat weliswaar wordt benadrukt dat strafbaarstelling niet te ver mag gaan, maar dat in 2023 (en ook daarna) nergens wordt geëxpliciteerd waarom dat niet te ver mag gaan. Vermoedelijk heeft dat te maken met het standpunt dat lobbyen beschermd moet worden. Na enkele recente, geruchtmakende gevallen van vergaand lobbyen en torenhoge giften aan politieke partijen, lijkt het politiek gezien echter weinig aantrekkelijk om het belang van lobbyen al te zeer te benadrukken.</w:t>
      </w:r>
      <w:r>
        <w:rPr>
          <w:rStyle w:val="Voetnootmarkering"/>
        </w:rPr>
        <w:footnoteReference w:id="112"/>
      </w:r>
      <w:r>
        <w:t xml:space="preserve"> </w:t>
      </w:r>
    </w:p>
    <w:p w14:paraId="162087A9" w14:textId="77777777" w:rsidR="00DA1440" w:rsidRPr="00B53E28" w:rsidRDefault="00DA1440" w:rsidP="00DA1440">
      <w:pPr>
        <w:pStyle w:val="Geenafstand"/>
        <w:ind w:firstLine="708"/>
      </w:pPr>
      <w:r>
        <w:t>Mogelijk heeft een negatievere kijk op lobbyen, als gevolg van deze recente, geruchtmakende gevallen, ertoe geleid dat de Nederlandse regering voorstander is geworden van strafbaarstelling van handel in invloed.</w:t>
      </w:r>
      <w:r>
        <w:rPr>
          <w:rStyle w:val="Voetnootmarkering"/>
        </w:rPr>
        <w:footnoteReference w:id="113"/>
      </w:r>
      <w:r>
        <w:t xml:space="preserve"> </w:t>
      </w:r>
    </w:p>
    <w:p w14:paraId="79012DE4" w14:textId="77777777" w:rsidR="00DA1440" w:rsidRDefault="00DA1440" w:rsidP="00DA1440">
      <w:pPr>
        <w:pStyle w:val="Geenafstand"/>
      </w:pPr>
    </w:p>
    <w:p w14:paraId="3D4A7951" w14:textId="77777777" w:rsidR="00DA1440" w:rsidRDefault="00DA1440" w:rsidP="00DA1440">
      <w:pPr>
        <w:pStyle w:val="Geenafstand"/>
      </w:pPr>
      <w:r>
        <w:t xml:space="preserve">Begin 2025 komt de discussie over strafbaarstelling van handel in invloed opnieuw tot leven. Op 3 februari 2025 schrijft het </w:t>
      </w:r>
      <w:r w:rsidRPr="002A269D">
        <w:rPr>
          <w:i/>
          <w:iCs/>
        </w:rPr>
        <w:t>NRC</w:t>
      </w:r>
      <w:r>
        <w:t xml:space="preserve"> dat het OM en de Rijksrecherche het Ministerie van Justitie en Veiligheid </w:t>
      </w:r>
      <w:r>
        <w:lastRenderedPageBreak/>
        <w:t>verzoeken om handel in invloed strafbaar te stellen. De aanleiding voor dit verzoek was, volgens de krant, het vastlopen van het strafrechtelijk onderzoek naar oud-Eurocommissaris Neelie Kroes.</w:t>
      </w:r>
      <w:r>
        <w:rPr>
          <w:rStyle w:val="Voetnootmarkering"/>
        </w:rPr>
        <w:footnoteReference w:id="114"/>
      </w:r>
    </w:p>
    <w:p w14:paraId="6D1CEB12" w14:textId="77777777" w:rsidR="00DA1440" w:rsidRDefault="00DA1440" w:rsidP="00DA1440">
      <w:pPr>
        <w:pStyle w:val="Geenafstand"/>
      </w:pPr>
      <w:r>
        <w:tab/>
        <w:t xml:space="preserve">Een dag na de publicatie van het artikel in het </w:t>
      </w:r>
      <w:r>
        <w:rPr>
          <w:i/>
          <w:iCs/>
        </w:rPr>
        <w:t>NRC</w:t>
      </w:r>
      <w:r>
        <w:t>, stelde het Tweede Kamerlid Van Nispen (SP) vragen aan de minister van Justitie en Veiligheid. In het bijzonder vroeg hij de minister of hij ook vindt dat sprake is van een lacune in de wetgeving en of hij van plan is met voorstellen te komen om de lacune te dichten.</w:t>
      </w:r>
      <w:r>
        <w:rPr>
          <w:rStyle w:val="Voetnootmarkering"/>
        </w:rPr>
        <w:footnoteReference w:id="115"/>
      </w:r>
      <w:r>
        <w:t xml:space="preserve"> Op 3 maart 2025 gaf de minister van Justitie en Veiligheid antwoord. Opmerkelijk genoeg gaf hij aan dat hij geen bestuurlijk signaal heeft ontvangen vanuit het OM en de Rijksrecherche waaruit volgt dat de huidige wetgeving niet voldoet. Om die reden had de minister niet het beeld dat de huidige wetgeving onvoldoende mogelijkheden biedt om ambtenaren te vervolgen voor corruptie. Bovendien vond hij dat de bestaande strafbaarstelling voldoende duidelijk is en netwerkomkoping omvat. De minister zag de door Van Nispen (en de genoemde media) geschetste lacune daarom niet. De complexe bewijskwesties die kunnen spelen bij omkoping zijn volgens de minister onlosmakelijk verbonden met de heimelijke aard van het omkopingsdelict.</w:t>
      </w:r>
      <w:r>
        <w:rPr>
          <w:rStyle w:val="Voetnootmarkering"/>
        </w:rPr>
        <w:footnoteReference w:id="116"/>
      </w:r>
      <w:r>
        <w:t xml:space="preserve"> Daarmee sloot de minister aan bij Hulsman, die ook vond dat strafbaarstelling niet mag plaatsvinden wanneer het strafrechtelijk systeem niet op redelijke wijze aan de oplossing kan bijdragen. Ook vond hij dat geen sprake moet zijn van strafbaarstelling, wanneer geen redelijke graad van opsporing kan worden bereikt.</w:t>
      </w:r>
      <w:r>
        <w:rPr>
          <w:rStyle w:val="Voetnootmarkering"/>
        </w:rPr>
        <w:footnoteReference w:id="117"/>
      </w:r>
      <w:r>
        <w:t xml:space="preserve"> Immers: de minister was van oordeel dat een bredere strafbaarstelling de bewijsrechtelijke problemen niet oplost. Daarmee appelleerde de minister aan het criterium voor strafbaarstelling dat ziet op de hanteerbaarheid en effectiviteit.</w:t>
      </w:r>
      <w:r>
        <w:rPr>
          <w:rStyle w:val="Voetnootmarkering"/>
        </w:rPr>
        <w:footnoteReference w:id="118"/>
      </w:r>
    </w:p>
    <w:p w14:paraId="0972F8CB" w14:textId="77777777" w:rsidR="00DA1440" w:rsidRDefault="00DA1440" w:rsidP="00DA1440">
      <w:pPr>
        <w:pStyle w:val="Geenafstand"/>
        <w:ind w:firstLine="708"/>
      </w:pPr>
      <w:r>
        <w:t>De minister wees verder op de ruime omkopingsbepalingen in het Nederlandse strafrecht, waardoor onrechtmatige bevoordeling al bestraft zou kunnen worden. Voor wat betreft de opstelling van het kabinet ten aanzien van het voorstel voor een richtlijn van de Europese Commissie, waarin een strafbaarstelling van ongeoorloofde beïnvloeding is opgenomen, verwees</w:t>
      </w:r>
      <w:r w:rsidRPr="003836F3">
        <w:t xml:space="preserve"> de minister naar het standpunt uit 2023</w:t>
      </w:r>
      <w:r>
        <w:t>.</w:t>
      </w:r>
      <w:r>
        <w:rPr>
          <w:rStyle w:val="Voetnootmarkering"/>
        </w:rPr>
        <w:footnoteReference w:id="119"/>
      </w:r>
      <w:r>
        <w:t xml:space="preserve"> Dat standpunt houdt in dat het kabinet</w:t>
      </w:r>
      <w:r w:rsidRPr="005B0B20">
        <w:t xml:space="preserve"> zich in</w:t>
      </w:r>
      <w:r>
        <w:t>zet</w:t>
      </w:r>
      <w:r w:rsidRPr="005B0B20">
        <w:t xml:space="preserve"> voor een heldere afbakening, zodat bepalingen niet verder gaan dan noodzakelijk om het doel van de richtlijn te verwezenlijken.</w:t>
      </w:r>
      <w:r w:rsidRPr="005B0B20">
        <w:rPr>
          <w:rStyle w:val="Voetnootmarkering"/>
        </w:rPr>
        <w:footnoteReference w:id="120"/>
      </w:r>
      <w:r>
        <w:t xml:space="preserve"> Dat komt overeen met het standpunt van Hulsman, die vond dat geen strafbaarstelling moet plaatsvinden, indien het gedrag betreft dat moeilijk enigszins nauwkeurig kan worden omschreven.</w:t>
      </w:r>
      <w:r>
        <w:rPr>
          <w:rStyle w:val="Voetnootmarkering"/>
        </w:rPr>
        <w:footnoteReference w:id="121"/>
      </w:r>
    </w:p>
    <w:p w14:paraId="1ABF42EA" w14:textId="77777777" w:rsidR="00DA1440" w:rsidRDefault="00DA1440" w:rsidP="00DA1440">
      <w:pPr>
        <w:pStyle w:val="Geenafstand"/>
      </w:pPr>
    </w:p>
    <w:p w14:paraId="3676C334" w14:textId="77777777" w:rsidR="00DA1440" w:rsidRDefault="00DA1440" w:rsidP="00DA1440">
      <w:pPr>
        <w:pStyle w:val="Geenafstand"/>
      </w:pPr>
      <w:r>
        <w:t>De minister van Justitie en Veiligheid gaf op 21 maart 2025 aan dat hij er niet principieel op tegen is om handel in invloed toe te voegen aan het Wetboek van Strafrecht.</w:t>
      </w:r>
      <w:r>
        <w:rPr>
          <w:rStyle w:val="Voetnootmarkering"/>
        </w:rPr>
        <w:footnoteReference w:id="122"/>
      </w:r>
      <w:r>
        <w:t xml:space="preserve"> Wel zei hij dat hij niet vooruit wil </w:t>
      </w:r>
      <w:r>
        <w:lastRenderedPageBreak/>
        <w:t>lopen op de Europese richtlijn. De minister stelde dat het OM vindt dat de strafwetgeving voor het bestrijden van corruptie in Nederland robuust genoeg is.</w:t>
      </w:r>
      <w:r>
        <w:rPr>
          <w:rStyle w:val="Voetnootmarkering"/>
        </w:rPr>
        <w:footnoteReference w:id="123"/>
      </w:r>
      <w:r>
        <w:t xml:space="preserve"> Wederom appelleerde het kabinet dus aan de subsidiariteit, de schadelijkheid en de duidelijkheid van strafbaarstelling als criteria voor strafbaarstelling.</w:t>
      </w:r>
    </w:p>
    <w:p w14:paraId="052B8493" w14:textId="77777777" w:rsidR="00DA1440" w:rsidRDefault="00DA1440" w:rsidP="00DA1440">
      <w:pPr>
        <w:pStyle w:val="Geenafstand"/>
      </w:pPr>
      <w:r>
        <w:tab/>
        <w:t xml:space="preserve"> Op 12 juni 2025 diende Van Nispen twee moties in, die in het kader van de strafbaarstelling van handel in invloed relevant zijn. In de eerste motie verzocht Van Nispen de regering om ervoor te zorgen dat handel in invloed strafbaar wordt gesteld.</w:t>
      </w:r>
      <w:r>
        <w:rPr>
          <w:rStyle w:val="Voetnootmarkering"/>
        </w:rPr>
        <w:footnoteReference w:id="124"/>
      </w:r>
      <w:r>
        <w:t xml:space="preserve"> De minister van Binnenlandse Zaken en Koninkrijksrelatie gaf deze motie de appreciatie ‘ontijdig’, omdat er op het moment van indienen reeds op Europees niveau werd onderhandeld over een richtlijn ten behoeve van de corruptiebestrijding.</w:t>
      </w:r>
      <w:r>
        <w:rPr>
          <w:rStyle w:val="Voetnootmarkering"/>
        </w:rPr>
        <w:footnoteReference w:id="125"/>
      </w:r>
      <w:r>
        <w:t xml:space="preserve"> In de tweede motie, waaraan door </w:t>
      </w:r>
      <w:r>
        <w:rPr>
          <w:i/>
          <w:iCs/>
        </w:rPr>
        <w:t xml:space="preserve">Transparency International Nederland </w:t>
      </w:r>
      <w:r>
        <w:t>is meegeschreven,</w:t>
      </w:r>
      <w:r>
        <w:rPr>
          <w:rStyle w:val="Voetnootmarkering"/>
        </w:rPr>
        <w:footnoteReference w:id="126"/>
      </w:r>
      <w:r>
        <w:t xml:space="preserve"> werd de regering verzocht zich in de onderhandelingen in de Raad van de EU, aangaande de Corruptierichtlijn, in te spannen voor een brede definitie van handel in invloed.</w:t>
      </w:r>
      <w:r>
        <w:rPr>
          <w:rStyle w:val="Voetnootmarkering"/>
        </w:rPr>
        <w:footnoteReference w:id="127"/>
      </w:r>
      <w:r>
        <w:t xml:space="preserve"> De motie kreeg van de minister van Binnenlandse Zaken en Koninkrijksrelaties de appreciatie ‘overbodig’, omdat op Europees niveau reeds wordt onderhandeld over een richtlijn ten behoeve van de corruptiebestrijding. Nederland zal zich daarbij inzetten voor een heldere strafbaarstelling, aldus de minister. Verder herhaalde zij dat het OM geen bestuurlijk signaal heeft afgegeven dat de huidige wetgeving onvoldoende mogelijkheden biedt om corruptie te vervolgen.</w:t>
      </w:r>
      <w:r>
        <w:rPr>
          <w:rStyle w:val="Voetnootmarkering"/>
        </w:rPr>
        <w:footnoteReference w:id="128"/>
      </w:r>
      <w:r>
        <w:t xml:space="preserve"> Ondanks de negatieve appreciaties, zijn deze moties van Van Nispen op 17 juni 2025 aangenomen.</w:t>
      </w:r>
      <w:r>
        <w:rPr>
          <w:rStyle w:val="Voetnootmarkering"/>
        </w:rPr>
        <w:footnoteReference w:id="129"/>
      </w:r>
    </w:p>
    <w:p w14:paraId="7189B758" w14:textId="77777777" w:rsidR="00DA1440" w:rsidRDefault="00DA1440" w:rsidP="00DA1440">
      <w:pPr>
        <w:pStyle w:val="Geenafstand"/>
      </w:pPr>
      <w:r>
        <w:tab/>
        <w:t>Op 22 september 2025 vroeg Van Nispen of de minister van Justitie en Veiligheid bereid is handel in invloed strafbaar te stellen.</w:t>
      </w:r>
      <w:r>
        <w:rPr>
          <w:rStyle w:val="Voetnootmarkering"/>
        </w:rPr>
        <w:footnoteReference w:id="130"/>
      </w:r>
      <w:r>
        <w:t xml:space="preserve"> De concrete aanleiding hiervoor is het interne overheidsonderzoek dat in het voorwoord is aangehaald, waarin het corruptiebeleid “naïef” wordt genoemd. Op 11 november 2025 gaf de minister van Justitie en Veiligheid antwoord.</w:t>
      </w:r>
      <w:r>
        <w:rPr>
          <w:rStyle w:val="Voetnootmarkering"/>
        </w:rPr>
        <w:footnoteReference w:id="131"/>
      </w:r>
      <w:r>
        <w:t xml:space="preserve"> Hij gaf aan dat er geen lacune in de huidige wetgeving wordt waargenomen en dat de Rijksrecherche en het OM geen bestuurlijk signaal hebben afgegeven over een strafbaarstelling van handel in invloed. Hij vulde aan dat het kabinet het onwenselijk acht om vooruit te lopen op de uitkomsten van de Europese onderhandelingen over de corruptierichtlijn. Een nieuwe strafbaarstelling zou volgens de minister snel achterhaald kunnen zijn, als in de definitieve richtlijn een afwijkende omschrijving van handel in invloed zou worden opgenomen. De minister gaf aan dat te zijner tijd zal worden bekeken of ter implementatie van de corruptierichtlijn wijzigingen van de nationale strafwetgeving noodzakelijk zijn. Mocht dat zo zijn, dan zal een wetsvoorstel in procedure worden gebracht, aldus de minister. Hij voegde daaraan toe dat het OM zich kan vinden in dit proces.</w:t>
      </w:r>
      <w:r>
        <w:rPr>
          <w:rStyle w:val="Voetnootmarkering"/>
        </w:rPr>
        <w:footnoteReference w:id="132"/>
      </w:r>
    </w:p>
    <w:p w14:paraId="4B4B90CC" w14:textId="77777777" w:rsidR="00DA1440" w:rsidRDefault="00DA1440" w:rsidP="00DA1440">
      <w:pPr>
        <w:pStyle w:val="Geenafstand"/>
      </w:pPr>
    </w:p>
    <w:p w14:paraId="2CFEB641" w14:textId="77777777" w:rsidR="00DA1440" w:rsidRDefault="00DA1440" w:rsidP="00DA1440">
      <w:pPr>
        <w:pStyle w:val="Geenafstand"/>
      </w:pPr>
      <w:r>
        <w:t xml:space="preserve">Samengevat: waar de wetgever in 2000 expliciete strafbaarstelling van handel in invloed nog een slecht idee vindt, zet hij zich thans in voor strafbaarstelling. Deze draai is al gemaakt in 2023. In dat jaar zegt het kabinet zich in te spannen </w:t>
      </w:r>
      <w:r w:rsidRPr="003836F3">
        <w:t xml:space="preserve">voor een heldere afbakening, zodat bepalingen niet verder gaan dan </w:t>
      </w:r>
      <w:r w:rsidRPr="003836F3">
        <w:lastRenderedPageBreak/>
        <w:t>noodzakelijk om het doel van de richtlijn te verwezenlijken.</w:t>
      </w:r>
      <w:r w:rsidRPr="003836F3">
        <w:rPr>
          <w:rStyle w:val="Voetnootmarkering"/>
        </w:rPr>
        <w:footnoteReference w:id="133"/>
      </w:r>
      <w:r>
        <w:t xml:space="preserve"> Constant verwijst het kabinet naar dezelfde criteria voor strafbaarstelling: schade en onrechtmatigheid, subsidiariteit en (on)duidelijke strafbaarstelling.</w:t>
      </w:r>
    </w:p>
    <w:p w14:paraId="42A2B4C7" w14:textId="77777777" w:rsidR="00DA1440" w:rsidRDefault="00DA1440" w:rsidP="00DA1440">
      <w:pPr>
        <w:pStyle w:val="Geenafstand"/>
      </w:pPr>
    </w:p>
    <w:p w14:paraId="76FE15F9" w14:textId="77777777" w:rsidR="00DA1440" w:rsidRDefault="00DA1440" w:rsidP="00DA1440">
      <w:pPr>
        <w:pStyle w:val="Geenafstand"/>
      </w:pPr>
      <w:r>
        <w:t>De hiervoor beschreven draai, heb ik hieronder samengevat in een tijdlijn.</w:t>
      </w:r>
      <w:r>
        <w:rPr>
          <w:rStyle w:val="Voetnootmarkering"/>
        </w:rPr>
        <w:footnoteReference w:id="134"/>
      </w:r>
      <w:r>
        <w:t xml:space="preserve"> In de tijdlijn wordt zichtbaar dat het standpunt verandert van absolute tegenstander van expliciete strafbaarstelling, naar voorstander van een heldere strafbaarstelling. Vervolgens wordt dat genuanceerd, door te stellen dat men weliswaar vóór heldere strafbaarstelling is, maar dat geen sprake is van een lacune. </w:t>
      </w:r>
    </w:p>
    <w:p w14:paraId="0C9DEFF0" w14:textId="77777777" w:rsidR="00DA1440" w:rsidRDefault="00DA1440" w:rsidP="00DA1440">
      <w:pPr>
        <w:pStyle w:val="Geenafstand"/>
      </w:pPr>
    </w:p>
    <w:p w14:paraId="220A950B" w14:textId="77777777" w:rsidR="00DA1440" w:rsidRDefault="00DA1440" w:rsidP="00DA1440">
      <w:pPr>
        <w:pStyle w:val="Geenafstand"/>
      </w:pPr>
      <w:r w:rsidRPr="000772D6">
        <w:rPr>
          <w:noProof/>
        </w:rPr>
        <w:drawing>
          <wp:inline distT="0" distB="0" distL="0" distR="0" wp14:anchorId="00774B3C" wp14:editId="7B8DE70E">
            <wp:extent cx="5760720" cy="4686935"/>
            <wp:effectExtent l="0" t="0" r="0" b="0"/>
            <wp:docPr id="14133536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353620" name=""/>
                    <pic:cNvPicPr/>
                  </pic:nvPicPr>
                  <pic:blipFill>
                    <a:blip r:embed="rId13"/>
                    <a:stretch>
                      <a:fillRect/>
                    </a:stretch>
                  </pic:blipFill>
                  <pic:spPr>
                    <a:xfrm>
                      <a:off x="0" y="0"/>
                      <a:ext cx="5760720" cy="4686935"/>
                    </a:xfrm>
                    <a:prstGeom prst="rect">
                      <a:avLst/>
                    </a:prstGeom>
                  </pic:spPr>
                </pic:pic>
              </a:graphicData>
            </a:graphic>
          </wp:inline>
        </w:drawing>
      </w:r>
    </w:p>
    <w:p w14:paraId="0B048C15" w14:textId="77777777" w:rsidR="00DA1440" w:rsidRDefault="00DA1440" w:rsidP="00DA1440">
      <w:pPr>
        <w:pStyle w:val="Geenafstand"/>
      </w:pPr>
    </w:p>
    <w:p w14:paraId="487EC73D" w14:textId="77777777" w:rsidR="00DA1440" w:rsidRDefault="00DA1440" w:rsidP="00DA1440">
      <w:pPr>
        <w:pStyle w:val="Kop2"/>
      </w:pPr>
      <w:bookmarkStart w:id="10" w:name="_Toc233232763"/>
      <w:r>
        <w:t>3.2</w:t>
      </w:r>
      <w:r>
        <w:tab/>
        <w:t>Analyse overwegingen Nederlandse wetgever</w:t>
      </w:r>
      <w:bookmarkEnd w:id="10"/>
    </w:p>
    <w:p w14:paraId="42AE3F2F" w14:textId="77777777" w:rsidR="00DA1440" w:rsidRDefault="00DA1440" w:rsidP="00DA1440">
      <w:pPr>
        <w:pStyle w:val="Geenafstand"/>
      </w:pPr>
    </w:p>
    <w:p w14:paraId="31BAC79D" w14:textId="77777777" w:rsidR="00DA1440" w:rsidRDefault="00DA1440" w:rsidP="00DA1440">
      <w:pPr>
        <w:pStyle w:val="Geenafstand"/>
      </w:pPr>
      <w:r>
        <w:t>Bovenstaande tijdlijn laat zien dat het Nederlandse kabinet voorstander is van expliciete strafbaarstelling van handel in invloed, maar daar tegelijkertijd de meerwaarde niet van in ziet. Dat is merkwaardig, zeker in het licht van de criteria voor strafbaarstelling, specifiek het schadecriterium.</w:t>
      </w:r>
      <w:r>
        <w:rPr>
          <w:rStyle w:val="Voetnootmarkering"/>
        </w:rPr>
        <w:footnoteReference w:id="135"/>
      </w:r>
      <w:r>
        <w:t xml:space="preserve"> In de ogen van de Nederlandse wetgever, leidde expliciete strafbaarstelling van handel in invloed onvermijdelijk (ook) tot strafbaarstelling van lobbypraktijken, hetgeen niet strafwaardig werd geacht. Sterker: lobbyen heeft volgens de wetgever grote toegevoegde waarde.</w:t>
      </w:r>
      <w:r>
        <w:rPr>
          <w:rStyle w:val="Voetnootmarkering"/>
        </w:rPr>
        <w:footnoteReference w:id="136"/>
      </w:r>
    </w:p>
    <w:p w14:paraId="478F9E0A" w14:textId="77777777" w:rsidR="00DA1440" w:rsidRDefault="00DA1440" w:rsidP="00DA1440">
      <w:pPr>
        <w:pStyle w:val="Geenafstand"/>
      </w:pPr>
      <w:r>
        <w:lastRenderedPageBreak/>
        <w:t xml:space="preserve">Lobbyen kan echter ook strafwaardig zijn, wanneer beleidsmakers niet handelen in </w:t>
      </w:r>
      <w:r>
        <w:rPr>
          <w:i/>
          <w:iCs/>
        </w:rPr>
        <w:t xml:space="preserve">het </w:t>
      </w:r>
      <w:r>
        <w:t xml:space="preserve">of </w:t>
      </w:r>
      <w:r>
        <w:rPr>
          <w:i/>
          <w:iCs/>
        </w:rPr>
        <w:t xml:space="preserve">een </w:t>
      </w:r>
      <w:r>
        <w:t>algemeen belang, maar in een specifiek, privaat belang. Lobbyen kan een eerste stap zijn van handel in invloed.</w:t>
      </w:r>
      <w:r>
        <w:rPr>
          <w:rStyle w:val="Voetnootmarkering"/>
        </w:rPr>
        <w:footnoteReference w:id="137"/>
      </w:r>
      <w:r>
        <w:t xml:space="preserve"> Tussen handel in invloed en (wenselijke) lobbyactiviteiten bestaan echter wel een aantal belangrijke verschillen, waardoor expliciete strafbaarstelling van handel in invloed – bij een gedegen formulering – niet onvermijdelijk ook het lobbyen aantast (anders dan de argumenten van de wetgever doen vermoeden). Er zijn twee verschillen die relevant zijn voor de formulering van een delictsomschrijving:</w:t>
      </w:r>
    </w:p>
    <w:p w14:paraId="6BAEB25B" w14:textId="77777777" w:rsidR="00DA1440" w:rsidRDefault="00DA1440" w:rsidP="00DA1440">
      <w:pPr>
        <w:pStyle w:val="Geenafstand"/>
        <w:numPr>
          <w:ilvl w:val="0"/>
          <w:numId w:val="2"/>
        </w:numPr>
      </w:pPr>
      <w:r>
        <w:t>Ten eerste verschilt de aard van de beïnvloeding. Bij handel in invloed is die, anders dan bij lobbyen, ongepast (</w:t>
      </w:r>
      <w:r w:rsidRPr="0047358B">
        <w:rPr>
          <w:i/>
          <w:iCs/>
        </w:rPr>
        <w:t>improper</w:t>
      </w:r>
      <w:r>
        <w:t xml:space="preserve">, </w:t>
      </w:r>
      <w:r w:rsidRPr="0047358B">
        <w:t>in</w:t>
      </w:r>
      <w:r>
        <w:t xml:space="preserve"> de woorden van GRECO).</w:t>
      </w:r>
      <w:r>
        <w:rPr>
          <w:rStyle w:val="Voetnootmarkering"/>
        </w:rPr>
        <w:footnoteReference w:id="138"/>
      </w:r>
      <w:r>
        <w:t xml:space="preserve"> Wat onder ‘improper’ moet worden verstaan, is overigens onduidelijk.</w:t>
      </w:r>
      <w:r>
        <w:rPr>
          <w:rStyle w:val="Voetnootmarkering"/>
        </w:rPr>
        <w:footnoteReference w:id="139"/>
      </w:r>
      <w:r>
        <w:t xml:space="preserve"> Het Corruptieverdrag van de Raad van Europa stelt deze eis ook. Zou dat niet het geval zijn, dan valt mogelijk elke betaalde lobbyactiviteit onder de strafbaarstelling.</w:t>
      </w:r>
      <w:r>
        <w:rPr>
          <w:rStyle w:val="Voetnootmarkering"/>
        </w:rPr>
        <w:footnoteReference w:id="140"/>
      </w:r>
    </w:p>
    <w:p w14:paraId="27FD4D43" w14:textId="77777777" w:rsidR="00DA1440" w:rsidRDefault="00DA1440" w:rsidP="00DA1440">
      <w:pPr>
        <w:pStyle w:val="Geenafstand"/>
        <w:numPr>
          <w:ilvl w:val="0"/>
          <w:numId w:val="2"/>
        </w:numPr>
      </w:pPr>
      <w:r>
        <w:t>Een tweede verschil is dat handel in invloed – anders dan lobbyen – onevenredige voordelen met zich meebrengt. Een voorkeursbehandeling voor de omkoper is de norm. Andere partijen hebben geen gelijke kans in het besluitvormingsproces.</w:t>
      </w:r>
      <w:r>
        <w:rPr>
          <w:rStyle w:val="Voetnootmarkering"/>
        </w:rPr>
        <w:footnoteReference w:id="141"/>
      </w:r>
      <w:r>
        <w:t xml:space="preserve"> Daar is aan toegevoegd dat in de relatie tussen de lobbyist en de politicus bij handel in invloed wederkerigheid en beïnvloeding de norm is geworden.</w:t>
      </w:r>
      <w:r>
        <w:rPr>
          <w:rStyle w:val="Voetnootmarkering"/>
        </w:rPr>
        <w:footnoteReference w:id="142"/>
      </w:r>
      <w:r>
        <w:t xml:space="preserve"> Het lobbyen leidt er dan toe dat de beleidsbepaler zijn macht aanwendt ten dienste van een ander doel of belang dan waartoe de macht werd toegekend.</w:t>
      </w:r>
      <w:r>
        <w:rPr>
          <w:rStyle w:val="Voetnootmarkering"/>
        </w:rPr>
        <w:footnoteReference w:id="143"/>
      </w:r>
      <w:r>
        <w:t xml:space="preserve"> Het gaat bij handel in invloed dus niet om lobbyen in het algemeen, maar om te vergaande vormen daarvan.</w:t>
      </w:r>
    </w:p>
    <w:p w14:paraId="3B89D516" w14:textId="77777777" w:rsidR="00DA1440" w:rsidRDefault="00DA1440" w:rsidP="00DA1440">
      <w:pPr>
        <w:pStyle w:val="Geenafstand"/>
      </w:pPr>
    </w:p>
    <w:p w14:paraId="31C08D5A" w14:textId="77777777" w:rsidR="00DA1440" w:rsidRDefault="00DA1440" w:rsidP="00DA1440">
      <w:pPr>
        <w:pStyle w:val="Geenafstand"/>
      </w:pPr>
      <w:r>
        <w:t>Het standpunt van de Nederlandse regering, dat er onder andere op neerkomt dat strafbaarstelling van handel in invloed per definitie het lobbyen bedreigt, is daarom onjuist. Daarvan gaat immers ten onrechte de suggestie uit dat handel in invloed en lobbyen in de kern hetzelfde zijn. In de delictsomschrijving kunnen deze fenomenen echter wel degelijk van elkaar worden gescheiden. De praktijk in het buitenland heeft laten zien dat dat goed mogelijk is.</w:t>
      </w:r>
      <w:r>
        <w:rPr>
          <w:rStyle w:val="Voetnootmarkering"/>
        </w:rPr>
        <w:footnoteReference w:id="144"/>
      </w:r>
      <w:r>
        <w:br w:type="page"/>
      </w:r>
    </w:p>
    <w:p w14:paraId="42FB7FCD" w14:textId="77777777" w:rsidR="00DA1440" w:rsidRDefault="00DA1440" w:rsidP="00DA1440">
      <w:pPr>
        <w:pStyle w:val="Kop1"/>
      </w:pPr>
      <w:bookmarkStart w:id="11" w:name="_Toc221046947"/>
      <w:bookmarkStart w:id="12" w:name="_Toc233232764"/>
      <w:r>
        <w:lastRenderedPageBreak/>
        <w:t>4.</w:t>
      </w:r>
      <w:r>
        <w:tab/>
        <w:t xml:space="preserve">Standpunt van de </w:t>
      </w:r>
      <w:bookmarkEnd w:id="11"/>
      <w:r>
        <w:t>Europese Commissie</w:t>
      </w:r>
      <w:bookmarkEnd w:id="12"/>
    </w:p>
    <w:p w14:paraId="4562A79A" w14:textId="77777777" w:rsidR="00DA1440" w:rsidRDefault="00DA1440" w:rsidP="00DA1440">
      <w:pPr>
        <w:pStyle w:val="Kop2"/>
      </w:pPr>
      <w:bookmarkStart w:id="13" w:name="_Toc233232765"/>
      <w:r>
        <w:t>4.1</w:t>
      </w:r>
      <w:r>
        <w:tab/>
        <w:t>Corruptierichtlijn</w:t>
      </w:r>
      <w:bookmarkEnd w:id="13"/>
    </w:p>
    <w:p w14:paraId="74C48766" w14:textId="77777777" w:rsidR="00DA1440" w:rsidRDefault="00DA1440" w:rsidP="00DA1440">
      <w:pPr>
        <w:pStyle w:val="Geenafstand"/>
      </w:pPr>
    </w:p>
    <w:p w14:paraId="328B46B2" w14:textId="77777777" w:rsidR="00DA1440" w:rsidRDefault="00DA1440" w:rsidP="00DA1440">
      <w:pPr>
        <w:pStyle w:val="Geenafstand"/>
      </w:pPr>
      <w:r>
        <w:t>Op 3 mei 2023 publiceerde de Europese Commissie haar voorstel voor de Corruptierichtlijn.</w:t>
      </w:r>
      <w:r>
        <w:rPr>
          <w:rStyle w:val="Voetnootmarkering"/>
        </w:rPr>
        <w:footnoteReference w:id="145"/>
      </w:r>
      <w:r>
        <w:t xml:space="preserve"> In het voorstel is er ruimte voor repressie, in de vorm van strafbaarstellingen, waaronder handel in invloed, in combinatie met minimale maximumgevangenisstraffen.</w:t>
      </w:r>
      <w:r>
        <w:rPr>
          <w:rStyle w:val="Voetnootmarkering"/>
        </w:rPr>
        <w:footnoteReference w:id="146"/>
      </w:r>
      <w:r>
        <w:t xml:space="preserve"> Daarmee worden lacunes opgevuld, aldus de Commissie.</w:t>
      </w:r>
      <w:r>
        <w:rPr>
          <w:rStyle w:val="Voetnootmarkering"/>
        </w:rPr>
        <w:footnoteReference w:id="147"/>
      </w:r>
      <w:r>
        <w:t xml:space="preserve"> Al op de eerste pagina van de toelichting op het voorstel wordt duidelijk wat de aanleiding ervoor was: </w:t>
      </w:r>
    </w:p>
    <w:p w14:paraId="2423F135" w14:textId="77777777" w:rsidR="00DA1440" w:rsidRDefault="00DA1440" w:rsidP="00DA1440">
      <w:pPr>
        <w:pStyle w:val="Geenafstand"/>
      </w:pPr>
    </w:p>
    <w:p w14:paraId="11E9503B" w14:textId="77777777" w:rsidR="00DA1440" w:rsidRDefault="00DA1440" w:rsidP="00DA1440">
      <w:pPr>
        <w:pStyle w:val="Geenafstand"/>
      </w:pPr>
      <w:r>
        <w:t>“Corruptie is zeer schadelijk voor de samenleving, voor onze democratieën, voor de economie en voor i</w:t>
      </w:r>
      <w:r w:rsidRPr="00AF43CC">
        <w:t>ndividuen. Zij ondermijnt de instellingen waarvan wij afhankelijk zijn en tast hun geloofwaardigheid aan, evenals hun vermogen om overheidsbeleid te ontwikkelen en openbare diensten van goede kwaliteit te verlenen. Zij fungeert als katalysator voor georganiseerde misdaad en vijandige buitenlandse inmenging.</w:t>
      </w:r>
      <w:r>
        <w:t>”</w:t>
      </w:r>
      <w:r>
        <w:rPr>
          <w:rStyle w:val="Voetnootmarkering"/>
        </w:rPr>
        <w:footnoteReference w:id="148"/>
      </w:r>
    </w:p>
    <w:p w14:paraId="3EB78FF8" w14:textId="77777777" w:rsidR="00DA1440" w:rsidRDefault="00DA1440" w:rsidP="00DA1440">
      <w:pPr>
        <w:pStyle w:val="Geenafstand"/>
      </w:pPr>
    </w:p>
    <w:p w14:paraId="231B0133" w14:textId="77777777" w:rsidR="00DA1440" w:rsidRDefault="00DA1440" w:rsidP="00DA1440">
      <w:pPr>
        <w:pStyle w:val="Geenafstand"/>
      </w:pPr>
      <w:r>
        <w:t>Met deze toelichting, maakt de Commissie duidelijk dat sprake is van schadelijk en onrechtmatig gedrag, hetgeen een criterium is voor strafbaarstelling.</w:t>
      </w:r>
      <w:r>
        <w:rPr>
          <w:rStyle w:val="Voetnootmarkering"/>
        </w:rPr>
        <w:footnoteReference w:id="149"/>
      </w:r>
    </w:p>
    <w:p w14:paraId="5E09CEC7" w14:textId="77777777" w:rsidR="00DA1440" w:rsidRDefault="00DA1440" w:rsidP="00DA1440">
      <w:pPr>
        <w:pStyle w:val="Geenafstand"/>
      </w:pPr>
    </w:p>
    <w:p w14:paraId="394E8C8C" w14:textId="77777777" w:rsidR="00DA1440" w:rsidRPr="00C40A19" w:rsidRDefault="00DA1440" w:rsidP="00DA1440">
      <w:pPr>
        <w:pStyle w:val="Geenafstand"/>
      </w:pPr>
      <w:r>
        <w:t xml:space="preserve">Het voorstel van de Europese Commissie kwam niet als een verrassing. </w:t>
      </w:r>
      <w:r w:rsidRPr="00F608F6">
        <w:rPr>
          <w:lang w:val="en-GB"/>
        </w:rPr>
        <w:t xml:space="preserve">Op 14 september 2022 kondigde Von der Leyen de richtlijn namelijk al aan: “If we want to be credible when we ask candidate countries to strengthen their democracies, we must also eradicate corruption at home. </w:t>
      </w:r>
      <w:r w:rsidRPr="0099522E">
        <w:rPr>
          <w:lang w:val="en-GB"/>
        </w:rPr>
        <w:t>That is why in the coming year the Commission will present measures to update our legislative framework for fighting corruption.</w:t>
      </w:r>
      <w:r>
        <w:rPr>
          <w:lang w:val="en-GB"/>
        </w:rPr>
        <w:t>”</w:t>
      </w:r>
      <w:r>
        <w:rPr>
          <w:rStyle w:val="Voetnootmarkering"/>
          <w:lang w:val="en-GB"/>
        </w:rPr>
        <w:footnoteReference w:id="150"/>
      </w:r>
      <w:r>
        <w:rPr>
          <w:lang w:val="en-GB"/>
        </w:rPr>
        <w:t xml:space="preserve"> </w:t>
      </w:r>
      <w:r w:rsidRPr="00E067EF">
        <w:t>Opmerkelijk is</w:t>
      </w:r>
      <w:r>
        <w:t xml:space="preserve"> </w:t>
      </w:r>
      <w:r w:rsidRPr="00E067EF">
        <w:t>dat de a</w:t>
      </w:r>
      <w:r>
        <w:t>anleiding die Von der Leyen noemt – de eisen die worden gesteld aan kandidaat-lidstaten – niet terugkomt in de toelichting op het voorstel.</w:t>
      </w:r>
    </w:p>
    <w:p w14:paraId="1572B20D" w14:textId="77777777" w:rsidR="00DA1440" w:rsidRDefault="00DA1440" w:rsidP="00DA1440">
      <w:pPr>
        <w:pStyle w:val="Geenafstand"/>
      </w:pPr>
    </w:p>
    <w:p w14:paraId="6C25525E" w14:textId="77777777" w:rsidR="00DA1440" w:rsidRDefault="00DA1440" w:rsidP="00DA1440">
      <w:pPr>
        <w:pStyle w:val="Geenafstand"/>
      </w:pPr>
      <w:r>
        <w:t>Naast de schade die corruptie kan toebrengen, wijst de Commissie nadrukkelijk op de verplichtingen uit het VTC.</w:t>
      </w:r>
      <w:r>
        <w:rPr>
          <w:rStyle w:val="Voetnootmarkering"/>
        </w:rPr>
        <w:footnoteReference w:id="151"/>
      </w:r>
      <w:r>
        <w:t xml:space="preserve"> Tijdens een plenaire samenkomst in het kader van de speciale zitting van de Algemene Vergadering over de strijd tegen corruptie (in 2021), had de EU al toegezegd dat zij, voor zover mogelijk, verdergaat dan de minimumvereisten van het VTC.</w:t>
      </w:r>
      <w:r>
        <w:rPr>
          <w:rStyle w:val="Voetnootmarkering"/>
        </w:rPr>
        <w:footnoteReference w:id="152"/>
      </w:r>
      <w:r>
        <w:t xml:space="preserve"> Ook de internationale verplichtingen zijn dus kennelijk een belangrijke drijfveer voor – onder andere – het strafbaar willen stellen van handel in invloed, hetgeen immers in het VTC ook is voorgeschreven.</w:t>
      </w:r>
      <w:r>
        <w:rPr>
          <w:rStyle w:val="Voetnootmarkering"/>
        </w:rPr>
        <w:footnoteReference w:id="153"/>
      </w:r>
    </w:p>
    <w:p w14:paraId="6ED5E272" w14:textId="77777777" w:rsidR="00DA1440" w:rsidRDefault="00DA1440" w:rsidP="00DA1440">
      <w:pPr>
        <w:pStyle w:val="Geenafstand"/>
        <w:ind w:firstLine="708"/>
      </w:pPr>
      <w:r>
        <w:t>Een andere belangrijke reden voor het voorschrijven van de strafbaarstelling van handel in invloed, was dat de Commissie eenheid binnen de EU wilde creëren.</w:t>
      </w:r>
      <w:r>
        <w:rPr>
          <w:rStyle w:val="Voetnootmarkering"/>
        </w:rPr>
        <w:footnoteReference w:id="154"/>
      </w:r>
      <w:r>
        <w:t xml:space="preserve"> Op het moment van het voorstel hadden – volgens de Europese Commissie – 23 van de 25 lidstaten handel in invloed strafbaar gesteld. Sommige definities van de 23 strafbaarstellingen verschilden echter aanzienlijk van art. 18 van het VTC, aldus de Commissie. Bovendien zou ‘handel in invloed’ in sommige lidstaten slechts gedeeltelijk strafbaar zijn gesteld.</w:t>
      </w:r>
      <w:r>
        <w:rPr>
          <w:rStyle w:val="Voetnootmarkering"/>
        </w:rPr>
        <w:footnoteReference w:id="155"/>
      </w:r>
    </w:p>
    <w:p w14:paraId="77409A6B" w14:textId="77777777" w:rsidR="00DA1440" w:rsidRDefault="00DA1440" w:rsidP="00DA1440">
      <w:pPr>
        <w:pStyle w:val="Geenafstand"/>
      </w:pPr>
      <w:r>
        <w:lastRenderedPageBreak/>
        <w:t>In het najaar van 2025 bevond de behandeling van de richtlijn zich – na voorgestelde amendementen door het Parlement – in de fase van de triloog. De onderhandelingen leken in een impasse geraakt, onder andere omdat er onenigheid was over het opnemen van een strafbaarstelling van misbruik van functie door ambtenaren.</w:t>
      </w:r>
      <w:r>
        <w:rPr>
          <w:rStyle w:val="Voetnootmarkering"/>
        </w:rPr>
        <w:footnoteReference w:id="156"/>
      </w:r>
      <w:r>
        <w:t xml:space="preserve"> Eén van de hoofdonderhandelaars bij de richtlijn schreef het volgende over het desondanks slagen van de onderhandelingen:</w:t>
      </w:r>
    </w:p>
    <w:p w14:paraId="0470FCCD" w14:textId="77777777" w:rsidR="00DA1440" w:rsidRDefault="00DA1440" w:rsidP="00DA1440">
      <w:pPr>
        <w:pStyle w:val="Geenafstand"/>
      </w:pPr>
    </w:p>
    <w:p w14:paraId="7D9EF6BF" w14:textId="77777777" w:rsidR="00DA1440" w:rsidRDefault="00DA1440" w:rsidP="00DA1440">
      <w:pPr>
        <w:pStyle w:val="Geenafstand"/>
      </w:pPr>
      <w:r>
        <w:t>“</w:t>
      </w:r>
      <w:r w:rsidRPr="00C67108">
        <w:t>Dat we niet nóg verder gaan in de aanpak is aan de nationale regeringen om uit te leggen aan hun inwoners, maar het glas is half vol. En tot een paar weken geleden leek er nog helemaal geen glas te komen.”</w:t>
      </w:r>
      <w:r>
        <w:rPr>
          <w:rStyle w:val="Voetnootmarkering"/>
        </w:rPr>
        <w:footnoteReference w:id="157"/>
      </w:r>
    </w:p>
    <w:p w14:paraId="566CF904" w14:textId="77777777" w:rsidR="00DA1440" w:rsidRDefault="00DA1440" w:rsidP="00DA1440">
      <w:pPr>
        <w:pStyle w:val="Geenafstand"/>
      </w:pPr>
    </w:p>
    <w:p w14:paraId="2D9A0391" w14:textId="77777777" w:rsidR="00DA1440" w:rsidRDefault="00DA1440" w:rsidP="00DA1440">
      <w:pPr>
        <w:pStyle w:val="Geenafstand"/>
      </w:pPr>
      <w:r>
        <w:t>Uiteindelijk werd eind 2025 duidelijk dat de Raad van de EU en het Europees Parlement een voorlopig akkoord hebben bereikt over de (minimum)normen ten aanzien van de strafbaarstelling van corruptiemisdrijven, waaronder handel in invloed.</w:t>
      </w:r>
      <w:r>
        <w:rPr>
          <w:rStyle w:val="Voetnootmarkering"/>
        </w:rPr>
        <w:footnoteReference w:id="158"/>
      </w:r>
    </w:p>
    <w:p w14:paraId="0887A7D9" w14:textId="77777777" w:rsidR="00DA1440" w:rsidRDefault="00DA1440" w:rsidP="00DA1440">
      <w:pPr>
        <w:pStyle w:val="Geenafstand"/>
      </w:pPr>
    </w:p>
    <w:p w14:paraId="573EDEF6" w14:textId="77777777" w:rsidR="00DA1440" w:rsidRDefault="00DA1440" w:rsidP="00DA1440">
      <w:pPr>
        <w:pStyle w:val="Kop2"/>
      </w:pPr>
      <w:bookmarkStart w:id="14" w:name="_Toc233232766"/>
      <w:r>
        <w:t>4.2</w:t>
      </w:r>
      <w:r>
        <w:tab/>
        <w:t>Toepassing van de criteria voor strafbaarstelling</w:t>
      </w:r>
      <w:bookmarkEnd w:id="14"/>
    </w:p>
    <w:p w14:paraId="21FC66E0" w14:textId="77777777" w:rsidR="00DA1440" w:rsidRDefault="00DA1440" w:rsidP="00DA1440">
      <w:pPr>
        <w:pStyle w:val="Geenafstand"/>
      </w:pPr>
    </w:p>
    <w:p w14:paraId="6B035B3E" w14:textId="77777777" w:rsidR="00DA1440" w:rsidRDefault="00DA1440" w:rsidP="00DA1440">
      <w:pPr>
        <w:pStyle w:val="Geenafstand"/>
      </w:pPr>
      <w:r>
        <w:t>In deze paragraaf komt aan bod hoe de Commissie toepassing heeft gegeven aan de criteria voor strafbaarstelling die relevant zijn op EU-niveau. Deze criteria wijken af van de ‘nationale’ criteria.</w:t>
      </w:r>
      <w:r>
        <w:rPr>
          <w:rStyle w:val="Voetnootmarkering"/>
        </w:rPr>
        <w:footnoteReference w:id="159"/>
      </w:r>
    </w:p>
    <w:p w14:paraId="7AD03861" w14:textId="77777777" w:rsidR="00DA1440" w:rsidRDefault="00DA1440" w:rsidP="00DA1440">
      <w:pPr>
        <w:pStyle w:val="Geenafstand"/>
      </w:pPr>
    </w:p>
    <w:p w14:paraId="210FDFF2" w14:textId="77777777" w:rsidR="00DA1440" w:rsidRDefault="00DA1440" w:rsidP="00DA1440">
      <w:pPr>
        <w:pStyle w:val="Geenafstand"/>
      </w:pPr>
      <w:r>
        <w:t>In het kader van de subsidiariteit merkte de Commissie op dat</w:t>
      </w:r>
      <w:r w:rsidRPr="00616FB1">
        <w:t xml:space="preserve"> </w:t>
      </w:r>
      <w:r>
        <w:t>corruptie een geleidelijk toenemend grensoverschrijdend verschijnsel in de EU is en nationale maatregelen onvoldoende werking zouden hebben. Uit een studie zou blijken dat het ontbreken van een coherent Europees kader op corruptiegebied leidt tot problemen bij de aanpak van corruptie. Daarom zouden maatregelen op EU-niveau doeltreffender en efficiënter zijn, ten opzichte van afzonderlijk genomen, nationale maatregelen. Zo kunnen gemeenschappelijke definities van strafbare feiten volgens de Commissie de samenwerking tussen lidstaten en relevante actoren vergemakkelijken. De Commissie wijst ten slotte op de schade die corruptie toebrengt of kan brengen en dat, zonder actie op EU-niveau, de omvang van het probleem de komende jaren waarschijnlijk aanzienlijk zal toenemen.</w:t>
      </w:r>
      <w:r>
        <w:rPr>
          <w:rStyle w:val="Voetnootmarkering"/>
        </w:rPr>
        <w:footnoteReference w:id="160"/>
      </w:r>
    </w:p>
    <w:p w14:paraId="790F0062" w14:textId="77777777" w:rsidR="00DA1440" w:rsidRDefault="00DA1440" w:rsidP="00DA1440">
      <w:pPr>
        <w:pStyle w:val="Geenafstand"/>
      </w:pPr>
      <w:r>
        <w:tab/>
        <w:t xml:space="preserve">Opvallend is dat de Commissie zeer weinig aandacht besteed aan de mogelijkheden die er waren om </w:t>
      </w:r>
      <w:r>
        <w:rPr>
          <w:i/>
          <w:iCs/>
        </w:rPr>
        <w:t xml:space="preserve">niet </w:t>
      </w:r>
      <w:r>
        <w:t>op strafrechtelijk gebied tot oplossingen te komen. Het lijkt erop dat de Commissie zich vanaf het eerste moment heeft gericht op strafrechtelijke aanpak. Bij de raadpleging van belanghebbenden, waaronder de lidstaten, in de voorfase van het ontwerpproces, is namelijk meteen gefocust op de bestaande strafrechtelijke aanpak.</w:t>
      </w:r>
      <w:r>
        <w:rPr>
          <w:rStyle w:val="Voetnootmarkering"/>
        </w:rPr>
        <w:footnoteReference w:id="161"/>
      </w:r>
      <w:r>
        <w:t xml:space="preserve"> De Commissie heeft in het verleden toegezegd te toetsen of het strafrecht de aangewezen weg is, via een effectbeoordeling (</w:t>
      </w:r>
      <w:r w:rsidRPr="00225DD8">
        <w:rPr>
          <w:i/>
          <w:iCs/>
        </w:rPr>
        <w:t>impact assessment</w:t>
      </w:r>
      <w:r>
        <w:t>). Zij heeft er echter voor gekozen om bij dit voorstel geen effectbeoordeling te maken. De Commissie heeft deze keuze gemotiveerd, door erop te wijzen dat het voorstel tot doel heeft bestaande internationale verplichtingen in het EU-recht te integreren, waardoor weinig ruimte overblijft voor alternatieve handelswijzen en dat het voorstel waarschijnlijk geen significante economische, milieu- of maatschappelijke gevolgen of kosten met zich mee zou brengen.</w:t>
      </w:r>
      <w:r>
        <w:rPr>
          <w:rStyle w:val="Voetnootmarkering"/>
        </w:rPr>
        <w:footnoteReference w:id="162"/>
      </w:r>
      <w:r>
        <w:t xml:space="preserve"> Op die keuze is kritiek mogelijk met betrekking tot handel in </w:t>
      </w:r>
      <w:r>
        <w:lastRenderedPageBreak/>
        <w:t>invloed, nu de bestaande verdragen de lidstaten niet verplichten om handel in invloed strafbaar te stellen.</w:t>
      </w:r>
      <w:r>
        <w:rPr>
          <w:rStyle w:val="Voetnootmarkering"/>
        </w:rPr>
        <w:footnoteReference w:id="163"/>
      </w:r>
    </w:p>
    <w:p w14:paraId="4F8E95A7" w14:textId="77777777" w:rsidR="00DA1440" w:rsidRDefault="00DA1440" w:rsidP="00DA1440">
      <w:pPr>
        <w:pStyle w:val="Geenafstand"/>
      </w:pPr>
      <w:r>
        <w:tab/>
        <w:t>Aangezien er geen impact assessment is gemaakt, moet in de toelichting worden gezocht naar de relevante overwegingen op het punt van het ultimum remedium-beginsel. Hoewel de Commissie heeft opgemerkt dat de richtlijn noodzakelijk en evenredig is om corruptie doeltreffend te voorkomen en te bestrijden, zijn daar geen concrete argumenten voor aangevoerd.</w:t>
      </w:r>
      <w:r>
        <w:rPr>
          <w:rStyle w:val="Voetnootmarkering"/>
        </w:rPr>
        <w:footnoteReference w:id="164"/>
      </w:r>
      <w:r>
        <w:t xml:space="preserve"> De Commissie verwijst met name naar het VTC, waarmee het gebruik van strafrecht wordt gelegitimeerd.</w:t>
      </w:r>
      <w:r>
        <w:rPr>
          <w:rStyle w:val="Voetnootmarkering"/>
        </w:rPr>
        <w:footnoteReference w:id="165"/>
      </w:r>
      <w:r>
        <w:t xml:space="preserve"> Ten tweede wees de Commissie op preventieve maatregelen die zijn genoemd in haar voorstel. In het voorstel worden lidstaten echter enkel aangemoedigd (en niet verplicht) om preventieve maatregelen te nemen. Tegelijkertijd wordt beweerd dat strafrechtelijke repressie van belang is om die (niet voorgeschreven) preventieve maatregelen doeltreffend(er) te maken.</w:t>
      </w:r>
      <w:r>
        <w:rPr>
          <w:rStyle w:val="Voetnootmarkering"/>
        </w:rPr>
        <w:footnoteReference w:id="166"/>
      </w:r>
      <w:r>
        <w:t xml:space="preserve"> </w:t>
      </w:r>
    </w:p>
    <w:p w14:paraId="2C1010CB" w14:textId="77777777" w:rsidR="00DA1440" w:rsidRDefault="00DA1440" w:rsidP="00DA1440">
      <w:pPr>
        <w:pStyle w:val="Geenafstand"/>
      </w:pPr>
      <w:r>
        <w:tab/>
        <w:t>Met deze zeer beperkte motivering van de inzet van het strafrecht, wordt gehandeld in overeenstemming met de huidige tendens. Deze tendens komt erop neer dat de Commissie al snel van oordeel is dat is voldaan aan het ultimum remedium-beginsel.</w:t>
      </w:r>
      <w:r>
        <w:rPr>
          <w:rStyle w:val="Voetnootmarkering"/>
        </w:rPr>
        <w:footnoteReference w:id="167"/>
      </w:r>
    </w:p>
    <w:p w14:paraId="7F610F83" w14:textId="77777777" w:rsidR="00DA1440" w:rsidRDefault="00DA1440" w:rsidP="00DA1440">
      <w:pPr>
        <w:pStyle w:val="Geenafstand"/>
      </w:pPr>
    </w:p>
    <w:p w14:paraId="499D17A4" w14:textId="77777777" w:rsidR="00DA1440" w:rsidRDefault="00DA1440" w:rsidP="00DA1440">
      <w:pPr>
        <w:pStyle w:val="Kop2"/>
      </w:pPr>
      <w:bookmarkStart w:id="15" w:name="_Toc233232767"/>
      <w:r>
        <w:t>4.3</w:t>
      </w:r>
      <w:r>
        <w:tab/>
        <w:t>Kritiek op het voorstel</w:t>
      </w:r>
      <w:bookmarkEnd w:id="15"/>
    </w:p>
    <w:p w14:paraId="2AA0BC95" w14:textId="77777777" w:rsidR="00DA1440" w:rsidRDefault="00DA1440" w:rsidP="00DA1440">
      <w:pPr>
        <w:pStyle w:val="Geenafstand"/>
      </w:pPr>
    </w:p>
    <w:p w14:paraId="736F56F9" w14:textId="77777777" w:rsidR="00DA1440" w:rsidRDefault="00DA1440" w:rsidP="00DA1440">
      <w:pPr>
        <w:pStyle w:val="Geenafstand"/>
      </w:pPr>
      <w:r>
        <w:t>Zowel op de inhoud van het voorstel – voor zover dat ziet op handel in invloed – als op de onderbouwing daarvan, is kritiek mogelijk. Allereerst de inhoud. De stap naar strafbaarstelling van handel in invloed lijkt prematuur, nu er nauwelijks regulatie plaats heeft gevonden op het gebied van lobbyactiviteiten en beïnvloeding.</w:t>
      </w:r>
      <w:r>
        <w:rPr>
          <w:rStyle w:val="Voetnootmarkering"/>
        </w:rPr>
        <w:footnoteReference w:id="168"/>
      </w:r>
      <w:r>
        <w:t xml:space="preserve"> Dat maakt ook dat het bestanddeel ‘onrechtmatige invloed’ voor velerlei uitleg vatbaar is, hetgeen de legaliteit niet ten goede komt.</w:t>
      </w:r>
      <w:r>
        <w:rPr>
          <w:rStyle w:val="Voetnootmarkering"/>
        </w:rPr>
        <w:footnoteReference w:id="169"/>
      </w:r>
      <w:r>
        <w:t xml:space="preserve"> Nu ook door de lidstaten zeer verschillend wordt gedacht over handel in invloed – zowel over de vraag óf strafbaarstelling moet plaatsvinden als over de vraag hoe – is de precieze invulling van het delict lastig te voorzien.</w:t>
      </w:r>
      <w:r>
        <w:rPr>
          <w:rStyle w:val="Voetnootmarkering"/>
        </w:rPr>
        <w:footnoteReference w:id="170"/>
      </w:r>
      <w:r>
        <w:t xml:space="preserve"> Een fatsoenlijke regeling over lobbyen op EU-niveau zou ten eerste een logische stap zijn met het oog op het criterium van het ultimum remedium, maar is ten tweede ook van belang met het oog op de legaliteit en de effectiviteit van de strafbaarstelling.</w:t>
      </w:r>
      <w:r>
        <w:rPr>
          <w:rStyle w:val="Voetnootmarkering"/>
        </w:rPr>
        <w:footnoteReference w:id="171"/>
      </w:r>
    </w:p>
    <w:p w14:paraId="11688D2A" w14:textId="77777777" w:rsidR="00DA1440" w:rsidRDefault="00DA1440" w:rsidP="00DA1440">
      <w:pPr>
        <w:pStyle w:val="Geenafstand"/>
      </w:pPr>
    </w:p>
    <w:p w14:paraId="72FC3DBA" w14:textId="77777777" w:rsidR="00DA1440" w:rsidRDefault="00DA1440" w:rsidP="00DA1440">
      <w:pPr>
        <w:pStyle w:val="Geenafstand"/>
      </w:pPr>
      <w:r>
        <w:t>Ook op de argumenten om nú met het voorstel te komen, is kritiek mogelijk. Het lag voor de Commissie namelijk niet bepaald voor de hand om op dit moment</w:t>
      </w:r>
      <w:r>
        <w:rPr>
          <w:i/>
          <w:iCs/>
        </w:rPr>
        <w:t xml:space="preserve"> </w:t>
      </w:r>
      <w:r>
        <w:t xml:space="preserve">met een richtlijn te komen. Er bestaan immers al internationale instrumenten ter bestrijding van corruptie. Deze instrumenten, onder andere van de Raad van Europa en de VN, kennen bovendien evaluatiemechanismen. De vraag is daarom wat de toegevoegde waarde is van EU-regelgeving bovenop het bestaande instrumentarium. Bovendien was het een optie om eerst, in EU-verband, onderzoek te doen naar de mogelijkheden van strafrechtelijke aansprakelijkheid van bedrijven vanwege het onvoldoende nemen van maatregelen ter voorkoming van corruptie. In enkele lidstaten is hier al ervaring mee. Dat zou uiteindelijk kunnen leiden tot een beperktere reikwijdte van de strafbaarstelling, hetgeen past bij de belangen van subsidiariteit (in </w:t>
      </w:r>
      <w:r>
        <w:lastRenderedPageBreak/>
        <w:t>nationale zin) en het ultimum remedium-beginsel.</w:t>
      </w:r>
      <w:r>
        <w:rPr>
          <w:rStyle w:val="Voetnootmarkering"/>
        </w:rPr>
        <w:footnoteReference w:id="172"/>
      </w:r>
      <w:r>
        <w:t xml:space="preserve"> De redenen die de Commissie in de toelichting aanhaalt om strafbaarstelling van handel in invloed desondanks </w:t>
      </w:r>
      <w:r>
        <w:rPr>
          <w:i/>
          <w:iCs/>
        </w:rPr>
        <w:t xml:space="preserve">nu </w:t>
      </w:r>
      <w:r>
        <w:t>voor te schrijven, zijn mijns inziens niet erg sterk. Deze argumenten bestaan erin dat – volgens de Commissie – corruptie een geleidelijk toenemend grensoverschrijdend verschijnsel is in de EU en fungeert als katalysator voor georganiseerde misdaad en vijandige buitenlandse inmenging.</w:t>
      </w:r>
      <w:r>
        <w:rPr>
          <w:rStyle w:val="Voetnootmarkering"/>
        </w:rPr>
        <w:footnoteReference w:id="173"/>
      </w:r>
      <w:r>
        <w:t xml:space="preserve"> </w:t>
      </w:r>
    </w:p>
    <w:p w14:paraId="51D8EE9F" w14:textId="77777777" w:rsidR="00DA1440" w:rsidRDefault="00DA1440" w:rsidP="00DA1440">
      <w:pPr>
        <w:pStyle w:val="Geenafstand"/>
      </w:pPr>
      <w:r>
        <w:tab/>
        <w:t>De Commissie stelt dus allereerst dat grensoverschrijdende corruptie toeneemt. Veel corruptiegevallen zullen zich echter afspelen binnen de landsgrenzen. Een stijging van grensoverschrijdende corruptie kan dus evengoed gepaard gaan met (sterk) afgenomen gevallen van zuiver nationale corruptie, wat betekent dat per saldo geen sprake is van een toename van het aantal corruptiegevallen. Dat werpt de vraag op of enkel een stijging van grensoverschrijdende corruptie harmonisatie rechtvaardigt, die immers ook ziet op zuiver nationale situaties.</w:t>
      </w:r>
    </w:p>
    <w:p w14:paraId="0A4732E4" w14:textId="77777777" w:rsidR="00DA1440" w:rsidRDefault="00DA1440" w:rsidP="00DA1440">
      <w:pPr>
        <w:pStyle w:val="Geenafstand"/>
      </w:pPr>
      <w:r>
        <w:tab/>
        <w:t>Een tweede kanttekening die bij de bewering van de Commissie (dat grensoverschrijdende corruptie toeneemt) kan worden gemaakt, hangt samen met de cijfermatige onderbouwing daarvan. De Commissie baseerde haar bewering op een rapport van Eurojust.</w:t>
      </w:r>
      <w:r>
        <w:rPr>
          <w:rStyle w:val="Voetnootmarkering"/>
        </w:rPr>
        <w:footnoteReference w:id="174"/>
      </w:r>
      <w:r>
        <w:t xml:space="preserve"> Uit dat rapport blijkt dat inderdaad sprake is van een geleidelijke toename van het aantal gevallen van grensoverschrijdende corruptie. Een belangrijke nuance hierbij is echter dat het gaat om een absolute stijging van 37 gevallen in 2021 ten opzichte van 2016. Los van het feit dat dit in absolute zin weinig voorstelt, wordt door het nemen van de jaren 2016 tot en met 2021 als referentiepunten een vertekend beeld geschetst. Vanaf 2016 loopt het aantal corruptiegevallen op, maar wanneer men kijkt naar 2015, dan is het verschil met 2021 slechts 22 gevallen.</w:t>
      </w:r>
      <w:r>
        <w:rPr>
          <w:rStyle w:val="Voetnootmarkering"/>
        </w:rPr>
        <w:footnoteReference w:id="175"/>
      </w:r>
      <w:r>
        <w:t xml:space="preserve"> Bovendien lijkt 2021 een piekjaar te zijn, nu het aantal grensoverschrijdende corruptiegevallen in de jaren daarna constant (fors) lager lag.</w:t>
      </w:r>
      <w:r>
        <w:rPr>
          <w:rStyle w:val="Voetnootmarkering"/>
        </w:rPr>
        <w:footnoteReference w:id="176"/>
      </w:r>
      <w:r>
        <w:t xml:space="preserve"> Met andere woorden: van een geleidelijke toename van het aantal gevallen van (grensoverschrijdende) corruptie, is geen sprake. Dit argument kan de richtlijn dan ook niet (meer) rechtvaardigen. Mijns inziens is bovendien, op basis van de cijfers, te snel de conclusie getrokken dat sprake is van een Europees probleem. Ter illustratie: Griekenland is bij meer dan één op de tien van de door Eurojust geregistreerde grensoverschrijdende corruptiegevallen betrokken.</w:t>
      </w:r>
      <w:r>
        <w:rPr>
          <w:rStyle w:val="Voetnootmarkering"/>
        </w:rPr>
        <w:footnoteReference w:id="177"/>
      </w:r>
      <w:r>
        <w:t xml:space="preserve"> Dat rechtvaardigt de vraag of hier wel sprake is van een Europees probleem, of van een (groot) probleem in een klein aantal lidstaten. Is dat laatste het geval, dan is het twijfelachtig of harmonisatie gerechtvaardigd is. Het zou dan immers kunnen zijn dat een groot aantal lidstaten de corruptiebestrijding aardig op orde hebben. Harmonisatie kan die succesvolle aanpak dan bemoeilijken.</w:t>
      </w:r>
    </w:p>
    <w:p w14:paraId="6878023C" w14:textId="77777777" w:rsidR="00DA1440" w:rsidRDefault="00DA1440" w:rsidP="00DA1440">
      <w:pPr>
        <w:pStyle w:val="Geenafstand"/>
      </w:pPr>
    </w:p>
    <w:p w14:paraId="5EFA947B" w14:textId="30E7D8C6" w:rsidR="00DA1440" w:rsidRDefault="00DA1440" w:rsidP="00DA1440">
      <w:pPr>
        <w:pStyle w:val="Geenafstand"/>
      </w:pPr>
      <w:r>
        <w:t>Een tweede, veelvuldig door de Commissie aangehaald argument ziet op het ontbreken van een coherent Europees kader, met bepalingen voor corruptiegerelateerde strafbare feiten, waaronder handel in invloed. Dat zou leiden tot problemen bij de aanpak van grensoverschrijdende corruptie. De Commissie verwijst daarbij naar een studie.</w:t>
      </w:r>
      <w:r>
        <w:rPr>
          <w:rStyle w:val="Voetnootmarkering"/>
        </w:rPr>
        <w:footnoteReference w:id="178"/>
      </w:r>
      <w:r>
        <w:t xml:space="preserve"> Deze studie beveelt inderdaad aan om de corruptiewetgeving van lidstaten te harmoniseren. In de studie wordt er eigenlijk slechts één argument genoemd waarom de strafbaarstelling van handel in invloed door de EU moet worden voorgeschreven. Dat argument ziet op het voldoen aan artikel 18 van het VTC – een argument dat al was gebruikt door de Commissie.</w:t>
      </w:r>
      <w:r>
        <w:rPr>
          <w:rStyle w:val="Voetnootmarkering"/>
        </w:rPr>
        <w:footnoteReference w:id="179"/>
      </w:r>
      <w:r>
        <w:t xml:space="preserve"> De  Commissie presenteert </w:t>
      </w:r>
      <w:r w:rsidR="00584E23">
        <w:t>de studie</w:t>
      </w:r>
      <w:r>
        <w:t xml:space="preserve"> dus als een extra reden om handel in invloed expliciet strafbaar te stellen, terwijl </w:t>
      </w:r>
      <w:r w:rsidR="00AB2B91">
        <w:t>die</w:t>
      </w:r>
      <w:r w:rsidR="00176E64">
        <w:t xml:space="preserve"> studie</w:t>
      </w:r>
      <w:r>
        <w:t xml:space="preserve"> daarvoor geen nieuwe argumenten aandraagt.</w:t>
      </w:r>
    </w:p>
    <w:p w14:paraId="4E1F26F9" w14:textId="77777777" w:rsidR="00DA1440" w:rsidRDefault="00DA1440" w:rsidP="00DA1440">
      <w:pPr>
        <w:pStyle w:val="Geenafstand"/>
      </w:pPr>
    </w:p>
    <w:p w14:paraId="1C26F4B4" w14:textId="77777777" w:rsidR="00DA1440" w:rsidRDefault="00DA1440" w:rsidP="00DA1440">
      <w:pPr>
        <w:pStyle w:val="Geenafstand"/>
      </w:pPr>
      <w:r>
        <w:t xml:space="preserve">De Europese Commissie heeft ten slotte niet onderbouwd waaruit blijkt dat corruptie, meer specifiek handel in invloed, wordt ingezet door buitenlandse mogendheden of door de georganiseerde misdaad. Bovendien is niet duidelijk gemaakt dat dit meer gebeurt dan voorheen en dat er daarom </w:t>
      </w:r>
      <w:r>
        <w:rPr>
          <w:i/>
          <w:iCs/>
        </w:rPr>
        <w:t xml:space="preserve">nu </w:t>
      </w:r>
      <w:r>
        <w:t>een richtlijn moet komen.</w:t>
      </w:r>
      <w:r>
        <w:rPr>
          <w:rStyle w:val="Voetnootmarkering"/>
        </w:rPr>
        <w:footnoteReference w:id="180"/>
      </w:r>
    </w:p>
    <w:p w14:paraId="453DC1CB" w14:textId="77777777" w:rsidR="00DA1440" w:rsidRDefault="00DA1440" w:rsidP="00DA1440">
      <w:pPr>
        <w:pStyle w:val="Geenafstand"/>
      </w:pPr>
      <w:r>
        <w:lastRenderedPageBreak/>
        <w:t>Kortom: de Commissie baseert de timing van het voorstel vooral op:</w:t>
      </w:r>
    </w:p>
    <w:p w14:paraId="6D406B59" w14:textId="77777777" w:rsidR="00DA1440" w:rsidRDefault="00DA1440" w:rsidP="00DA1440">
      <w:pPr>
        <w:pStyle w:val="Geenafstand"/>
        <w:numPr>
          <w:ilvl w:val="0"/>
          <w:numId w:val="1"/>
        </w:numPr>
      </w:pPr>
      <w:r>
        <w:t>een zeer gestage toename, die inmiddels is gestopt, van een zeer klein aantal gevallen van corruptie, waarbij een relatief kleine groep lidstaten verantwoordelijk is voor een groot deel van de corruptiegevallen;</w:t>
      </w:r>
    </w:p>
    <w:p w14:paraId="5B633708" w14:textId="77777777" w:rsidR="00DA1440" w:rsidRDefault="00DA1440" w:rsidP="00DA1440">
      <w:pPr>
        <w:pStyle w:val="Geenafstand"/>
        <w:numPr>
          <w:ilvl w:val="0"/>
          <w:numId w:val="1"/>
        </w:numPr>
      </w:pPr>
      <w:r>
        <w:t>een studie, die voor wat betreft handel in invloed enkel verwijst naar art. 18 van het VTC; en</w:t>
      </w:r>
    </w:p>
    <w:p w14:paraId="084317EF" w14:textId="77777777" w:rsidR="00DA1440" w:rsidRDefault="00DA1440" w:rsidP="00DA1440">
      <w:pPr>
        <w:pStyle w:val="Geenafstand"/>
        <w:numPr>
          <w:ilvl w:val="0"/>
          <w:numId w:val="1"/>
        </w:numPr>
      </w:pPr>
      <w:r>
        <w:t>een niet nader onderbouwde bewering dat corruptie in zijn algemeenheid (en dus niet specifiek handel in invloed) wordt ingezet door de georganiseerde misdaad of voor buitenlandse inmenging.</w:t>
      </w:r>
    </w:p>
    <w:p w14:paraId="10F9E021" w14:textId="77777777" w:rsidR="00DA1440" w:rsidRDefault="00DA1440" w:rsidP="00DA1440">
      <w:pPr>
        <w:pStyle w:val="Geenafstand"/>
      </w:pPr>
    </w:p>
    <w:p w14:paraId="5D17FD38" w14:textId="77777777" w:rsidR="00DA1440" w:rsidRDefault="00DA1440" w:rsidP="00DA1440">
      <w:pPr>
        <w:pStyle w:val="Geenafstand"/>
      </w:pPr>
      <w:r>
        <w:t>Verder is in de literatuur opgemerkt dat de verplichting tot het strafbaar stellen van handel in invloed nauw is verweven met te vergaande lobbypraktijken.</w:t>
      </w:r>
      <w:r>
        <w:rPr>
          <w:rStyle w:val="Voetnootmarkering"/>
        </w:rPr>
        <w:footnoteReference w:id="181"/>
      </w:r>
      <w:r>
        <w:t xml:space="preserve"> Gelet op de schandalen die zich binnen de EU hebben afgespeeld vlak voor de voorbereidingen voor de Corruptierichtlijn (onder andere </w:t>
      </w:r>
      <w:r>
        <w:rPr>
          <w:i/>
          <w:iCs/>
        </w:rPr>
        <w:t>Dieselgate</w:t>
      </w:r>
      <w:r>
        <w:t xml:space="preserve">, </w:t>
      </w:r>
      <w:r>
        <w:rPr>
          <w:i/>
          <w:iCs/>
        </w:rPr>
        <w:t>Uber Files</w:t>
      </w:r>
      <w:r>
        <w:t xml:space="preserve"> en </w:t>
      </w:r>
      <w:r>
        <w:rPr>
          <w:i/>
          <w:iCs/>
        </w:rPr>
        <w:t>Qatargate</w:t>
      </w:r>
      <w:r>
        <w:t>), zal de Commissie (of breder: de EU) het signaal hebben willen afgeven dat zij die schandalen serieus aanpakt en in de toekomst wil voorkomen.</w:t>
      </w:r>
      <w:r>
        <w:rPr>
          <w:rStyle w:val="Voetnootmarkering"/>
        </w:rPr>
        <w:footnoteReference w:id="182"/>
      </w:r>
      <w:r>
        <w:t xml:space="preserve"> Dat signaal is extra dringend, nu de vele schandalen het vertrouwen van de EU-burgers in het functioneren van de EU flink kan hebben aangetast.</w:t>
      </w:r>
      <w:r>
        <w:rPr>
          <w:rStyle w:val="Voetnootmarkering"/>
        </w:rPr>
        <w:footnoteReference w:id="183"/>
      </w:r>
    </w:p>
    <w:p w14:paraId="7C5A4620" w14:textId="77777777" w:rsidR="00DA1440" w:rsidRDefault="00DA1440" w:rsidP="00DA1440">
      <w:pPr>
        <w:pStyle w:val="Geenafstand"/>
      </w:pPr>
      <w:r>
        <w:tab/>
        <w:t>De vraag is echter of het strafrechtelijk instrumentarium moet worden aangepast of aangevuld vanwege genoemd signaal, of dat het ethische raamwerk voor Europarlementariërs aanscherping verdient. De Europese Ombudsman komt in ieder geval tot de conclusie dat (enkel) dat laatste is aangewezen.</w:t>
      </w:r>
      <w:r>
        <w:rPr>
          <w:rStyle w:val="Voetnootmarkering"/>
        </w:rPr>
        <w:footnoteReference w:id="184"/>
      </w:r>
      <w:r>
        <w:t xml:space="preserve"> Ook het Europees Parlement beloofde na </w:t>
      </w:r>
      <w:r>
        <w:rPr>
          <w:i/>
          <w:iCs/>
        </w:rPr>
        <w:t xml:space="preserve">Qatargate </w:t>
      </w:r>
      <w:r>
        <w:t>om de ethische regels aan te scherpen.</w:t>
      </w:r>
      <w:r>
        <w:rPr>
          <w:rStyle w:val="Voetnootmarkering"/>
        </w:rPr>
        <w:footnoteReference w:id="185"/>
      </w:r>
      <w:r>
        <w:t xml:space="preserve"> De noodzaak voor scherpe (gedrags)regels is extra hoog, nu uit onderzoek is gebleken dat op 18 januari 2024 één op de vijftien leden van het Europees Parlement zich schuldig had gemaakt aan corruptie.</w:t>
      </w:r>
      <w:r>
        <w:rPr>
          <w:rStyle w:val="Voetnootmarkering"/>
        </w:rPr>
        <w:footnoteReference w:id="186"/>
      </w:r>
      <w:r>
        <w:t xml:space="preserve"> De constatering van de vele veroordelingen rechtvaardigt ook de conclusie dat het strafrecht of de handhaving niet het probleem lijkt, maar dat er behoefte is aan een gedragskader en (niet-strafrechtelijke) lobbyregulering (ook in het kader van de legaliteit).</w:t>
      </w:r>
      <w:r>
        <w:rPr>
          <w:rStyle w:val="Voetnootmarkering"/>
        </w:rPr>
        <w:footnoteReference w:id="187"/>
      </w:r>
      <w:r>
        <w:t xml:space="preserve"> </w:t>
      </w:r>
    </w:p>
    <w:p w14:paraId="2E413256" w14:textId="77777777" w:rsidR="00DA1440" w:rsidRPr="00945AFA" w:rsidRDefault="00DA1440" w:rsidP="00DA1440">
      <w:pPr>
        <w:pStyle w:val="Geenafstand"/>
      </w:pPr>
      <w:r>
        <w:tab/>
        <w:t>Al met al komt de kern van de geuite kritieken er dus op neer dat de juridische zorgvuldigheid in het voorstel van de Commissie ten koste is gegaan van de wens om (snel) daadkracht uit te stralen in de strijd tegen corruptie, als reactie op de recente corruptieschandalen.</w:t>
      </w:r>
    </w:p>
    <w:p w14:paraId="1634D8B3" w14:textId="77777777" w:rsidR="00DA1440" w:rsidRDefault="00DA1440" w:rsidP="00DA1440">
      <w:pPr>
        <w:pStyle w:val="Geenafstand"/>
      </w:pPr>
    </w:p>
    <w:p w14:paraId="0469FB23" w14:textId="77777777" w:rsidR="00DA1440" w:rsidRDefault="00DA1440" w:rsidP="00DA1440">
      <w:pPr>
        <w:pStyle w:val="Kop2"/>
      </w:pPr>
      <w:bookmarkStart w:id="16" w:name="_Toc233232768"/>
      <w:r>
        <w:t>4.4</w:t>
      </w:r>
      <w:r>
        <w:tab/>
        <w:t>Vergelijking met Nederland</w:t>
      </w:r>
      <w:bookmarkEnd w:id="16"/>
    </w:p>
    <w:p w14:paraId="70D4125A" w14:textId="77777777" w:rsidR="00DA1440" w:rsidRDefault="00DA1440" w:rsidP="00DA1440">
      <w:pPr>
        <w:pStyle w:val="Geenafstand"/>
      </w:pPr>
    </w:p>
    <w:p w14:paraId="12D10015" w14:textId="77777777" w:rsidR="00DA1440" w:rsidRDefault="00DA1440" w:rsidP="00DA1440">
      <w:pPr>
        <w:pStyle w:val="Geenafstand"/>
      </w:pPr>
      <w:r w:rsidRPr="00583DA4">
        <w:t xml:space="preserve">Zowel de </w:t>
      </w:r>
      <w:r>
        <w:t>Commissie</w:t>
      </w:r>
      <w:r w:rsidRPr="00583DA4">
        <w:t xml:space="preserve"> als de Nederlandse wetgever gebruik</w:t>
      </w:r>
      <w:r>
        <w:t>(t)</w:t>
      </w:r>
      <w:r w:rsidRPr="00583DA4">
        <w:t>en argumenten (voor en tegen strafbaarstelling</w:t>
      </w:r>
      <w:r>
        <w:t xml:space="preserve"> van handel in invloed</w:t>
      </w:r>
      <w:r w:rsidRPr="00583DA4">
        <w:t>)</w:t>
      </w:r>
      <w:r>
        <w:t xml:space="preserve"> die de criteria voor strafbaarstelling raken. Opvallend daarbij is dat beiden nauwelijks aandacht hebben besteed aan het ultimum remedium-beginsel. De schadelijkheid van corruptie is evident, maar de inzet van het strafrecht is dat niet. Zowel in Nederland als op Europees niveau is regulering van lobbyen echter maar beperkt van de grond gekomen.</w:t>
      </w:r>
      <w:r>
        <w:rPr>
          <w:rStyle w:val="Voetnootmarkering"/>
        </w:rPr>
        <w:footnoteReference w:id="188"/>
      </w:r>
      <w:r>
        <w:t xml:space="preserve"> Toch wordt daar nauwelijks aandacht aan besteed in het kader van een discussie over de inzet van het strafrecht. </w:t>
      </w:r>
    </w:p>
    <w:p w14:paraId="76FCE2FE" w14:textId="77777777" w:rsidR="00DA1440" w:rsidRDefault="00DA1440" w:rsidP="00DA1440">
      <w:pPr>
        <w:pStyle w:val="Geenafstand"/>
        <w:rPr>
          <w:iCs/>
        </w:rPr>
      </w:pPr>
      <w:r>
        <w:tab/>
        <w:t>Interessant is ook de overeenkomst in benadering: beide wetgevers vinden het van belang dat het Europese corruptiebeleid, specifiek de strafbaarstellingen, gebaseerd zijn op (feitelijke) bewijzen.</w:t>
      </w:r>
      <w:r>
        <w:rPr>
          <w:rStyle w:val="Voetnootmarkering"/>
        </w:rPr>
        <w:footnoteReference w:id="189"/>
      </w:r>
      <w:r>
        <w:t xml:space="preserve"> Daardoor klemt het dat de cijfers en studies die de Commissie heeft aangehaald, andere uitkomsten </w:t>
      </w:r>
      <w:r>
        <w:lastRenderedPageBreak/>
        <w:t xml:space="preserve">hebben dan de interpretatie die de Commissie eraan geeft. Uit de cijfers blijkt namelijk niet dat de (grensoverschrijdende) gevallen van corruptie de afgelopen jaren zijn toegenomen. Bovendien is er voor een aantal beweringen van de Commissie geen bewijs voorhanden, zoals die over de inzet van corruptie door de georganiseerde misdaad en de bewering die ziet op buitenlandse inmenging. Deze beweringen zijn niet </w:t>
      </w:r>
      <w:r>
        <w:rPr>
          <w:iCs/>
        </w:rPr>
        <w:t xml:space="preserve">gebaseerd op </w:t>
      </w:r>
      <w:r>
        <w:rPr>
          <w:i/>
        </w:rPr>
        <w:t>factual evidence</w:t>
      </w:r>
      <w:r>
        <w:rPr>
          <w:iCs/>
        </w:rPr>
        <w:t>, waar de Raad en het Parlement juist de nadruk op leggen, net als de Nederlandse wetgever.</w:t>
      </w:r>
    </w:p>
    <w:p w14:paraId="5E9D2168" w14:textId="77777777" w:rsidR="00DA1440" w:rsidRDefault="00DA1440" w:rsidP="00DA1440">
      <w:pPr>
        <w:pStyle w:val="Geenafstand"/>
        <w:rPr>
          <w:iCs/>
        </w:rPr>
      </w:pPr>
    </w:p>
    <w:p w14:paraId="4D178BCA" w14:textId="77777777" w:rsidR="00DA1440" w:rsidRPr="00664005" w:rsidRDefault="00DA1440" w:rsidP="00DA1440">
      <w:pPr>
        <w:pStyle w:val="Geenafstand"/>
        <w:rPr>
          <w:iCs/>
        </w:rPr>
      </w:pPr>
      <w:r>
        <w:rPr>
          <w:iCs/>
        </w:rPr>
        <w:t>Ook zijn er verschillen in de gebruikte argumenten, in het licht van de criteria voor strafbaarstelling. De Nederlandse wetgever hanteerde onder andere het criterium van het onrecht als conditio sine qua non. Dat is gekoppeld aan het criterium van een nauwkeurige omschrijving van het strafbaar te stellen gedrag. Het hanteren van dat criterium moet voorkomen dat onschadelijk gedrag (zoals lobbyen) strafbaar wordt gesteld. De Commissie richt zich echter primair op de vermeende lacune in de nationale wetgevingen en steunt sterk op het VTC. Terwijl de Nederlandse wetgever geen lacune zag én vreest voor een te uitgebreide strafbaarstelling, besteedt de Commissie dus nauwelijks aandacht aan de zorg dat ook onschadelijk gedrag strafbaar zou kunnen worden onder de door haar voorgestelde strafbaarstelling.</w:t>
      </w:r>
      <w:r>
        <w:br w:type="page"/>
      </w:r>
    </w:p>
    <w:p w14:paraId="0CA033FF" w14:textId="77777777" w:rsidR="00DA1440" w:rsidRDefault="00DA1440" w:rsidP="00DA1440">
      <w:pPr>
        <w:pStyle w:val="Kop1"/>
      </w:pPr>
      <w:bookmarkStart w:id="17" w:name="_Toc233232769"/>
      <w:r>
        <w:lastRenderedPageBreak/>
        <w:t>5.</w:t>
      </w:r>
      <w:r>
        <w:tab/>
        <w:t>Standpunt Franse wetgever</w:t>
      </w:r>
      <w:bookmarkEnd w:id="17"/>
    </w:p>
    <w:p w14:paraId="78F76CBA" w14:textId="77777777" w:rsidR="00DA1440" w:rsidRDefault="00DA1440" w:rsidP="00DA1440">
      <w:pPr>
        <w:pStyle w:val="Kop2"/>
      </w:pPr>
      <w:bookmarkStart w:id="18" w:name="_Toc233232770"/>
      <w:r>
        <w:t>5.1</w:t>
      </w:r>
      <w:r>
        <w:tab/>
        <w:t>Franse strafbaarstelling handel in invloed</w:t>
      </w:r>
      <w:bookmarkEnd w:id="18"/>
    </w:p>
    <w:p w14:paraId="47130EC6" w14:textId="77777777" w:rsidR="00DA1440" w:rsidRDefault="00DA1440" w:rsidP="00DA1440">
      <w:pPr>
        <w:pStyle w:val="Geenafstand"/>
      </w:pPr>
    </w:p>
    <w:p w14:paraId="412A9314" w14:textId="1D59ADBF" w:rsidR="00DA1440" w:rsidRDefault="00DA1440" w:rsidP="00DA1440">
      <w:pPr>
        <w:pStyle w:val="Geenafstand"/>
      </w:pPr>
      <w:r>
        <w:t>Handel in invloed (Frans: t</w:t>
      </w:r>
      <w:r w:rsidRPr="008D064E">
        <w:t>rafic d’influence</w:t>
      </w:r>
      <w:r>
        <w:t>)</w:t>
      </w:r>
      <w:r w:rsidRPr="008D064E">
        <w:t xml:space="preserve"> is al sinds 1889 een</w:t>
      </w:r>
      <w:r>
        <w:t xml:space="preserve"> strafbaar feit in Frankrijk.</w:t>
      </w:r>
      <w:r>
        <w:rPr>
          <w:rStyle w:val="Voetnootmarkering"/>
        </w:rPr>
        <w:footnoteReference w:id="190"/>
      </w:r>
      <w:r>
        <w:t xml:space="preserve"> De Franse strafbaarstelling van handel in invloed wijkt inhoudelijk niet af van de definitie ervan in het VTC. Art. 18 van het VTC is namelijk gebaseerd op een Frans voorstel, dat conform artikel </w:t>
      </w:r>
      <w:r w:rsidRPr="00C35C80">
        <w:t xml:space="preserve">432-11 </w:t>
      </w:r>
      <w:r>
        <w:t>CP was.</w:t>
      </w:r>
      <w:r>
        <w:rPr>
          <w:rStyle w:val="Voetnootmarkering"/>
        </w:rPr>
        <w:footnoteReference w:id="191"/>
      </w:r>
      <w:r>
        <w:t xml:space="preserve"> </w:t>
      </w:r>
    </w:p>
    <w:p w14:paraId="1959353E" w14:textId="146B2845" w:rsidR="00DA1440" w:rsidRDefault="00DA1440" w:rsidP="00DA1440">
      <w:pPr>
        <w:pStyle w:val="Geenafstand"/>
      </w:pPr>
      <w:r>
        <w:tab/>
        <w:t xml:space="preserve">De concrete aanleiding voor de strafbaarstelling van handel in invloed was het </w:t>
      </w:r>
      <w:r>
        <w:rPr>
          <w:i/>
          <w:iCs/>
        </w:rPr>
        <w:t>scandale des décorations</w:t>
      </w:r>
      <w:r>
        <w:t>,</w:t>
      </w:r>
      <w:r>
        <w:rPr>
          <w:i/>
          <w:iCs/>
        </w:rPr>
        <w:t xml:space="preserve"> </w:t>
      </w:r>
      <w:r>
        <w:t>dat speelde in 1887 en 1888.</w:t>
      </w:r>
      <w:r>
        <w:rPr>
          <w:rStyle w:val="Voetnootmarkering"/>
        </w:rPr>
        <w:footnoteReference w:id="192"/>
      </w:r>
      <w:r>
        <w:t xml:space="preserve"> De centrale figuur in dit schandaal was Daniel Wilson. Wilson was de schoonzoon van de Franse president Jules Grévy. Jarenlang gebruikte Wilson het Élysée, de werkplaats van zijn schoonvader, om mensen te ontvangen. Waarschijnlijk is hij in 1882 begonnen met het doen van voorstellen aan president Grévy om bepaalde personen te nomineren voor de Nationale orde van het Legioen van Eer (</w:t>
      </w:r>
      <w:r>
        <w:rPr>
          <w:i/>
          <w:iCs/>
        </w:rPr>
        <w:t xml:space="preserve">l’Ordre de la Légion </w:t>
      </w:r>
      <w:r w:rsidRPr="00A80F12">
        <w:rPr>
          <w:i/>
          <w:iCs/>
        </w:rPr>
        <w:t>d’honneur</w:t>
      </w:r>
      <w:r>
        <w:t>), de hoogste Franse nationale onderscheiding.</w:t>
      </w:r>
      <w:r>
        <w:rPr>
          <w:rStyle w:val="Voetnootmarkering"/>
        </w:rPr>
        <w:footnoteReference w:id="193"/>
      </w:r>
      <w:r>
        <w:t xml:space="preserve"> In het Élysée was een vervaging van grenzen tussen privébelang en algemeen belang dus aan de orde van de dag. Dat vormde de achtergrond waartegen het </w:t>
      </w:r>
      <w:r>
        <w:rPr>
          <w:i/>
          <w:iCs/>
        </w:rPr>
        <w:t xml:space="preserve">scandale des décorations </w:t>
      </w:r>
      <w:r>
        <w:t>zich kon voltrekken.</w:t>
      </w:r>
      <w:r>
        <w:rPr>
          <w:rStyle w:val="Voetnootmarkering"/>
        </w:rPr>
        <w:footnoteReference w:id="194"/>
      </w:r>
    </w:p>
    <w:p w14:paraId="0E5C503C" w14:textId="77777777" w:rsidR="00DA1440" w:rsidRPr="00814FE0" w:rsidRDefault="00DA1440" w:rsidP="00DA1440">
      <w:pPr>
        <w:pStyle w:val="Geenafstand"/>
        <w:rPr>
          <w:i/>
          <w:iCs/>
        </w:rPr>
      </w:pPr>
      <w:r>
        <w:tab/>
        <w:t xml:space="preserve">De onthulling van het schandaal begint met een artikel in de krant </w:t>
      </w:r>
      <w:r>
        <w:rPr>
          <w:i/>
          <w:iCs/>
        </w:rPr>
        <w:t>Le XIX</w:t>
      </w:r>
      <w:r>
        <w:rPr>
          <w:i/>
          <w:iCs/>
          <w:vertAlign w:val="superscript"/>
        </w:rPr>
        <w:t>e</w:t>
      </w:r>
      <w:r>
        <w:rPr>
          <w:i/>
          <w:iCs/>
        </w:rPr>
        <w:t xml:space="preserve"> siècle</w:t>
      </w:r>
      <w:r>
        <w:t xml:space="preserve"> over generaal Caffarel, die in 1887 door de minister van Oorlog, Boulanger, was benoemd tot plaatsvervangend stafchef van het leger. Caffarel zou het systeem rondom het Legioen van Eer manipuleren. </w:t>
      </w:r>
      <w:r>
        <w:rPr>
          <w:i/>
          <w:iCs/>
        </w:rPr>
        <w:t>Le XIX</w:t>
      </w:r>
      <w:r>
        <w:rPr>
          <w:i/>
          <w:iCs/>
          <w:vertAlign w:val="superscript"/>
        </w:rPr>
        <w:t>e</w:t>
      </w:r>
      <w:r>
        <w:rPr>
          <w:i/>
          <w:iCs/>
        </w:rPr>
        <w:t xml:space="preserve"> siècle</w:t>
      </w:r>
      <w:r>
        <w:t xml:space="preserve"> schreef dat er een politieonderzoek liep tegen Caffarel, vanwege corruptie.</w:t>
      </w:r>
      <w:r>
        <w:rPr>
          <w:rStyle w:val="Voetnootmarkering"/>
        </w:rPr>
        <w:footnoteReference w:id="195"/>
      </w:r>
      <w:r>
        <w:t xml:space="preserve"> De media roken vervolgens een groter complot en stortten zich op de kwestie. Daarbij werden de namen van Boulanger en Wilson genoemd. In oktober 1887 werd uiteindelijk bekendgemaakt dat er twee netwerken</w:t>
      </w:r>
      <w:r>
        <w:rPr>
          <w:i/>
          <w:iCs/>
        </w:rPr>
        <w:t xml:space="preserve"> </w:t>
      </w:r>
      <w:r>
        <w:t>waren, die gespecialiseerd waren in handel in linten en rozetten van het Legioen van Eer. Wilson zou aan het hoofd staan van een netwerk van tussenpersonen om de handel te kunnen realiseren. Uiteindelijk kwam het tot een strafrechtelijke procedure, waarin Wilson werd vrijgesproken. Kern van de reden voor de vrijspraak was dat hij niet handelde in iets waar hij zelf de beschikking over had. De rechters van de Franse Hoge Raad (</w:t>
      </w:r>
      <w:r>
        <w:rPr>
          <w:i/>
          <w:iCs/>
        </w:rPr>
        <w:t>Cour de cassation</w:t>
      </w:r>
      <w:r>
        <w:t xml:space="preserve">) merkten op dat er een lacune in de wet bestond en het parlement werd uitgenodigd hier iets aan te doen. De dag na Wilsons vrijspraak, op 27 maart 1888, werd een wetsvoorstel ingediend dat regelde dat </w:t>
      </w:r>
      <w:r>
        <w:rPr>
          <w:i/>
          <w:iCs/>
        </w:rPr>
        <w:t xml:space="preserve">trafic des décorations </w:t>
      </w:r>
      <w:r>
        <w:t>strafbaar werd. De wetgever wilde dus snel en daadkrachtig optreden naar aanleiding van de geconstateerde lacune. Uiteindelijk werd een algemenere strafbaarstelling dan in eerste instantie voorgesteld, ingevoerd met de wet van 4 juli 1889. Deze wet introduceerde de strafbaarstelling van handel in invloed. Tijdens de parlementaire behandeling van die wet werd voortdurend het belang van de waardigheid van openbare functies benadrukt. Gelet op de criteria voor strafbaarstelling, werd vooral gefocust op de onrechtmatigheid en de schadelijkheid van het gedrag, specifiek voor het aanzien van de functie(s).</w:t>
      </w:r>
      <w:r>
        <w:rPr>
          <w:rStyle w:val="Voetnootmarkering"/>
        </w:rPr>
        <w:footnoteReference w:id="196"/>
      </w:r>
    </w:p>
    <w:p w14:paraId="067ED6EE" w14:textId="77777777" w:rsidR="00DA1440" w:rsidRDefault="00DA1440" w:rsidP="00DA1440">
      <w:pPr>
        <w:pStyle w:val="Geenafstand"/>
      </w:pPr>
      <w:r>
        <w:tab/>
        <w:t>Door de ‘uitnodiging’ van de rechters</w:t>
      </w:r>
      <w:r>
        <w:rPr>
          <w:i/>
          <w:iCs/>
        </w:rPr>
        <w:t xml:space="preserve"> </w:t>
      </w:r>
      <w:r>
        <w:t>kon betrekkelijk eenvoudig aan criteria zoals hanteerbaarheid en het ultimum remedium-beginsel worden voldaan. Het belang van strafbaarstelling was immers evident, nu handhaving onder de oude wetgeving onvoldoende van de grond kon komen.</w:t>
      </w:r>
    </w:p>
    <w:p w14:paraId="4B0826BA" w14:textId="77777777" w:rsidR="00DA1440" w:rsidRDefault="00DA1440" w:rsidP="00DA1440">
      <w:pPr>
        <w:pStyle w:val="Geenafstand"/>
      </w:pPr>
      <w:r>
        <w:tab/>
        <w:t xml:space="preserve">Expliciet bespraken de senatoren het risico dat er meer strafbaar wordt gesteld, dan wenselijk en strafwaardig is. Dat is relevant in het kader van het onrechtmatigheidscriterium, het ultimum remedium-beginsel en het nauwkeurigheidscriterium. De rapporteur, Bozerian, wees de zorgen echter </w:t>
      </w:r>
      <w:r>
        <w:lastRenderedPageBreak/>
        <w:t>van de hand, door er op te wijzen dat slechts onder voorwaarden beloftes en giften strafbaar zijn.</w:t>
      </w:r>
      <w:r>
        <w:rPr>
          <w:rStyle w:val="Voetnootmarkering"/>
        </w:rPr>
        <w:footnoteReference w:id="197"/>
      </w:r>
      <w:r>
        <w:t xml:space="preserve"> Die voorwaarden zijn het vervullen van een bepaalde functie, de ongerechtvaardigheid van de gift en het doel: ongeoorloofde beïnvloeding.</w:t>
      </w:r>
      <w:r>
        <w:rPr>
          <w:rStyle w:val="Voetnootmarkering"/>
        </w:rPr>
        <w:footnoteReference w:id="198"/>
      </w:r>
      <w:r>
        <w:t xml:space="preserve"> </w:t>
      </w:r>
    </w:p>
    <w:p w14:paraId="12C2853D" w14:textId="77777777" w:rsidR="00DA1440" w:rsidRPr="00283FCF" w:rsidRDefault="00DA1440" w:rsidP="00DA1440">
      <w:pPr>
        <w:pStyle w:val="Geenafstand"/>
      </w:pPr>
      <w:r>
        <w:tab/>
        <w:t xml:space="preserve">Blijkens de parlementaire geschiedenis was het dienen van de legaliteit een andere belangrijke reden voor strafbaarstelling van </w:t>
      </w:r>
      <w:r>
        <w:rPr>
          <w:i/>
          <w:iCs/>
        </w:rPr>
        <w:t>trafic d’influence</w:t>
      </w:r>
      <w:r>
        <w:t>. Voorkomen moest worden dat rechters de strafbaarstelling van corruptie moesten uitrekken. Dankzij expliciete strafbaarstelling van handel in invloed, was beter voorzienbaar welk gedrag strafbaar was.</w:t>
      </w:r>
      <w:r>
        <w:rPr>
          <w:rStyle w:val="Voetnootmarkering"/>
        </w:rPr>
        <w:footnoteReference w:id="199"/>
      </w:r>
    </w:p>
    <w:p w14:paraId="4B7E3C91" w14:textId="77777777" w:rsidR="00DA1440" w:rsidRDefault="00DA1440" w:rsidP="00DA1440">
      <w:pPr>
        <w:pStyle w:val="Geenafstand"/>
      </w:pPr>
    </w:p>
    <w:p w14:paraId="44E6647C" w14:textId="77777777" w:rsidR="00DA1440" w:rsidRDefault="00DA1440" w:rsidP="00DA1440">
      <w:pPr>
        <w:pStyle w:val="Kop2"/>
      </w:pPr>
      <w:bookmarkStart w:id="19" w:name="_Toc233232771"/>
      <w:r>
        <w:t>5.2</w:t>
      </w:r>
      <w:r>
        <w:tab/>
        <w:t>Reflectie op Franse wetgeving</w:t>
      </w:r>
      <w:bookmarkEnd w:id="19"/>
    </w:p>
    <w:p w14:paraId="55A9D2C5" w14:textId="77777777" w:rsidR="00DA1440" w:rsidRDefault="00DA1440" w:rsidP="00DA1440">
      <w:pPr>
        <w:pStyle w:val="Geenafstand"/>
      </w:pPr>
    </w:p>
    <w:p w14:paraId="6F07B4B8" w14:textId="77777777" w:rsidR="00DA1440" w:rsidRPr="00284278" w:rsidRDefault="00DA1440" w:rsidP="00DA1440">
      <w:pPr>
        <w:pStyle w:val="Geenafstand"/>
      </w:pPr>
      <w:r>
        <w:t xml:space="preserve">Sinds de (relatief snelle) totstandkoming van de strafbaarstelling van </w:t>
      </w:r>
      <w:r>
        <w:rPr>
          <w:i/>
          <w:iCs/>
        </w:rPr>
        <w:t>trafic d’influence</w:t>
      </w:r>
      <w:r>
        <w:t>, is er kritiek geuit op deze strafbaarstelling. Deze kritiek richt zich met name op de bescherming van lobbyen. Juristen wezen erop dat lobbyen onder omstandigheden ook strafbaar kan zijn als gevolg van deze strafbaarstelling. Dat is onwenselijk, nu lobbyen nuttig kan zijn in het wetgevingsproces.</w:t>
      </w:r>
      <w:r>
        <w:rPr>
          <w:rStyle w:val="Voetnootmarkering"/>
        </w:rPr>
        <w:footnoteReference w:id="200"/>
      </w:r>
      <w:r>
        <w:t xml:space="preserve"> Hiermee wordt geappelleerd aan het criterium voor strafbaarstelling dat ziet op onrechtmatigheid en schade. Bovendien impliceert deze kritiek dat de bepaling onvoldoende duidelijk en afgebakend is.</w:t>
      </w:r>
      <w:r>
        <w:rPr>
          <w:rStyle w:val="Voetnootmarkering"/>
        </w:rPr>
        <w:footnoteReference w:id="201"/>
      </w:r>
      <w:r>
        <w:t xml:space="preserve"> Dat is opvallend, nu één van de redenen voor de expliciete strafbaarstelling van </w:t>
      </w:r>
      <w:r>
        <w:rPr>
          <w:i/>
          <w:iCs/>
        </w:rPr>
        <w:t xml:space="preserve">trafic d’influence </w:t>
      </w:r>
      <w:r>
        <w:t>was om de strafbaarheid beter voorzienbaar te maken.</w:t>
      </w:r>
      <w:r>
        <w:rPr>
          <w:rStyle w:val="Voetnootmarkering"/>
        </w:rPr>
        <w:footnoteReference w:id="202"/>
      </w:r>
    </w:p>
    <w:p w14:paraId="15ACD8EE" w14:textId="77777777" w:rsidR="00DA1440" w:rsidRPr="009732F6" w:rsidRDefault="00DA1440" w:rsidP="00DA1440">
      <w:pPr>
        <w:pStyle w:val="Geenafstand"/>
      </w:pPr>
      <w:r>
        <w:tab/>
        <w:t>Voorts is kritiek geuit op de proportionaliteit van de bepaling.</w:t>
      </w:r>
      <w:r>
        <w:rPr>
          <w:rStyle w:val="Voetnootmarkering"/>
        </w:rPr>
        <w:footnoteReference w:id="203"/>
      </w:r>
      <w:r>
        <w:t xml:space="preserve"> In de Franse literatuur en in parlementaire rapporten is opgemerkt dat de toepasselijke strafrechtelijke sancties vaak onevenredig lijken aan het gedrag dat ze bestraffen. De conclusie is dat de bepalingen daardoor zelden worden toegepast.</w:t>
      </w:r>
      <w:r>
        <w:rPr>
          <w:rStyle w:val="Voetnootmarkering"/>
        </w:rPr>
        <w:footnoteReference w:id="204"/>
      </w:r>
      <w:r>
        <w:t xml:space="preserve"> Dat raakt de effectiviteit van de strafbaarstelling.</w:t>
      </w:r>
      <w:r>
        <w:rPr>
          <w:rStyle w:val="Voetnootmarkering"/>
        </w:rPr>
        <w:footnoteReference w:id="205"/>
      </w:r>
      <w:r>
        <w:t xml:space="preserve"> Overigens zijn er in de Franse geschiedenis mijns inziens te veel veroordelingen geweest vanwege handel in invloed, om te stellen dat de strafbepaling geen effect sorteert.</w:t>
      </w:r>
      <w:r>
        <w:rPr>
          <w:rStyle w:val="Voetnootmarkering"/>
        </w:rPr>
        <w:footnoteReference w:id="206"/>
      </w:r>
      <w:r>
        <w:t xml:space="preserve"> Daarbij merk ik op dat ook een nauwelijks toegepaste strafbepaling een symbolische waarde kan hebben, hetgeen de strafbaarstelling rechtvaardigt.</w:t>
      </w:r>
      <w:r>
        <w:rPr>
          <w:rStyle w:val="Voetnootmarkering"/>
        </w:rPr>
        <w:footnoteReference w:id="207"/>
      </w:r>
    </w:p>
    <w:p w14:paraId="230ACD19" w14:textId="77777777" w:rsidR="00DA1440" w:rsidRDefault="00DA1440" w:rsidP="00DA1440">
      <w:pPr>
        <w:pStyle w:val="Geenafstand"/>
      </w:pPr>
    </w:p>
    <w:p w14:paraId="706AF91E" w14:textId="77777777" w:rsidR="00DA1440" w:rsidRDefault="00DA1440" w:rsidP="00DA1440">
      <w:pPr>
        <w:pStyle w:val="Kop2"/>
      </w:pPr>
      <w:bookmarkStart w:id="20" w:name="_Toc233232772"/>
      <w:r>
        <w:t>5.3</w:t>
      </w:r>
      <w:r>
        <w:tab/>
        <w:t>Vergelijking met Nederland</w:t>
      </w:r>
      <w:bookmarkEnd w:id="20"/>
    </w:p>
    <w:p w14:paraId="52E3E736" w14:textId="77777777" w:rsidR="00DA1440" w:rsidRDefault="00DA1440" w:rsidP="00DA1440">
      <w:pPr>
        <w:pStyle w:val="Geenafstand"/>
      </w:pPr>
    </w:p>
    <w:p w14:paraId="0C29F171" w14:textId="77777777" w:rsidR="00DA1440" w:rsidRDefault="00DA1440" w:rsidP="00DA1440">
      <w:pPr>
        <w:pStyle w:val="Geenafstand"/>
      </w:pPr>
      <w:r>
        <w:t>Hoewel de strafbaarstelling van handel in invloed in Frankrijk vroeg van de grond is gekomen, is de wetsgeschiedenis relevant voor Nederland. Het gaat hierbij om de gebruikte argumenten en de toepassing van de criteria voor strafbaarstelling. Daarbij moet echter worden opgemerkt dat de algemene opinie over lobbyen in Frankrijk verschilt met die in Nederland. Lobbyen past in het (typisch Nederlandse) poldermodel en wordt daarom in Nederland veelal relatief positief beschreven.</w:t>
      </w:r>
      <w:r>
        <w:rPr>
          <w:rStyle w:val="Voetnootmarkering"/>
        </w:rPr>
        <w:footnoteReference w:id="208"/>
      </w:r>
      <w:r>
        <w:t xml:space="preserve"> In Frankrijk wordt lobbyen over het algemeen negatiever bekeken. Die algemene opvatting sluit, net als in Nederland (met de traditie van polderen), aan bij een traditionele visie, specifiek die van Rousseau. Rousseau zag het recht als een uitdrukking van de algemene wil en lobbyen zou dat kunnen bemoeilijken. Pas sinds de jaren ’80 is lobbyen breder geaccepteerd in Frankrijk, maar nog altijd heeft het fenomeen voor veel Fransen een negatieve connotatie.</w:t>
      </w:r>
      <w:r>
        <w:rPr>
          <w:rStyle w:val="Voetnootmarkering"/>
        </w:rPr>
        <w:footnoteReference w:id="209"/>
      </w:r>
    </w:p>
    <w:p w14:paraId="402021F7" w14:textId="77777777" w:rsidR="00DA1440" w:rsidRDefault="00DA1440" w:rsidP="00DA1440">
      <w:pPr>
        <w:pStyle w:val="Geenafstand"/>
      </w:pPr>
    </w:p>
    <w:p w14:paraId="2BC3D720" w14:textId="77777777" w:rsidR="00DA1440" w:rsidRDefault="00DA1440" w:rsidP="00DA1440">
      <w:pPr>
        <w:pStyle w:val="Geenafstand"/>
      </w:pPr>
      <w:r>
        <w:t xml:space="preserve">Belangrijke verschillen én overeenkomsten tussen de Franse en de Nederlandse argumentatie zien op de gebruikte argumenten en de toepassing van de criteria voor strafbaarstelling. Net als de Nederlandse wetgever heeft gedaan met betrekking tot de bestaande omkopingsbepalingen, heeft de Franse wetgever </w:t>
      </w:r>
      <w:r>
        <w:lastRenderedPageBreak/>
        <w:t>de nadruk gelegd op het te beschermen rechtsgoed.</w:t>
      </w:r>
      <w:r>
        <w:rPr>
          <w:rStyle w:val="Voetnootmarkering"/>
        </w:rPr>
        <w:footnoteReference w:id="210"/>
      </w:r>
      <w:r>
        <w:t xml:space="preserve"> Daarmee werd dus gewezen op de onrechtmatigheid en de schadelijkheid van het strafbaar te stellen gedrag. Dankzij het </w:t>
      </w:r>
      <w:r w:rsidRPr="00886CD0">
        <w:rPr>
          <w:i/>
          <w:iCs/>
        </w:rPr>
        <w:t>scandale des décorations</w:t>
      </w:r>
      <w:r>
        <w:t xml:space="preserve"> was de strafwaardigheid van het gedrag voor de hand liggend. De in de rechtspraak geconstateerde lacune vormde daarmee een logische aanleiding voor strafbaarstelling. </w:t>
      </w:r>
    </w:p>
    <w:p w14:paraId="1320AAAA" w14:textId="567255EE" w:rsidR="00DA1440" w:rsidRDefault="00DA1440" w:rsidP="00DA1440">
      <w:pPr>
        <w:pStyle w:val="Geenafstand"/>
      </w:pPr>
      <w:r>
        <w:tab/>
        <w:t>Hoe anders is dat in Nederland, waar überhaupt geen consensus bestaat óf sprake is van een lacune.</w:t>
      </w:r>
      <w:r>
        <w:rPr>
          <w:rStyle w:val="Voetnootmarkering"/>
        </w:rPr>
        <w:footnoteReference w:id="211"/>
      </w:r>
      <w:r>
        <w:t xml:space="preserve"> Daarmee hangt samen dat in Nederland de vrees bestaat dat de strafbaarstelling van handel in invloed te veelomvattend is en daarmee ook niet-strafwaardig gedrag kan raken (zoals lobbyen).</w:t>
      </w:r>
      <w:r>
        <w:rPr>
          <w:rStyle w:val="Voetnootmarkering"/>
        </w:rPr>
        <w:footnoteReference w:id="212"/>
      </w:r>
      <w:r>
        <w:t xml:space="preserve"> Interessant is dat dezelfde kwestie heeft gespeeld in Frankrijk, waar men er echter met ogenschijnlijk gemak overheen stapte. De Franse wetgever stelde namelijk dat handel in invloed vereisten kent (op het gebied van de functie, de ongerechtvaardigdheid van de gift en het doel van de beïnvloeding) die ertoe zouden leiden dat niet-strafwaardig gedrag niet strafbaar zou zijn.</w:t>
      </w:r>
      <w:r>
        <w:rPr>
          <w:rStyle w:val="Voetnootmarkering"/>
        </w:rPr>
        <w:footnoteReference w:id="213"/>
      </w:r>
      <w:r>
        <w:t xml:space="preserve"> De lichtvaardige wijze waarop de Franse wetgever met deze kwestie is omgegaan, is in de literatuur bekritiseerd.</w:t>
      </w:r>
      <w:r>
        <w:rPr>
          <w:rStyle w:val="Voetnootmarkering"/>
        </w:rPr>
        <w:footnoteReference w:id="214"/>
      </w:r>
      <w:r>
        <w:t xml:space="preserve"> Opvallend is dus dat in Frankrijk dezelfde discussie speelde als in Nederland met betrekking tot het bereik van de strafbaarstelling, maar dat in Frank</w:t>
      </w:r>
      <w:r w:rsidR="004E61BD">
        <w:t>r</w:t>
      </w:r>
      <w:r>
        <w:t>ijk die discussie pas uitgebreid is gevoerd ná totstandkoming van de strafbaarstelling. Wellicht hangt dat samen met het feit dat in Frankrijk de beschermenswaardigheid van lobbyen ten tijde van de totstandkoming van de strafbaarstelling geen vanzelfsprekendheid was. Daardoor was het argument rondom het bereik van de strafbaarstelling mogelijk onvoldoende sterk om in de weg te staan aan het instemmen met het voorstel. Ook is er een andere oorzaak mogelijk voor de lichtvaardige wijze waarop is omgegaan met het risico dat ook niet-strafwaardig gedrag strafbaar wordt gesteld als gevolg van de strafbaarstelling van handel in invloed. Deze oorzaak houdt in dat de Franse wetgever simpelweg geen tijd had voor uitgebreide analyses en discussies op dit punt, nu men snel en daadkrachtig wilde handelen naar aanleiding van de in de rechtspraak geconstateerde lacune in de strafwetgeving.</w:t>
      </w:r>
      <w:r>
        <w:rPr>
          <w:rStyle w:val="Voetnootmarkering"/>
        </w:rPr>
        <w:footnoteReference w:id="215"/>
      </w:r>
    </w:p>
    <w:p w14:paraId="673FEC89" w14:textId="77777777" w:rsidR="00DA1440" w:rsidRDefault="00DA1440" w:rsidP="00DA1440">
      <w:pPr>
        <w:pStyle w:val="Geenafstand"/>
      </w:pPr>
      <w:r>
        <w:tab/>
        <w:t>Ten slotte: waar in Nederland de minister nadrukkelijk wees op de effectiviteit en de hanteerbaarheid van de strafbaarstelling, is daar in de Franse parlementaire geschiedenis nauwelijks aandacht voor geweest. De Nederlandse minister van Justitie wees in dit kader op de bewijsproblemen die inherent verbonden zouden zijn aan ‘handel in invloed’.</w:t>
      </w:r>
      <w:r>
        <w:rPr>
          <w:rStyle w:val="Voetnootmarkering"/>
        </w:rPr>
        <w:footnoteReference w:id="216"/>
      </w:r>
      <w:r>
        <w:t xml:space="preserve"> In Frankrijk is de kwestie van de effectiviteit van de bepaling pas na invoering ervan uitgebreid aan de orde gekomen. Vanwege de vermeende onevenredigheid van de bepaling, zou deze strafbaarstelling in de praktijk weinig worden toegepast.</w:t>
      </w:r>
      <w:r>
        <w:rPr>
          <w:rStyle w:val="Voetnootmarkering"/>
        </w:rPr>
        <w:footnoteReference w:id="217"/>
      </w:r>
    </w:p>
    <w:p w14:paraId="1A622721" w14:textId="77777777" w:rsidR="00DA1440" w:rsidRDefault="00DA1440" w:rsidP="00DA1440">
      <w:pPr>
        <w:pStyle w:val="Geenafstand"/>
      </w:pPr>
      <w:r>
        <w:br w:type="page"/>
      </w:r>
    </w:p>
    <w:p w14:paraId="20F711D4" w14:textId="77777777" w:rsidR="00DA1440" w:rsidRDefault="00DA1440" w:rsidP="00DA1440">
      <w:pPr>
        <w:pStyle w:val="Kop1"/>
      </w:pPr>
      <w:bookmarkStart w:id="21" w:name="_Toc233232773"/>
      <w:r>
        <w:lastRenderedPageBreak/>
        <w:t>6.</w:t>
      </w:r>
      <w:r>
        <w:tab/>
        <w:t>Standpunt Zweedse wetgever</w:t>
      </w:r>
      <w:bookmarkEnd w:id="21"/>
    </w:p>
    <w:p w14:paraId="4173AD6F" w14:textId="77777777" w:rsidR="00DA1440" w:rsidRDefault="00DA1440" w:rsidP="00DA1440">
      <w:pPr>
        <w:pStyle w:val="Kop2"/>
      </w:pPr>
      <w:bookmarkStart w:id="22" w:name="_Toc233232774"/>
      <w:r>
        <w:t>6.1</w:t>
      </w:r>
      <w:r>
        <w:tab/>
        <w:t>Zweedse strafbaarstelling handel in invloed</w:t>
      </w:r>
      <w:bookmarkEnd w:id="22"/>
    </w:p>
    <w:p w14:paraId="0DD156BD" w14:textId="77777777" w:rsidR="00DA1440" w:rsidRDefault="00DA1440" w:rsidP="00DA1440">
      <w:pPr>
        <w:pStyle w:val="Geenafstand"/>
      </w:pPr>
    </w:p>
    <w:p w14:paraId="32F95B37" w14:textId="77777777" w:rsidR="00DA1440" w:rsidRDefault="00DA1440" w:rsidP="00DA1440">
      <w:pPr>
        <w:pStyle w:val="Geenafstand"/>
      </w:pPr>
      <w:r>
        <w:t>Zweden kent sinds 2012 een expliciete strafbaarstelling van handel in invloed</w:t>
      </w:r>
      <w:r w:rsidRPr="006A490A">
        <w:t>.</w:t>
      </w:r>
      <w:r>
        <w:rPr>
          <w:rStyle w:val="Voetnootmarkering"/>
          <w:lang w:val="en-GB"/>
        </w:rPr>
        <w:footnoteReference w:id="218"/>
      </w:r>
      <w:r>
        <w:t xml:space="preserve"> Daarvóór</w:t>
      </w:r>
      <w:r w:rsidRPr="00DB7FB7">
        <w:t xml:space="preserve"> </w:t>
      </w:r>
      <w:r>
        <w:t>stond de Zweedse wetgever niet positief tegenover een expliciete strafbaarstelling. De onderliggende redenering was vergelijkbaar met die van de Nederlandse wetgever, zoals die tot 2023 gold. Het standpunt was dat de meeste gevallen van ongeoorloofde beïnvloeding al strafbaar zouden zijn. Situaties die daar niet onder zouden vallen, grenzen aan lobbyen en dat is niet strafwaardig, aldus de Zweedse wetgever.</w:t>
      </w:r>
      <w:r>
        <w:rPr>
          <w:rStyle w:val="Voetnootmarkering"/>
        </w:rPr>
        <w:footnoteReference w:id="219"/>
      </w:r>
      <w:r>
        <w:t xml:space="preserve"> Bovendien zou het strafbaar stellen van handel in invloed volgens de Zweedse wetgever kunnen leiden tot strijd met het recht op vrijheid van meningsuiting.</w:t>
      </w:r>
      <w:r>
        <w:rPr>
          <w:rStyle w:val="Voetnootmarkering"/>
        </w:rPr>
        <w:footnoteReference w:id="220"/>
      </w:r>
      <w:r>
        <w:t xml:space="preserve"> Meer in het algemeen zou een strafbaarstelling bovendien lastig af te bakenen zijn.</w:t>
      </w:r>
      <w:r>
        <w:rPr>
          <w:rStyle w:val="Voetnootmarkering"/>
        </w:rPr>
        <w:footnoteReference w:id="221"/>
      </w:r>
      <w:r>
        <w:t xml:space="preserve"> Het onrechtmatigheidscriterium komt hierbij dus prominent naar voren, net als het standpunt van Hulsman dat gedrag niet strafbaar moet worden gesteld, als dat gedrag moeilijk enigszins nauwkeurig kan worden omschreven.</w:t>
      </w:r>
      <w:r>
        <w:rPr>
          <w:rStyle w:val="Voetnootmarkering"/>
        </w:rPr>
        <w:footnoteReference w:id="222"/>
      </w:r>
      <w:r>
        <w:t xml:space="preserve"> Ook een ander criterium, namelijk dat het gedrag betreft dat door een aanmerkelijke groep in de bevolking met overtuiging als geoorloofd wordt beschouwd (zoals lobbyen), is met de Zweedse argumentatie (impliciet) aangehaald.</w:t>
      </w:r>
      <w:r>
        <w:rPr>
          <w:rStyle w:val="Voetnootmarkering"/>
        </w:rPr>
        <w:footnoteReference w:id="223"/>
      </w:r>
    </w:p>
    <w:p w14:paraId="232D1C8E" w14:textId="77777777" w:rsidR="00DA1440" w:rsidRDefault="00DA1440" w:rsidP="00DA1440">
      <w:pPr>
        <w:pStyle w:val="Geenafstand"/>
      </w:pPr>
    </w:p>
    <w:p w14:paraId="14AD49AE" w14:textId="77777777" w:rsidR="00DA1440" w:rsidRDefault="00DA1440" w:rsidP="00DA1440">
      <w:pPr>
        <w:pStyle w:val="Geenafstand"/>
      </w:pPr>
      <w:r>
        <w:t>Inmiddels zijn de Zweden overstag en is handel in invloed wel degelijk strafbaar gesteld in</w:t>
      </w:r>
      <w:r w:rsidRPr="00DA1BC4">
        <w:t xml:space="preserve"> </w:t>
      </w:r>
      <w:r>
        <w:t>artikel 5d van het Zweedse Wetboek van Strafrecht, Brotssbalken (BrB). De reden waarom Zweden overstag is gegaan, hangt samen met de uitkomsten van een onderzoek. Daaruit volgde dat de bestaande Zweedse strafwetgeving geen antwoord bood op de situatie waarin degene die het voordeel ontvangt wel werkzaam is bij de besluitnemende instantie, maar niet een zodanige functie bekleedt dat hij directe invloed heeft op het besluit.</w:t>
      </w:r>
      <w:r>
        <w:rPr>
          <w:rStyle w:val="Voetnootmarkering"/>
        </w:rPr>
        <w:footnoteReference w:id="224"/>
      </w:r>
      <w:r>
        <w:t xml:space="preserve"> Hetzelfde gold volgens dit onderzoek voor de situatie waarin de ontvanger van het voordeel niet werkzaam is bij de besluitnemende instantie, maar toch (indirect) invloed kan uitoefenen op het besluit. Denk bijvoorbeeld aan een naaste van iemand met besluitvormende bevoegdheden, zoals diens partner.</w:t>
      </w:r>
      <w:r>
        <w:rPr>
          <w:rStyle w:val="Voetnootmarkering"/>
        </w:rPr>
        <w:footnoteReference w:id="225"/>
      </w:r>
      <w:r>
        <w:t xml:space="preserve"> De oude Zweedse wetgeving zag dus wél op de situatie waarin de omgekochte zélf besluitvormende bevoegdheden had, maar niet op de situatie waarin de ontvanger van het voordeel invloed uitoefent op iemand met besluitvormende bevoegdheden. Daarmee is de aanleiding voor de strafbaarstelling zeer vergelijkbaar met die in Frankrijk: er is een lacune geconstateerd in de strafwetgeving, waardoor schadelijk, onrechtmatig gedrag niet strafbaar is.</w:t>
      </w:r>
      <w:r>
        <w:rPr>
          <w:rStyle w:val="Voetnootmarkering"/>
        </w:rPr>
        <w:footnoteReference w:id="226"/>
      </w:r>
      <w:r>
        <w:t xml:space="preserve"> Deze aanleiding hangt samen met het criterium voor strafbaarstelling dat ziet op de schadelijkheid en onrechtmatigheid van het gedrag.</w:t>
      </w:r>
    </w:p>
    <w:p w14:paraId="56F066BC" w14:textId="77777777" w:rsidR="00DA1440" w:rsidRDefault="00DA1440" w:rsidP="00DA1440">
      <w:pPr>
        <w:pStyle w:val="Geenafstand"/>
        <w:ind w:firstLine="708"/>
      </w:pPr>
      <w:r>
        <w:t>In de praktijk is art. 5d BrB vooral van belang in de situatie dat men in bewijsnood komt ten aanzien van het door de beslissingsbevoegde persoon ontvangen voordeel, of de wetenschap van de omkoping.</w:t>
      </w:r>
      <w:r>
        <w:rPr>
          <w:rStyle w:val="Voetnootmarkering"/>
        </w:rPr>
        <w:footnoteReference w:id="227"/>
      </w:r>
      <w:r>
        <w:t xml:space="preserve"> Art. 5d BrB heeft bovendien een aanvullende werking ten opzichte van de ‘klassieke’ </w:t>
      </w:r>
      <w:r>
        <w:lastRenderedPageBreak/>
        <w:t>omkopingsdelicten, nu dit artikel niet vereist dat de omgekochte een bepaalde positie bekleedt of een bepaalde functie heeft, of dat de te beïnvloeden, beslissingsbevoegde persoon een voordeel ontvangt.</w:t>
      </w:r>
      <w:r>
        <w:rPr>
          <w:rStyle w:val="Voetnootmarkering"/>
        </w:rPr>
        <w:footnoteReference w:id="228"/>
      </w:r>
    </w:p>
    <w:p w14:paraId="5FA221EC" w14:textId="77777777" w:rsidR="00DA1440" w:rsidRDefault="00DA1440" w:rsidP="00DA1440">
      <w:pPr>
        <w:pStyle w:val="Geenafstand"/>
      </w:pPr>
    </w:p>
    <w:p w14:paraId="69FC3C97" w14:textId="77777777" w:rsidR="00DA1440" w:rsidRDefault="00DA1440" w:rsidP="00DA1440">
      <w:pPr>
        <w:pStyle w:val="Geenafstand"/>
      </w:pPr>
      <w:r>
        <w:t>Ten tijde van het wetgevingsproces vreesde de Zweedse wetgever dat een brede strafbaarstelling van handel in invloed het lobbyen onmogelijk, althans strafbaar zou maken. De wetgever heeft dit op vier manieren willen voorkomen.</w:t>
      </w:r>
    </w:p>
    <w:p w14:paraId="0CAD4F3D" w14:textId="77777777" w:rsidR="00DA1440" w:rsidRDefault="00DA1440" w:rsidP="00DA1440">
      <w:pPr>
        <w:pStyle w:val="Geenafstand"/>
        <w:ind w:firstLine="708"/>
      </w:pPr>
      <w:r>
        <w:t>Ten eerste is de strafbaarstelling beperkt tot beïnvloeding in de uitoefening van gezag en openbare aanbestedingen.</w:t>
      </w:r>
      <w:r>
        <w:rPr>
          <w:rStyle w:val="Voetnootmarkering"/>
        </w:rPr>
        <w:footnoteReference w:id="229"/>
      </w:r>
      <w:r>
        <w:t xml:space="preserve"> Onder de uitoefening van gezag wordt verstaan dat het gezag wordt uitgeoefend om voor een individu een voordeel, recht of verplichting te scheppen of dat de gezagsuitoefening leidt tot een disciplinaire sanctie, ontslag of vergelijkbaar gevolg.</w:t>
      </w:r>
      <w:r>
        <w:rPr>
          <w:rStyle w:val="Voetnootmarkering"/>
        </w:rPr>
        <w:footnoteReference w:id="230"/>
      </w:r>
      <w:r>
        <w:t xml:space="preserve"> ‘Openbare aanbesteding’ omvat beslissingen die zien op het aangaan van een overeenkomst met betrekking tot goederen, diensten of bouw, binnen of buiten de publieke sector.</w:t>
      </w:r>
      <w:r>
        <w:rPr>
          <w:rStyle w:val="Voetnootmarkering"/>
        </w:rPr>
        <w:footnoteReference w:id="231"/>
      </w:r>
      <w:r>
        <w:t xml:space="preserve"> Door deze beperking valt beïnvloeding van politieke meningsvorming (binnen en buiten de parlementaire vergadering) buiten de strafbaarstelling.</w:t>
      </w:r>
      <w:r>
        <w:rPr>
          <w:rStyle w:val="Voetnootmarkering"/>
        </w:rPr>
        <w:footnoteReference w:id="232"/>
      </w:r>
      <w:r>
        <w:t xml:space="preserve"> Daardoor kan de strafbaarstelling volgens de Zweedse wetgever niet leiden tot een beperking van het recht op vrijheid van meningsuiting en het recht op deelname aan het debat om invloed uit te oefenen op machthebbers, al dan niet door middel van lobbyisten.</w:t>
      </w:r>
      <w:r>
        <w:rPr>
          <w:rStyle w:val="Voetnootmarkering"/>
        </w:rPr>
        <w:footnoteReference w:id="233"/>
      </w:r>
      <w:r>
        <w:t xml:space="preserve"> </w:t>
      </w:r>
    </w:p>
    <w:p w14:paraId="6FC59D97" w14:textId="77777777" w:rsidR="00DA1440" w:rsidRDefault="00DA1440" w:rsidP="00DA1440">
      <w:pPr>
        <w:pStyle w:val="Geenafstand"/>
        <w:ind w:firstLine="708"/>
      </w:pPr>
      <w:r>
        <w:t>Ten tweede is de strafbaarstelling beperkt, door te eisen dat sprake moet zijn van een corrupte intentie.</w:t>
      </w:r>
      <w:r>
        <w:rPr>
          <w:rStyle w:val="Voetnootmarkering"/>
        </w:rPr>
        <w:footnoteReference w:id="234"/>
      </w:r>
      <w:r>
        <w:t xml:space="preserve"> Strafrechtelijke aansprakelijkheid vereist dat de ontvanger of omkoper een directe, overheersende intentie had om de besluitvorming van een derde te beïnvloeden in bepaalde specifieke situaties.</w:t>
      </w:r>
      <w:r>
        <w:rPr>
          <w:rStyle w:val="Voetnootmarkering"/>
        </w:rPr>
        <w:footnoteReference w:id="235"/>
      </w:r>
      <w:r>
        <w:t xml:space="preserve"> </w:t>
      </w:r>
    </w:p>
    <w:p w14:paraId="0B3BA02C" w14:textId="77777777" w:rsidR="00DA1440" w:rsidRDefault="00DA1440" w:rsidP="00DA1440">
      <w:pPr>
        <w:pStyle w:val="Geenafstand"/>
        <w:ind w:firstLine="708"/>
      </w:pPr>
      <w:r>
        <w:t>Ten derde is vereist dat sprake is van het ontvangen, verstrekken of beloven van ‘onverschuldigd voordeel’.</w:t>
      </w:r>
      <w:r>
        <w:rPr>
          <w:rStyle w:val="Voetnootmarkering"/>
        </w:rPr>
        <w:footnoteReference w:id="236"/>
      </w:r>
      <w:r>
        <w:t xml:space="preserve"> Deze beperking heeft volgens de Zweedse wetgever tot gevolg dat het eenvoudig is om strafbaar gedrag te onderscheiden van serieuze lobbyactiviteiten.</w:t>
      </w:r>
      <w:r>
        <w:rPr>
          <w:rStyle w:val="Voetnootmarkering"/>
        </w:rPr>
        <w:footnoteReference w:id="237"/>
      </w:r>
      <w:r>
        <w:t xml:space="preserve"> De Zweedse wetgever heeft het bestanddeel onverschuldigd voordeel echter nauwelijks toegelicht. Hij heeft enkel geschreven dat sprake is van onverschuldigd voordeel, wanneer de transactie objectief gezien de potentie heeft om de uitvoering van bepaalde taken te beïnvloeden, of kan worden gezien als een beloning voor de uitvoering van taken.</w:t>
      </w:r>
      <w:r>
        <w:rPr>
          <w:rStyle w:val="Voetnootmarkering"/>
        </w:rPr>
        <w:footnoteReference w:id="238"/>
      </w:r>
      <w:r>
        <w:t>Blijkens de jurisprudentie hangt het af van de omstandigheden van het geval. Er kan onder andere rekening worden gehouden met de economische waarde en de aard van het voordeel. Ook kan worden gekeken naar gedragscodes.</w:t>
      </w:r>
      <w:r>
        <w:rPr>
          <w:rStyle w:val="Voetnootmarkering"/>
        </w:rPr>
        <w:footnoteReference w:id="239"/>
      </w:r>
      <w:r>
        <w:t xml:space="preserve"> </w:t>
      </w:r>
    </w:p>
    <w:p w14:paraId="097C6445" w14:textId="77777777" w:rsidR="00DA1440" w:rsidRDefault="00DA1440" w:rsidP="00DA1440">
      <w:pPr>
        <w:pStyle w:val="Geenafstand"/>
        <w:ind w:firstLine="708"/>
      </w:pPr>
      <w:r>
        <w:t>Ten vierde is vereist dat de ontvanger van het voordeel objectief gezien de bevoegdheid had om invloed uit te oefenen op de besluitvorming.</w:t>
      </w:r>
      <w:r>
        <w:rPr>
          <w:rStyle w:val="Voetnootmarkering"/>
        </w:rPr>
        <w:footnoteReference w:id="240"/>
      </w:r>
      <w:r>
        <w:t xml:space="preserve"> </w:t>
      </w:r>
    </w:p>
    <w:p w14:paraId="041F6BF5" w14:textId="77777777" w:rsidR="00DA1440" w:rsidRDefault="00DA1440" w:rsidP="00DA1440">
      <w:pPr>
        <w:pStyle w:val="Geenafstand"/>
      </w:pPr>
    </w:p>
    <w:p w14:paraId="447D5505" w14:textId="77777777" w:rsidR="00DA1440" w:rsidRDefault="00DA1440" w:rsidP="00DA1440">
      <w:pPr>
        <w:pStyle w:val="Geenafstand"/>
      </w:pPr>
      <w:r>
        <w:t>In tegenstelling tot de Franse wetgever, heeft de Zweedse wetgever dus uitgebreid stilgestaan bij de reikwijdte van de strafbaarstelling. Er is echter ook een overeenkomst tussen het handelen van deze wetgevers. Zowel de Franse als de Zweedse wetgever hebben namelijk niet-strafwaardig gedrag willen beschermen door bepaalde bestanddelen in de delictsomschrijving te plaatsen, die niet bewezen zouden kunnen worden bij niet-strafwaardig gedrag.</w:t>
      </w:r>
      <w:r>
        <w:rPr>
          <w:rStyle w:val="Voetnootmarkering"/>
        </w:rPr>
        <w:footnoteReference w:id="241"/>
      </w:r>
    </w:p>
    <w:p w14:paraId="386CED39" w14:textId="77777777" w:rsidR="00F81CE1" w:rsidRDefault="00F81CE1">
      <w:pPr>
        <w:rPr>
          <w:rFonts w:eastAsiaTheme="majorEastAsia" w:cstheme="majorBidi"/>
          <w:b/>
          <w:szCs w:val="26"/>
        </w:rPr>
      </w:pPr>
      <w:r>
        <w:br w:type="page"/>
      </w:r>
    </w:p>
    <w:p w14:paraId="2B93C09D" w14:textId="279273B0" w:rsidR="00DA1440" w:rsidRDefault="00DA1440" w:rsidP="00DA1440">
      <w:pPr>
        <w:pStyle w:val="Kop2"/>
      </w:pPr>
      <w:bookmarkStart w:id="23" w:name="_Toc233232775"/>
      <w:r>
        <w:lastRenderedPageBreak/>
        <w:t>6.2</w:t>
      </w:r>
      <w:r>
        <w:tab/>
        <w:t>Reflectie op Zweedse wetgeving</w:t>
      </w:r>
      <w:bookmarkEnd w:id="23"/>
    </w:p>
    <w:p w14:paraId="5E51023A" w14:textId="77777777" w:rsidR="00DA1440" w:rsidRDefault="00DA1440" w:rsidP="00DA1440">
      <w:pPr>
        <w:pStyle w:val="Geenafstand"/>
      </w:pPr>
    </w:p>
    <w:p w14:paraId="64CF57F0" w14:textId="15442E02" w:rsidR="00DA1440" w:rsidRDefault="00DA1440" w:rsidP="00DA1440">
      <w:pPr>
        <w:pStyle w:val="Geenafstand"/>
      </w:pPr>
      <w:r>
        <w:t>De effectiviteit van art. 5d BrB is betwist, zowel in de politiek, als in de literatuur.</w:t>
      </w:r>
      <w:r>
        <w:rPr>
          <w:rStyle w:val="Voetnootmarkering"/>
        </w:rPr>
        <w:footnoteReference w:id="242"/>
      </w:r>
      <w:r>
        <w:t xml:space="preserve"> Dit raakt aan het criterium voor strafbaarstelling dat ziet op de hanteerbaarheid en effectiviteit.</w:t>
      </w:r>
      <w:r>
        <w:rPr>
          <w:rStyle w:val="Voetnootmarkering"/>
        </w:rPr>
        <w:footnoteReference w:id="243"/>
      </w:r>
      <w:r>
        <w:t xml:space="preserve"> Er heeft, sinds de invoering van art. 5</w:t>
      </w:r>
      <w:r w:rsidR="00B303B0">
        <w:t>d</w:t>
      </w:r>
      <w:r>
        <w:t xml:space="preserve"> BrB, nog geen enkele vervolging vanwege handel in invloed plaatsgevonden. Deze beperkte effectiviteit zou volgens de Zweedse regering het gevolg zijn van het zeer beperkte toepassingsbereik, als gevolg van het streven om lobbyen te beschermen.</w:t>
      </w:r>
      <w:r>
        <w:rPr>
          <w:rStyle w:val="Voetnootmarkering"/>
        </w:rPr>
        <w:footnoteReference w:id="244"/>
      </w:r>
      <w:r>
        <w:t xml:space="preserve"> </w:t>
      </w:r>
    </w:p>
    <w:p w14:paraId="016D8F79" w14:textId="77777777" w:rsidR="00DA1440" w:rsidRDefault="00DA1440" w:rsidP="00DA1440">
      <w:pPr>
        <w:pStyle w:val="Geenafstand"/>
        <w:ind w:firstLine="708"/>
      </w:pPr>
      <w:r>
        <w:t>In 2025 is daarom, in opdracht van de Zweedse regering, onderzoek uitgevoerd naar de bestaande strafrechtelijke aanpak van corruptie. In dat onderzoek en door de Zweedse regering is geconcludeerd dat de strafrechtelijke bepaling over handel in invloed zou moeten worden uitgebreid en verduidelijkt.</w:t>
      </w:r>
      <w:r>
        <w:rPr>
          <w:rStyle w:val="Voetnootmarkering"/>
        </w:rPr>
        <w:footnoteReference w:id="245"/>
      </w:r>
    </w:p>
    <w:p w14:paraId="6325BD0B" w14:textId="77777777" w:rsidR="00DA1440" w:rsidRDefault="00DA1440" w:rsidP="00DA1440">
      <w:pPr>
        <w:pStyle w:val="Geenafstand"/>
      </w:pPr>
      <w:r>
        <w:tab/>
        <w:t>Om die reden is een wetsvoorstel ingediend, dat erop neerkomt dat een ieder strafbaar is die een voordeel belooft, aanbiedt of geeft, of daarom verzoekt of een belofte daarvan aanvaardt of ontvangt om ongeoorloofde invloed uit te oefenen op een besluit of handeling die door een andere persoon is genomen of is verricht, in de uitoefening van een openbaar ambt of openbare taak.</w:t>
      </w:r>
      <w:r>
        <w:rPr>
          <w:rStyle w:val="Voetnootmarkering"/>
        </w:rPr>
        <w:footnoteReference w:id="246"/>
      </w:r>
      <w:r>
        <w:t xml:space="preserve"> Daarmee worden belangrijke beperkingen in de reikwijdte, ingevoerd met het oog op de bescherming van lobbyen, afgeschaft.</w:t>
      </w:r>
    </w:p>
    <w:p w14:paraId="39D22FA8" w14:textId="77777777" w:rsidR="00DA1440" w:rsidRDefault="00DA1440" w:rsidP="00DA1440">
      <w:pPr>
        <w:pStyle w:val="Geenafstand"/>
      </w:pPr>
    </w:p>
    <w:p w14:paraId="4F7B0B1C" w14:textId="77777777" w:rsidR="00DA1440" w:rsidRDefault="00DA1440" w:rsidP="00DA1440">
      <w:pPr>
        <w:pStyle w:val="Geenafstand"/>
      </w:pPr>
      <w:r>
        <w:t>Desalniettemin wil de Zweedse regering het lobbyen blijven beschermen. Volgens de regering zou slechts sprake moeten zijn van strafbaar handelen, wanneer men een besluitnemer beïnvloedt, teneinde irrelevante overwegingen in acht te nemen. De besluitnemer wordt er dan toe aangezet om zijn plicht te verzuimen of anderszins de regels van de democratie te negeren.</w:t>
      </w:r>
      <w:r>
        <w:rPr>
          <w:rStyle w:val="Voetnootmarkering"/>
        </w:rPr>
        <w:footnoteReference w:id="247"/>
      </w:r>
      <w:r>
        <w:t xml:space="preserve"> Deze denkwijze komt overeen met het onderscheid tussen legitiem en strafbaar lobbyen, zoals dat in de Nederlandse literatuur naar voren is gebracht. Dit onderscheid komt erop neer dat strafbaar lobbyen er, anders dan legitiem lobbyen, toe leidt dat de beleidsbepaler zijn macht aanwendt ten dienste van een ander doel of belang dan waartoe de macht werd toegekend.</w:t>
      </w:r>
      <w:r>
        <w:rPr>
          <w:rStyle w:val="Voetnootmarkering"/>
        </w:rPr>
        <w:footnoteReference w:id="248"/>
      </w:r>
    </w:p>
    <w:p w14:paraId="3E660B29" w14:textId="77777777" w:rsidR="00DA1440" w:rsidRDefault="00DA1440" w:rsidP="00DA1440">
      <w:pPr>
        <w:pStyle w:val="Geenafstand"/>
        <w:ind w:firstLine="708"/>
      </w:pPr>
      <w:r>
        <w:t>Uit het eerdergenoemde Zweedse onderzoek blijkt dat in internationale instrumenten het onderscheid tussen legitieme en illegitieme vormen van lobbyen wordt gemaakt door te vereisen dat de uit te oefenen invloed onwettig, ongepast of onrechtmatig is, of dat het doel van de handeling het verkrijgen van een onverschuldigd voordeel is.</w:t>
      </w:r>
      <w:r>
        <w:rPr>
          <w:rStyle w:val="Voetnootmarkering"/>
        </w:rPr>
        <w:footnoteReference w:id="249"/>
      </w:r>
      <w:r>
        <w:t xml:space="preserve"> Thans vereist de Zweedse regelgeving enkel dat sprake is van een onverschuldigd voordeel. Daarom wordt door de Zweedse regering gepleit voor een vereiste van ongeoorloofde beïnvloeding, zoals dat volgens haar ook geldt in art. 12 van het Corruptieverdrag van de Raad van Europa.</w:t>
      </w:r>
      <w:r>
        <w:rPr>
          <w:rStyle w:val="Voetnootmarkering"/>
        </w:rPr>
        <w:footnoteReference w:id="250"/>
      </w:r>
      <w:r>
        <w:t xml:space="preserve"> Op die manier zou worden voorkomen dat de bredere reikwijdte van de strafbaarstelling ertoe leidt dat legitiem lobbyen strafbaar wordt.</w:t>
      </w:r>
    </w:p>
    <w:p w14:paraId="6BC70380" w14:textId="77777777" w:rsidR="00DA1440" w:rsidRDefault="00DA1440" w:rsidP="00DA1440">
      <w:pPr>
        <w:pStyle w:val="Geenafstand"/>
      </w:pPr>
      <w:r>
        <w:tab/>
        <w:t>Het bestaande vereiste van het onverschuldigde voordeel is volgens de Zweedse regering op zichzelf onvoldoende duidelijk. Er zou volgens de regering namelijk ook rekening moeten worden gehouden met het doel van het omkopingsmiddel. Dat volgt nu niet (rechtstreeks) uit art. 5d BrB. Daarom stelt de Zweedse regering voor om het vereiste in te voeren dat de uitgeoefende invloed ongepast moet zijn.</w:t>
      </w:r>
      <w:r>
        <w:rPr>
          <w:rStyle w:val="Voetnootmarkering"/>
        </w:rPr>
        <w:footnoteReference w:id="251"/>
      </w:r>
    </w:p>
    <w:p w14:paraId="4CDE3D03" w14:textId="77777777" w:rsidR="00DA1440" w:rsidRDefault="00DA1440" w:rsidP="00DA1440">
      <w:pPr>
        <w:pStyle w:val="Geenafstand"/>
      </w:pPr>
      <w:r>
        <w:tab/>
        <w:t xml:space="preserve">Het standpunt van de Zweedse regering om, ten behoeve van de duidelijkheid en het beschermen van lobbyen, aan te sluiten bij het vereiste van ongeoorloofde beïnvloeding ex art. 12 van het Corruptieverdrag, lijkt in eerste instantie gepast. In de literatuur is immers aangevoerd dat – door het stellen van de eis van </w:t>
      </w:r>
      <w:r>
        <w:rPr>
          <w:i/>
          <w:iCs/>
        </w:rPr>
        <w:t>improper</w:t>
      </w:r>
      <w:r>
        <w:t xml:space="preserve"> (ongeoorloofde) beïnvloeding – wordt voorkomen dat elke betaalde lobbyactiviteit onder de strafbaarstelling kan vallen.</w:t>
      </w:r>
      <w:r>
        <w:rPr>
          <w:rStyle w:val="Voetnootmarkering"/>
        </w:rPr>
        <w:footnoteReference w:id="252"/>
      </w:r>
      <w:r>
        <w:t xml:space="preserve"> Of het vereiste de duidelijkheid en </w:t>
      </w:r>
      <w:r>
        <w:lastRenderedPageBreak/>
        <w:t xml:space="preserve">voorzienbaarheid van de strafbaarstelling ten goede komt, is echter de vraag. Wat </w:t>
      </w:r>
      <w:r>
        <w:rPr>
          <w:i/>
          <w:iCs/>
        </w:rPr>
        <w:t xml:space="preserve">improper </w:t>
      </w:r>
      <w:r>
        <w:t>is, is namelijk onduidelijk.</w:t>
      </w:r>
      <w:r>
        <w:rPr>
          <w:rStyle w:val="Voetnootmarkering"/>
        </w:rPr>
        <w:footnoteReference w:id="253"/>
      </w:r>
      <w:r>
        <w:t xml:space="preserve"> In 1999 heeft de Raad van Europa geprobeerd het vereiste toe te lichten, maar kwam daarbij niet veel verder dan aan te geven wat </w:t>
      </w:r>
      <w:r w:rsidRPr="00F608F6">
        <w:t>ni</w:t>
      </w:r>
      <w:r>
        <w:t>é</w:t>
      </w:r>
      <w:r w:rsidRPr="00F608F6">
        <w:t>t</w:t>
      </w:r>
      <w:r>
        <w:rPr>
          <w:i/>
          <w:iCs/>
        </w:rPr>
        <w:t xml:space="preserve"> </w:t>
      </w:r>
      <w:r w:rsidRPr="00F608F6">
        <w:rPr>
          <w:i/>
          <w:iCs/>
        </w:rPr>
        <w:t>improper</w:t>
      </w:r>
      <w:r>
        <w:t xml:space="preserve"> is: lobbyen. Verder schreef de Raad dat er sprake moet zijn van de intentie om corrupt te zijn. Dat komt er dus op neer dat </w:t>
      </w:r>
      <w:r>
        <w:rPr>
          <w:i/>
          <w:iCs/>
        </w:rPr>
        <w:t xml:space="preserve">improper </w:t>
      </w:r>
      <w:r>
        <w:t xml:space="preserve">betekent dat de bedoeling moet zijn om </w:t>
      </w:r>
      <w:r>
        <w:rPr>
          <w:i/>
          <w:iCs/>
        </w:rPr>
        <w:t xml:space="preserve">improper </w:t>
      </w:r>
      <w:r>
        <w:t>te handelen.</w:t>
      </w:r>
      <w:r>
        <w:rPr>
          <w:rStyle w:val="Voetnootmarkering"/>
        </w:rPr>
        <w:footnoteReference w:id="254"/>
      </w:r>
      <w:r>
        <w:t xml:space="preserve"> Met het voorstel van de Zweedse regering om het vereiste van ongeoorloofde beïnvloeding in te voeren, lijkt de legaliteit daarom niet te zijn gediend. Bovendien toont het stellen van dit vereiste – om lobbyen te beschermen – aan dat het kennelijk moeizaam is het strafbaar te stellen gedrag enigszins nauwkeurig te omschrijven. In die situatie is het volgens Hulsman niet wenselijk om over te gaan tot strafbaarstelling.</w:t>
      </w:r>
      <w:r>
        <w:rPr>
          <w:rStyle w:val="Voetnootmarkering"/>
        </w:rPr>
        <w:footnoteReference w:id="255"/>
      </w:r>
      <w:r>
        <w:tab/>
      </w:r>
    </w:p>
    <w:p w14:paraId="04D76B25" w14:textId="77777777" w:rsidR="00DA1440" w:rsidRDefault="00DA1440" w:rsidP="00DA1440">
      <w:pPr>
        <w:pStyle w:val="Geenafstand"/>
      </w:pPr>
    </w:p>
    <w:p w14:paraId="57360FC1" w14:textId="77777777" w:rsidR="00DA1440" w:rsidRDefault="00DA1440" w:rsidP="00DA1440">
      <w:pPr>
        <w:pStyle w:val="Kop2"/>
      </w:pPr>
      <w:bookmarkStart w:id="24" w:name="_Toc233232776"/>
      <w:r>
        <w:t>6.3</w:t>
      </w:r>
      <w:r>
        <w:tab/>
        <w:t>Vergelijking met Nederland</w:t>
      </w:r>
      <w:bookmarkEnd w:id="24"/>
    </w:p>
    <w:p w14:paraId="50074A7C" w14:textId="77777777" w:rsidR="00DA1440" w:rsidRDefault="00DA1440" w:rsidP="00DA1440">
      <w:pPr>
        <w:pStyle w:val="Geenafstand"/>
      </w:pPr>
    </w:p>
    <w:p w14:paraId="42C15C0D" w14:textId="77777777" w:rsidR="00DA1440" w:rsidRDefault="00DA1440" w:rsidP="00DA1440">
      <w:pPr>
        <w:pStyle w:val="Geenafstand"/>
      </w:pPr>
      <w:r>
        <w:t>Het zal de lezer zijn opgevallen dat de Zweedse wetgever</w:t>
      </w:r>
      <w:r w:rsidRPr="00AA2932">
        <w:t xml:space="preserve"> </w:t>
      </w:r>
      <w:r>
        <w:t>er tot circa 2012 grotendeels dezelfde standpunten op nahield als de Nederlandse. De kern van de Zweedse argumentatie om handel in invloed niet strafbaar te stellen, is vergelijkbaar met de Nederlandse: de meeste gevallen van ongeoorloofde beïnvloeding zijn al strafbaar. Situaties die daar niet onder vielen, grenzen aan of zijn vormen van lobbyen en dat is niet strafwaardig.</w:t>
      </w:r>
      <w:r>
        <w:rPr>
          <w:rStyle w:val="Voetnootmarkering"/>
        </w:rPr>
        <w:footnoteReference w:id="256"/>
      </w:r>
      <w:r>
        <w:t xml:space="preserve"> Opvallend is dat de Zweedse wetgever daaraan toevoegde dat strafbaarstelling van handel in invloed in strijd kan komen met de vrijheid van meningsuiting.</w:t>
      </w:r>
      <w:r>
        <w:rPr>
          <w:rStyle w:val="Voetnootmarkering"/>
        </w:rPr>
        <w:footnoteReference w:id="257"/>
      </w:r>
      <w:r>
        <w:t xml:space="preserve"> Uiteindelijk is Zweden overstag gegaan, vanwege eigen onderzoek. Daarin werd een lacune geconstateerd in de strafwetgeving, waardoor schadelijk, onrechtmatig gedrag niet strafbaar was. De Nederlandse regering is daarentegen nog altijd van oordeel dat er geen lacune bestaat.</w:t>
      </w:r>
    </w:p>
    <w:p w14:paraId="0EF532DF" w14:textId="77777777" w:rsidR="00DA1440" w:rsidRDefault="00DA1440" w:rsidP="00DA1440">
      <w:pPr>
        <w:pStyle w:val="Geenafstand"/>
      </w:pPr>
      <w:r>
        <w:tab/>
        <w:t>Een belangrijke constatering na een vergelijking van de standpunten van de Zweedse en de Nederlandse regering, ziet op de bescherming van lobbyen. Anders dan in Frankrijk, wordt lobbyen – net als in Nederland – in Zweden relatief positief bekeken.</w:t>
      </w:r>
      <w:r>
        <w:rPr>
          <w:rStyle w:val="Voetnootmarkering"/>
        </w:rPr>
        <w:footnoteReference w:id="258"/>
      </w:r>
      <w:r>
        <w:t xml:space="preserve"> Dat heeft ertoe geleid dat in Zweden veel aandacht is besteed aan het feit dat de strafbaarstelling van handel in invloed niet aan lobbyen in de weg moet staan. Om dat te realiseren, is de reikwijdte van de strafbaarstelling op vier manieren beperkt. Dit is een opmerkelijk verschil van inzicht met de Nederlandse regering. Die laatste is namelijk van oordeel dat een strafbaarstelling van handel in invloed per definitie ook het lobbyen raakt.</w:t>
      </w:r>
      <w:r>
        <w:rPr>
          <w:rStyle w:val="Voetnootmarkering"/>
        </w:rPr>
        <w:footnoteReference w:id="259"/>
      </w:r>
      <w:r>
        <w:t xml:space="preserve"> De Zweedse praktijk laat zien dat dat standpunt onjuist is, nu het lobbyen in Zweden door de strafbaarstelling niet is geraakt.</w:t>
      </w:r>
      <w:r>
        <w:rPr>
          <w:rStyle w:val="Voetnootmarkering"/>
        </w:rPr>
        <w:footnoteReference w:id="260"/>
      </w:r>
      <w:r>
        <w:t xml:space="preserve"> Dat gegeven heeft de Zweedse regering ertoe aangezet om de strafbaarstelling van handel in invloed uit te willen breiden. De timing van dat voorstel is opvallend, gelet op de aankomende inwerkingtreding van de Corruptierichtlijn. Vanwege die richtlijn wil de Nederlandse regering niet met een wetsvoorstel komen dat handel in invloed expliciet strafbaar stelt.</w:t>
      </w:r>
      <w:r>
        <w:rPr>
          <w:rStyle w:val="Voetnootmarkering"/>
        </w:rPr>
        <w:footnoteReference w:id="261"/>
      </w:r>
      <w:r>
        <w:t xml:space="preserve"> Anders dan Nederland, is Zweden niet bevreesd voor eventuele risico’s vanwege het vooruitlopen op de Corruptierichtlijn.</w:t>
      </w:r>
    </w:p>
    <w:p w14:paraId="6FAD47CF" w14:textId="77777777" w:rsidR="00DA1440" w:rsidRDefault="00DA1440" w:rsidP="00DA1440">
      <w:pPr>
        <w:pStyle w:val="Geenafstand"/>
      </w:pPr>
      <w:r>
        <w:tab/>
        <w:t>Ten slotte bestaat een interessant verschil van inzicht tussen de Zweedse en Nederlandse overwegingen op het gebied van de effectiviteit van de bepaling. De Nederlandse minister van Justitie voerde – als argument tégen strafbaarstelling – aan dat complexe bewijskwesties onlosmakelijk verbonden zijn met de aard van omkoping.</w:t>
      </w:r>
      <w:r>
        <w:rPr>
          <w:rStyle w:val="Voetnootmarkering"/>
        </w:rPr>
        <w:footnoteReference w:id="262"/>
      </w:r>
      <w:r>
        <w:t xml:space="preserve"> In Zweden kan de strafbaarstelling van handel in invloed volgens de Zweedse wetgever echter juist als ‘reddingsboei’ dienen, indien men in bewijsnood komt bij de andere omkopingsdelicten. Ook dat is reden geweest voor de invoering van de strafbaarstelling van handel in invloed.</w:t>
      </w:r>
      <w:r>
        <w:rPr>
          <w:rStyle w:val="Voetnootmarkering"/>
        </w:rPr>
        <w:footnoteReference w:id="263"/>
      </w:r>
      <w:r>
        <w:t xml:space="preserve"> Een dergelijk argument om over te gaan tot strafbaarstelling is door het Nederlandse </w:t>
      </w:r>
      <w:r>
        <w:lastRenderedPageBreak/>
        <w:t>Tweede Kamerlid Van Nispen aangevoerd.</w:t>
      </w:r>
      <w:r>
        <w:rPr>
          <w:rStyle w:val="Voetnootmarkering"/>
        </w:rPr>
        <w:footnoteReference w:id="264"/>
      </w:r>
      <w:r>
        <w:t xml:space="preserve"> De minister van Justitie gaf in reactie daarop aan dat hij bewijsproblemen niet als aanleiding ziet voor strafbaarstelling .</w:t>
      </w:r>
      <w:r>
        <w:rPr>
          <w:rStyle w:val="Voetnootmarkering"/>
        </w:rPr>
        <w:footnoteReference w:id="265"/>
      </w:r>
      <w:r>
        <w:t xml:space="preserve"> </w:t>
      </w:r>
      <w:r>
        <w:br w:type="page"/>
      </w:r>
    </w:p>
    <w:p w14:paraId="65A8D63E" w14:textId="77777777" w:rsidR="00DA1440" w:rsidRDefault="00DA1440" w:rsidP="00DA1440">
      <w:pPr>
        <w:pStyle w:val="Kop1"/>
      </w:pPr>
      <w:bookmarkStart w:id="25" w:name="_Toc233232777"/>
      <w:r>
        <w:lastRenderedPageBreak/>
        <w:t>7.</w:t>
      </w:r>
      <w:r>
        <w:tab/>
        <w:t>Conclusie</w:t>
      </w:r>
      <w:bookmarkEnd w:id="25"/>
    </w:p>
    <w:p w14:paraId="19300714" w14:textId="77777777" w:rsidR="00DA1440" w:rsidRDefault="00DA1440" w:rsidP="00DA1440">
      <w:pPr>
        <w:pStyle w:val="Geenafstand"/>
      </w:pPr>
    </w:p>
    <w:p w14:paraId="628C5C16" w14:textId="77777777" w:rsidR="00DA1440" w:rsidRDefault="00DA1440" w:rsidP="00DA1440">
      <w:pPr>
        <w:pStyle w:val="Geenafstand"/>
      </w:pPr>
      <w:r>
        <w:t xml:space="preserve">In deze scriptie zijn de argumenten geanalyseerd van de Nederlandse wetgever, de Europese Commissie, de Franse wetgever en de Zweedse wetgever ten aanzien van de keuze om handel in invloed al dan niet strafbaar te (willen) stellen. In de scriptie zorgt de opsomming en ontleding van de gebruikte argumenten, gecategoriseerd aan de hand van de criteria voor strafbaarstelling, ervoor dat duidelijk is op basis waarvan de Commissie en de Nederlandse, Franse en Zweedse wetgevers al dan niet zijn overgegaan tot (het voorschrijven van) strafbaarstelling van handel in invloed. Dat maakt dat de gebruikte argumentatie toetsbaar is geworden. </w:t>
      </w:r>
    </w:p>
    <w:p w14:paraId="3DB59F52" w14:textId="77777777" w:rsidR="00DA1440" w:rsidRDefault="00DA1440" w:rsidP="00DA1440">
      <w:pPr>
        <w:pStyle w:val="Geenafstand"/>
      </w:pPr>
    </w:p>
    <w:p w14:paraId="7BADD2C5" w14:textId="77777777" w:rsidR="00DA1440" w:rsidRDefault="00DA1440" w:rsidP="00DA1440">
      <w:pPr>
        <w:pStyle w:val="Geenafstand"/>
      </w:pPr>
      <w:r>
        <w:t>In hoofdstuk 2 is uiteengezet dat de Nederlandse regering recent positiever is geworden ten opzichte van expliciete strafbaarstelling van handel in invloed. Jarenlang verdedigde de regering de stelling dat handel in invloed al “nagenoeg geheel” strafbaar was op grond van de bestaande omkopingsbepalingen. Die redenering miskent echter dat er wel degelijk een lacune bestaat in de strafwetgeving. De bestaande omkopingsbepalingen zien immers niet op een corrupte driehoeksrelatie, waarbij de tussenpersoon wordt betaald voor zijn feitelijke of veronderstelde invloed op de (beslissingsbevoegde) ambtenaar. Daarnaast wees de Nederlandse regering er meermaals op dat strafbaarstelling van handel in invloed er volgens haar toe zou leiden dat niet-strafwaardig gedrag – in het bijzonder lobbyen – ook strafbaar zou worden. Dat argument hangt vermoedelijk samen met het feit dat lobbyen in Nederland, in vergelijking met andere landen (zoals Frankrijk), positief wordt bekeken. Het argument is echter onhoudbaar gebleken. Handel in invloed en lobbyen zijn namelijk te onderscheiden. Een zorgvuldig geformuleerde delictsomschrijving kan die scheiding maken. De Zweedse wetgever heeft dat laten zien, zij het dat een te beperkte delictsomschrijving mogelijk onvoldoende effectief is in de praktijk.</w:t>
      </w:r>
    </w:p>
    <w:p w14:paraId="567BC26E" w14:textId="77777777" w:rsidR="00DA1440" w:rsidRDefault="00DA1440" w:rsidP="00DA1440">
      <w:pPr>
        <w:pStyle w:val="Geenafstand"/>
      </w:pPr>
      <w:r>
        <w:tab/>
        <w:t>De omslag die de Nederlandse regering in 2023 maakte – van uitgesproken tegenstander naar voorstander van een “heldere strafbaarstelling” van handel in invloed – laat zich niet verklaren door de in de literatuur opgemerkte tendens dat de politiek steeds sneller tot strafbaarstelling overgaat. Die tendens speelt immers al langer, zonder dat dat leidde tot de wens van strafbaarstelling van handel in invloed. Mogelijk heeft een negatiever geworden kijk op lobbyen de doorslag gegeven. Vervolgonderzoek is nodig om vast te stellen of de politiek inderdaad negatiever is gaan kijken naar lobbyen en in hoeverre dat gevolgen heeft gehad voor de beantwoording van de vraag of handel in invloed strafbaar moet worden gesteld.</w:t>
      </w:r>
    </w:p>
    <w:p w14:paraId="64DEE155" w14:textId="77777777" w:rsidR="00DA1440" w:rsidRDefault="00DA1440" w:rsidP="00DA1440">
      <w:pPr>
        <w:pStyle w:val="Geenafstand"/>
      </w:pPr>
    </w:p>
    <w:p w14:paraId="55775EE2" w14:textId="77777777" w:rsidR="00DA1440" w:rsidRPr="0007582C" w:rsidRDefault="00DA1440" w:rsidP="00DA1440">
      <w:pPr>
        <w:pStyle w:val="Geenafstand"/>
      </w:pPr>
      <w:r>
        <w:t xml:space="preserve">De Europese Commissie wijst, als voorstander van expliciete strafbaarstelling, met name op internationale ‘verplichtingen’, de schadelijkheid van het gedrag en het belang van eenheid binnen de EU. Op belangrijke punten – waaronder de subsidiariteit, het ultimum remedium-beginsel, het belang van </w:t>
      </w:r>
      <w:r>
        <w:rPr>
          <w:i/>
          <w:iCs/>
        </w:rPr>
        <w:t xml:space="preserve">factual evidence </w:t>
      </w:r>
      <w:r>
        <w:t>en de cijfermatige onderbouwing</w:t>
      </w:r>
      <w:r>
        <w:rPr>
          <w:i/>
          <w:iCs/>
        </w:rPr>
        <w:t xml:space="preserve"> </w:t>
      </w:r>
      <w:r>
        <w:t>– schiet de motivering van het voorstel echter tekort. Het gebrek aan aandacht voor de bescherming van lobbyen hangt vermoedelijk samen met de recente corruptieschandalen (die zich deels in de lobbysfeer afspeelden), waardoor de Commissie het signaal wil afgeven dat zij corruptie hard aanpakt. Gelet op die schandalen, is het mogelijk (politiek) niet opportuun om openlijk positief te zijn over lobbyen. Het is denkbaar dat om die reden in de toelichting op het voorstel door de Commissie geen aandacht is besteed aan de bescherming van lobbyen. Kijkend naar de gebrekkige onderbouwing van het voorstel, lijkt het erop dat politieke geloofwaardigheid en belangen – zichtbaar maken dat men corruptie snel en daadkrachtig aanpakt – belangrijker zijn dan juridische zorgvuldigheid.</w:t>
      </w:r>
    </w:p>
    <w:p w14:paraId="5F7FD83F" w14:textId="77777777" w:rsidR="00DA1440" w:rsidRDefault="00DA1440" w:rsidP="00DA1440">
      <w:pPr>
        <w:pStyle w:val="Geenafstand"/>
      </w:pPr>
    </w:p>
    <w:p w14:paraId="4697C20D" w14:textId="77777777" w:rsidR="00DA1440" w:rsidRDefault="00DA1440" w:rsidP="00DA1440">
      <w:pPr>
        <w:pStyle w:val="Geenafstand"/>
      </w:pPr>
      <w:r>
        <w:t xml:space="preserve">De Franse strafbaarstelling van handel in invloed was het directe gevolg van een in de rechtspraak geconstateerde leemte in de strafwetgeving. De Franse gang van zaken is vergelijkbaar met die in Europees verband: men wilde snel en daadkrachtig optreden. De van oudsher sceptische blik in Frankrijk ten opzichte van lobbyen en de wens van snelheid en daadkracht maakten dat de wetgever zich nauwelijks zorgen maakte over de mogelijk te ruime reikwijdte van de strafbaarstelling – een zorg die in Nederland lange tijd juist allesoverheersend was. De Franse praktijk leert ons dus dat de wens om snel en daadkrachtig over te komen bij de aanpak van handel in invloed, kan leiden tot een onvoldoende zorgvuldige wetgevingsdiscussie en (als gevolg daarvan) een onvoldoende zorgvuldig geformuleerde </w:t>
      </w:r>
      <w:r>
        <w:lastRenderedPageBreak/>
        <w:t xml:space="preserve">delictsomschrijving. In de ogen van critici is de Franse strafbaarstelling namelijk te breed, onduidelijk en niet proportioneel. </w:t>
      </w:r>
    </w:p>
    <w:p w14:paraId="46FC4C68" w14:textId="7DDA6E79" w:rsidR="00DA1440" w:rsidRDefault="00DA1440" w:rsidP="00DA1440">
      <w:pPr>
        <w:pStyle w:val="Geenafstand"/>
        <w:ind w:firstLine="708"/>
      </w:pPr>
      <w:r>
        <w:t>De Franse gang van zaken, vergelijkbaar met die in EU-verband, leert ons dat er een reëel gevaar bestaat dat de in de Corruptierichtlijn voorgeschreven strafbaarstelling van handel in invloed onvoldoende zorgvuldig is. Hoewel de Nederlandse wetgever dat gevaar heeft onderkend – door zich in te zetten voor een “heldere strafbaarstelling” – heeft in EU-verband geen zorgvuldige discussie over de reikwijdte plaatsgevonden.</w:t>
      </w:r>
    </w:p>
    <w:p w14:paraId="580C09E5" w14:textId="77777777" w:rsidR="00DA1440" w:rsidRDefault="00DA1440" w:rsidP="00DA1440">
      <w:pPr>
        <w:pStyle w:val="Geenafstand"/>
      </w:pPr>
    </w:p>
    <w:p w14:paraId="60E48768" w14:textId="77777777" w:rsidR="00DA1440" w:rsidRDefault="00DA1440" w:rsidP="00DA1440">
      <w:pPr>
        <w:pStyle w:val="Geenafstand"/>
      </w:pPr>
      <w:r>
        <w:t xml:space="preserve">De Zweedse situatie tot 2012 vertoont parallellen met de Nederlandse. Aanvankelijk was Zweden namelijk tegenstander van expliciete strafbaarstelling, vanwege de angst dat lobbyen in gevaar zou kunnen komen door te brede strafbaarstelling. Nadat onderzoek een lacune aantoonde in de strafwetgeving, gingen de Zweden toch over tot strafbaarstelling van handel in invloed. De reikwijdte ervan is beperkt en daarom weinig effectief, om lobbyen te beschermen. De beperkte effectiviteit heeft geleid tot een wetsvoorstel tot uitbreiding van de reikwijdte. De Zweedse situatie laat daarmee zien dat een positieve politiek-culturele waardering van lobbyen weliswaar kan leiden tot een zorgvuldig gevoerde wetgevingsdiscussie, maar ook tot beperkte effectiviteit van de strafbaarstelling. Dat kan weer leiden tot een roep om – en later een voorstel tot – invoering van een bredere strafbaarstelling. </w:t>
      </w:r>
    </w:p>
    <w:p w14:paraId="3A2B8C3B" w14:textId="77777777" w:rsidR="00DA1440" w:rsidRDefault="00DA1440" w:rsidP="00DA1440">
      <w:pPr>
        <w:pStyle w:val="Geenafstand"/>
      </w:pPr>
    </w:p>
    <w:p w14:paraId="33AF790B" w14:textId="77777777" w:rsidR="00DA1440" w:rsidRDefault="00DA1440" w:rsidP="00DA1440">
      <w:pPr>
        <w:pStyle w:val="Geenafstand"/>
      </w:pPr>
      <w:r>
        <w:t>Deze scriptie laat zien dat de Europese Commissie, Frankrijk en Zweden de criteria voor strafbaarstelling anders wegen dan Nederland. De Europese Commissie steunt in haar argumentatie vooral op verdragsbepalingen en weegt de Europese criteria voor strafbaarstelling zeer licht, conform de tendens. In Frankrijk is vooral gefocust op de onrechtmatigheid van handel in invloed. Er is minder aandacht besteed aan de andere criteria voor strafbaarstelling, in het bijzonder de nauwkeurigheid en de effectiviteit van de strafbaarstelling. In Zweden lag, net als in Frankrijk, de focus op het vullen van een lacune in de strafwetgeving, maar werd tegelijkertijd veel gewicht toegekend aan het beschermen van niet-strafwaardig gedrag, in het bijzonder lobbyen. Ook het criterium van effectiviteit was van groot belang, voor zowel de voor- als de tegenstanders van de expliciete strafbaarstelling. De voorstanders zagen de toegevoegde waarde namelijk in het oplossen van bewijsnood, terwijl de tegenstanders benadrukken dat de strafbaarstelling volgens de meest recente cijfers nog altijd niet tot vervolging heeft geleid.</w:t>
      </w:r>
    </w:p>
    <w:p w14:paraId="6DC36B04" w14:textId="77777777" w:rsidR="00DA1440" w:rsidRDefault="00DA1440" w:rsidP="00DA1440">
      <w:pPr>
        <w:pStyle w:val="Geenafstand"/>
      </w:pPr>
      <w:r>
        <w:tab/>
        <w:t xml:space="preserve">De analyses van de wetgevingsargumentatie leggen bloot dat de vraag naar strafbaarstelling van handel in invloed niet is beantwoord aan de hand van de (meer technisch-juridische) criteria voor strafbaarstelling in Nederland, de EU, Frankrijk en Zweden, maar met gebruik van politieke en politiek-culturele argumenten. Zo is een belangrijke aanleiding voor de Corruptierichtlijn dat de Commissie wil uitstralen dat zij corruptie hard aanpakt (politiek argument). In Frankrijk is men overgegaan tot brede strafbaarstelling, vanwege de negatieve grondhouding ten opzichte van lobbyen (politiek-cultureel). In Zweden werd lobbyen dusdanig positief gewaardeerd dat de strafbaarstelling daar volledig op is ingericht. Daarmee werd de effectiviteit van de strafbaarstelling opgeofferd ten behoeve van de bescherming van lobbyen. Hetzelfde geldt voor Nederland: lobbyen werd politiek gezien dusdanig belangrijk gevonden, dat men bereid was een lacune in de strafwetgeving (die overigens werd ontkend) te behouden. </w:t>
      </w:r>
    </w:p>
    <w:p w14:paraId="7CED785A" w14:textId="77777777" w:rsidR="00DA1440" w:rsidRDefault="00DA1440" w:rsidP="00DA1440">
      <w:pPr>
        <w:pStyle w:val="Geenafstand"/>
        <w:ind w:firstLine="708"/>
      </w:pPr>
      <w:r>
        <w:t>Opvallend is dat de druk vanuit internationale organisaties (Raad van Europa, VN) om handel in invloed strafbaar stellen, uiteenlopende gevolgen heeft gehad. In Nederland en Zweden was men negatief over expliciete strafbaarstelling, ook toen de Raad van Europa en de VN daar voorstander van waren. De Europese Commissie wilde strafbaarstelling echter voorschrijven, vanwege het feit dat de verdragen van de Raad van Europa en de VN dat (niet-verplicht) voorschreven. De Franse situatie is in zoverre anders, dat handel in invloed daar al strafbaar was voordat de Raad van Europa en de VN waren opgericht. Van internationale druk om handel in invloed strafbaar te stellen, was dus geen sprake. De Franse strafbaarstelling heeft zelfs invloed gehad op de definitie van handel in invloed in de verdragen van de Raad van Europa en de VN.</w:t>
      </w:r>
    </w:p>
    <w:p w14:paraId="3D2F174C" w14:textId="77777777" w:rsidR="00DA1440" w:rsidRDefault="00DA1440" w:rsidP="00DA1440">
      <w:pPr>
        <w:pStyle w:val="Geenafstand"/>
        <w:ind w:firstLine="708"/>
      </w:pPr>
      <w:r>
        <w:t xml:space="preserve">Alles overziend, valt voornamelijk op dat het belangrijkste argument van Nederland om handel in invloed niet expliciet strafbaar te stellen – voorkomen dat niet-strafwaardig gedrag, specifiek lobbyen, strafbaar wordt – zeer verschillende rollen speelt in de beschreven discussies. Voor de Europese Commissie was het geen thema. In Frankrijk werd er met speels gemak overheen gestapt en is de discussie vooral na de expliciete strafbaarstelling gevoerd. In Zweden was het gevaar van te brede </w:t>
      </w:r>
      <w:r>
        <w:lastRenderedPageBreak/>
        <w:t>strafbaarstelling in eerste instantie een issue, maar is een oplossing bedacht. Deze oplossing leidde ertoe dat de strafbaarstelling in de praktijk tot geen enkele vervolging heeft geleid. Dat heeft als gevolg dat de Zweedse regering heeft voorgesteld de strafbaarstelling uit te breiden.</w:t>
      </w:r>
    </w:p>
    <w:p w14:paraId="529D892A" w14:textId="77777777" w:rsidR="00DA1440" w:rsidRDefault="00DA1440" w:rsidP="00DA1440">
      <w:pPr>
        <w:pStyle w:val="Geenafstand"/>
      </w:pPr>
    </w:p>
    <w:p w14:paraId="00A3DFD6" w14:textId="77777777" w:rsidR="00DA1440" w:rsidRPr="00F47488" w:rsidRDefault="00DA1440" w:rsidP="00DA1440">
      <w:pPr>
        <w:pStyle w:val="Geenafstand"/>
      </w:pPr>
      <w:r>
        <w:t>De bevindingen uit deze scriptie maken duidelijk dat de vraag of handel in invloed expliciet strafbaar moet worden gesteld door de vier behandelde actoren (impliciet of expliciet) wordt beantwoord met behulp van de criteria voor strafbaarstelling. Elke wetgever weegt deze criteria daarbij op verschillende manieren. De verschillen in weging hangen samen met de politieke en de culturele context. Zo wordt de cultuur in de politiek dus mede bepaald door de politiek en de cultuur.</w:t>
      </w:r>
    </w:p>
    <w:p w14:paraId="29CEC479" w14:textId="3DA2DC5C" w:rsidR="00DA1440" w:rsidRDefault="00DA1440" w:rsidP="00D0582F">
      <w:pPr>
        <w:pStyle w:val="Geenafstand"/>
        <w:ind w:firstLine="708"/>
        <w:rPr>
          <w:rFonts w:eastAsiaTheme="majorEastAsia" w:cstheme="majorBidi"/>
          <w:b/>
          <w:sz w:val="28"/>
          <w:szCs w:val="32"/>
        </w:rPr>
      </w:pPr>
      <w:r>
        <w:t>De kwaliteit van wetgevingsargumentatie kan daarom niet worden getoetst op basis van enkel de vraag óf de criteria voor strafbaarstelling zijn gebruikt. Voor die toetsing is namelijk ook van belang hoe zuiver en volledig ze zijn toegepast. Op het vlak van de toepassing schiet de onderzochte argumentatie van alle vier de actoren op belangrijke onderdelen tekort. Dat heeft gevolgen gehad voor de wetgevingskwaliteit. Frankrijk en de Commissie liepen vermoedelijk te hard van stapel, met als gevolg een te brede strafbaarstelling. Zweden was te behoudend, waardoor de strafbaarstelling niet effectief is. Nederland heeft een inconsistent standpunt, op basis van argumenten die niet allemaal houdbaar zijn gebleken. Dat heeft als gevolg dat er jarenlang een leemte in de strafwetgeving heeft (kunnen) bestaan en nog altijd bestaat. Met de voorgestelde Corruptierichtlijn zal daar verandering in komen, mits dat voorstel ongewijzigd in werking treedt.</w:t>
      </w:r>
      <w:r>
        <w:br w:type="page"/>
      </w:r>
    </w:p>
    <w:p w14:paraId="7C54247B" w14:textId="77777777" w:rsidR="00DA1440" w:rsidRPr="00F608F6" w:rsidRDefault="00DA1440" w:rsidP="00DA1440">
      <w:pPr>
        <w:pStyle w:val="Kop1"/>
        <w:rPr>
          <w:lang w:val="en-GB"/>
        </w:rPr>
      </w:pPr>
      <w:bookmarkStart w:id="26" w:name="_Toc232861343"/>
      <w:bookmarkStart w:id="27" w:name="_Toc233232778"/>
      <w:r w:rsidRPr="00F608F6">
        <w:rPr>
          <w:lang w:val="en-GB"/>
        </w:rPr>
        <w:lastRenderedPageBreak/>
        <w:t>Eindlijst</w:t>
      </w:r>
      <w:bookmarkEnd w:id="26"/>
      <w:bookmarkEnd w:id="27"/>
    </w:p>
    <w:p w14:paraId="430875D0" w14:textId="77777777" w:rsidR="00DA1440" w:rsidRPr="00F608F6" w:rsidRDefault="00DA1440" w:rsidP="00DA1440">
      <w:pPr>
        <w:pStyle w:val="Geenafstand"/>
        <w:rPr>
          <w:b/>
          <w:bCs/>
          <w:lang w:val="en-GB"/>
        </w:rPr>
      </w:pPr>
      <w:r w:rsidRPr="00F608F6">
        <w:rPr>
          <w:b/>
          <w:bCs/>
          <w:lang w:val="en-GB"/>
        </w:rPr>
        <w:t>Literatuur</w:t>
      </w:r>
    </w:p>
    <w:p w14:paraId="369C76D1" w14:textId="77777777" w:rsidR="00DA1440" w:rsidRDefault="00DA1440" w:rsidP="00DA1440">
      <w:pPr>
        <w:pStyle w:val="Geenafstand"/>
        <w:rPr>
          <w:b/>
          <w:bCs/>
          <w:lang w:val="en-GB"/>
        </w:rPr>
      </w:pPr>
    </w:p>
    <w:p w14:paraId="2B8709FE" w14:textId="77777777" w:rsidR="00DA1440" w:rsidRPr="00C77A06" w:rsidRDefault="00DA1440" w:rsidP="00DA1440">
      <w:pPr>
        <w:pStyle w:val="Geenafstand"/>
        <w:rPr>
          <w:b/>
          <w:bCs/>
          <w:lang w:val="en-GB"/>
        </w:rPr>
      </w:pPr>
      <w:r w:rsidRPr="00C77A06">
        <w:rPr>
          <w:b/>
          <w:bCs/>
          <w:lang w:val="en-GB"/>
        </w:rPr>
        <w:t>Allum 2024</w:t>
      </w:r>
    </w:p>
    <w:p w14:paraId="7697157C" w14:textId="0E0089EE" w:rsidR="00DA1440" w:rsidRPr="003159FA" w:rsidRDefault="00DA1440" w:rsidP="00DA1440">
      <w:pPr>
        <w:pStyle w:val="Geenafstand"/>
        <w:rPr>
          <w:lang w:val="en-GB"/>
        </w:rPr>
      </w:pPr>
      <w:r w:rsidRPr="003159FA">
        <w:rPr>
          <w:lang w:val="en-GB"/>
        </w:rPr>
        <w:t xml:space="preserve">F. Allum, ‘Giorgia Meloni’s government is watering down Italy’s anti-mafia laws – four dangerous examples’, </w:t>
      </w:r>
      <w:r w:rsidRPr="003159FA">
        <w:rPr>
          <w:i/>
          <w:iCs/>
          <w:lang w:val="en-GB"/>
        </w:rPr>
        <w:t>The Con</w:t>
      </w:r>
      <w:r w:rsidR="006201BE">
        <w:rPr>
          <w:i/>
          <w:iCs/>
          <w:lang w:val="en-GB"/>
        </w:rPr>
        <w:t>v</w:t>
      </w:r>
      <w:r w:rsidRPr="003159FA">
        <w:rPr>
          <w:i/>
          <w:iCs/>
          <w:lang w:val="en-GB"/>
        </w:rPr>
        <w:t>e</w:t>
      </w:r>
      <w:r w:rsidR="006201BE">
        <w:rPr>
          <w:i/>
          <w:iCs/>
          <w:lang w:val="en-GB"/>
        </w:rPr>
        <w:t>rs</w:t>
      </w:r>
      <w:r w:rsidRPr="003159FA">
        <w:rPr>
          <w:i/>
          <w:iCs/>
          <w:lang w:val="en-GB"/>
        </w:rPr>
        <w:t>ation</w:t>
      </w:r>
      <w:r w:rsidRPr="003159FA">
        <w:rPr>
          <w:lang w:val="en-GB"/>
        </w:rPr>
        <w:t xml:space="preserve"> 31 december</w:t>
      </w:r>
      <w:r>
        <w:rPr>
          <w:lang w:val="en-GB"/>
        </w:rPr>
        <w:t xml:space="preserve"> 2024.</w:t>
      </w:r>
    </w:p>
    <w:p w14:paraId="1D202970" w14:textId="77777777" w:rsidR="00DA1440" w:rsidRDefault="00DA1440" w:rsidP="00DA1440">
      <w:pPr>
        <w:pStyle w:val="Geenafstand"/>
        <w:rPr>
          <w:b/>
          <w:bCs/>
          <w:lang w:val="en-GB"/>
        </w:rPr>
      </w:pPr>
    </w:p>
    <w:p w14:paraId="75E27D09" w14:textId="77777777" w:rsidR="00DA1440" w:rsidRPr="004859C5" w:rsidRDefault="00DA1440" w:rsidP="00DA1440">
      <w:pPr>
        <w:pStyle w:val="Voetnoottekst"/>
        <w:jc w:val="both"/>
        <w:rPr>
          <w:b/>
          <w:bCs/>
          <w:sz w:val="28"/>
          <w:szCs w:val="28"/>
          <w:lang w:val="en-GB"/>
        </w:rPr>
      </w:pPr>
      <w:r w:rsidRPr="004859C5">
        <w:rPr>
          <w:b/>
          <w:bCs/>
          <w:i/>
          <w:iCs/>
          <w:sz w:val="22"/>
          <w:szCs w:val="22"/>
          <w:lang w:val="en-GB"/>
        </w:rPr>
        <w:t>Annual Report 2015</w:t>
      </w:r>
      <w:r w:rsidRPr="004859C5">
        <w:rPr>
          <w:b/>
          <w:bCs/>
          <w:sz w:val="22"/>
          <w:szCs w:val="22"/>
          <w:lang w:val="en-GB"/>
        </w:rPr>
        <w:t xml:space="preserve"> 2016</w:t>
      </w:r>
    </w:p>
    <w:p w14:paraId="0CE3A9D3" w14:textId="77777777" w:rsidR="00DA1440" w:rsidRDefault="00DA1440" w:rsidP="00DA1440">
      <w:pPr>
        <w:pStyle w:val="Voetnoottekst"/>
        <w:jc w:val="both"/>
        <w:rPr>
          <w:sz w:val="22"/>
          <w:szCs w:val="22"/>
          <w:lang w:val="en-GB"/>
        </w:rPr>
      </w:pPr>
      <w:r w:rsidRPr="004859C5">
        <w:rPr>
          <w:i/>
          <w:iCs/>
          <w:sz w:val="22"/>
          <w:szCs w:val="22"/>
          <w:lang w:val="en-GB"/>
        </w:rPr>
        <w:t>Annual Report 2015</w:t>
      </w:r>
      <w:r w:rsidRPr="004859C5">
        <w:rPr>
          <w:sz w:val="22"/>
          <w:szCs w:val="22"/>
          <w:lang w:val="en-GB"/>
        </w:rPr>
        <w:t xml:space="preserve"> 2016 (rapport Eurojust), 4 a</w:t>
      </w:r>
      <w:r>
        <w:rPr>
          <w:sz w:val="22"/>
          <w:szCs w:val="22"/>
          <w:lang w:val="en-GB"/>
        </w:rPr>
        <w:t>pril 2016.</w:t>
      </w:r>
    </w:p>
    <w:p w14:paraId="14F6B854" w14:textId="77777777" w:rsidR="00DA1440" w:rsidRDefault="00DA1440" w:rsidP="00DA1440">
      <w:pPr>
        <w:pStyle w:val="Voetnoottekst"/>
        <w:jc w:val="both"/>
        <w:rPr>
          <w:sz w:val="22"/>
          <w:szCs w:val="22"/>
          <w:lang w:val="en-GB"/>
        </w:rPr>
      </w:pPr>
    </w:p>
    <w:p w14:paraId="580A3C97" w14:textId="77777777" w:rsidR="00DA1440" w:rsidRPr="00507F5E" w:rsidRDefault="00DA1440" w:rsidP="00DA1440">
      <w:pPr>
        <w:pStyle w:val="Voetnoottekst"/>
        <w:jc w:val="both"/>
        <w:rPr>
          <w:b/>
          <w:bCs/>
          <w:sz w:val="32"/>
          <w:szCs w:val="32"/>
          <w:lang w:val="en-GB"/>
        </w:rPr>
      </w:pPr>
      <w:r w:rsidRPr="00507F5E">
        <w:rPr>
          <w:b/>
          <w:bCs/>
          <w:i/>
          <w:iCs/>
          <w:sz w:val="22"/>
          <w:szCs w:val="22"/>
          <w:lang w:val="en-GB"/>
        </w:rPr>
        <w:t xml:space="preserve">Annual report 2022 </w:t>
      </w:r>
      <w:r w:rsidRPr="00507F5E">
        <w:rPr>
          <w:b/>
          <w:bCs/>
          <w:sz w:val="22"/>
          <w:szCs w:val="22"/>
          <w:lang w:val="en-GB"/>
        </w:rPr>
        <w:t>2023</w:t>
      </w:r>
    </w:p>
    <w:p w14:paraId="1BC3510A" w14:textId="77777777" w:rsidR="00DA1440" w:rsidRPr="00507F5E" w:rsidRDefault="00DA1440" w:rsidP="00DA1440">
      <w:pPr>
        <w:pStyle w:val="Voetnoottekst"/>
        <w:jc w:val="both"/>
        <w:rPr>
          <w:sz w:val="24"/>
          <w:szCs w:val="24"/>
          <w:lang w:val="en-GB"/>
        </w:rPr>
      </w:pPr>
      <w:r w:rsidRPr="00507F5E">
        <w:rPr>
          <w:i/>
          <w:iCs/>
          <w:sz w:val="22"/>
          <w:szCs w:val="22"/>
          <w:lang w:val="en-GB"/>
        </w:rPr>
        <w:t xml:space="preserve">Annual report 2022 </w:t>
      </w:r>
      <w:r>
        <w:rPr>
          <w:sz w:val="22"/>
          <w:szCs w:val="22"/>
          <w:lang w:val="en-GB"/>
        </w:rPr>
        <w:t>(rapport Eurojust), 24 mei 2023.</w:t>
      </w:r>
    </w:p>
    <w:p w14:paraId="2F089A7E" w14:textId="77777777" w:rsidR="00DA1440" w:rsidRPr="004859C5" w:rsidRDefault="00DA1440" w:rsidP="00DA1440">
      <w:pPr>
        <w:pStyle w:val="Voetnoottekst"/>
        <w:jc w:val="both"/>
        <w:rPr>
          <w:sz w:val="22"/>
          <w:szCs w:val="22"/>
          <w:lang w:val="en-GB"/>
        </w:rPr>
      </w:pPr>
    </w:p>
    <w:p w14:paraId="781B8D8A" w14:textId="77777777" w:rsidR="00DA1440" w:rsidRPr="001044A1" w:rsidRDefault="00DA1440" w:rsidP="00DA1440">
      <w:pPr>
        <w:pStyle w:val="Geenafstand"/>
        <w:rPr>
          <w:b/>
          <w:bCs/>
        </w:rPr>
      </w:pPr>
      <w:r>
        <w:rPr>
          <w:b/>
          <w:bCs/>
        </w:rPr>
        <w:t>Van Bemmelen 1973</w:t>
      </w:r>
    </w:p>
    <w:p w14:paraId="5411E90F" w14:textId="5D9BD684" w:rsidR="00DA1440" w:rsidRPr="001044A1" w:rsidRDefault="00DA1440" w:rsidP="00DA1440">
      <w:pPr>
        <w:pStyle w:val="Voetnoottekst"/>
        <w:rPr>
          <w:sz w:val="22"/>
          <w:szCs w:val="22"/>
        </w:rPr>
      </w:pPr>
      <w:r w:rsidRPr="001044A1">
        <w:rPr>
          <w:sz w:val="22"/>
          <w:szCs w:val="22"/>
        </w:rPr>
        <w:t>J.M. Van Bemmelen</w:t>
      </w:r>
      <w:r w:rsidR="009C01BA">
        <w:rPr>
          <w:sz w:val="22"/>
          <w:szCs w:val="22"/>
        </w:rPr>
        <w:t>,</w:t>
      </w:r>
      <w:r w:rsidRPr="001044A1">
        <w:rPr>
          <w:sz w:val="22"/>
          <w:szCs w:val="22"/>
        </w:rPr>
        <w:t xml:space="preserve"> ‘Positieve criteria voor strafbaarstelling’, in: J.F. Glastra van </w:t>
      </w:r>
      <w:r>
        <w:rPr>
          <w:sz w:val="22"/>
          <w:szCs w:val="22"/>
        </w:rPr>
        <w:t>L</w:t>
      </w:r>
      <w:r w:rsidRPr="001044A1">
        <w:rPr>
          <w:sz w:val="22"/>
          <w:szCs w:val="22"/>
        </w:rPr>
        <w:t xml:space="preserve">oon e.a. (red.), </w:t>
      </w:r>
      <w:r w:rsidRPr="001044A1">
        <w:rPr>
          <w:i/>
          <w:iCs/>
          <w:sz w:val="22"/>
          <w:szCs w:val="22"/>
        </w:rPr>
        <w:t>Speculum Langemeijer</w:t>
      </w:r>
      <w:r w:rsidRPr="001044A1">
        <w:rPr>
          <w:sz w:val="22"/>
          <w:szCs w:val="22"/>
        </w:rPr>
        <w:t xml:space="preserve">, Zwolle: W.E.J. Tjeenk Willink 1973, p. 1-14. </w:t>
      </w:r>
    </w:p>
    <w:p w14:paraId="4E26BD17" w14:textId="77777777" w:rsidR="00DA1440" w:rsidRDefault="00DA1440" w:rsidP="00DA1440">
      <w:pPr>
        <w:pStyle w:val="Voetnoottekst"/>
      </w:pPr>
    </w:p>
    <w:p w14:paraId="3F30F0A0" w14:textId="77777777" w:rsidR="00DA1440" w:rsidRPr="007614E1" w:rsidRDefault="00DA1440" w:rsidP="00DA1440">
      <w:pPr>
        <w:pStyle w:val="Geenafstand"/>
        <w:rPr>
          <w:b/>
          <w:bCs/>
        </w:rPr>
      </w:pPr>
      <w:r>
        <w:rPr>
          <w:b/>
          <w:bCs/>
        </w:rPr>
        <w:t>Bisscheroux 2023</w:t>
      </w:r>
    </w:p>
    <w:p w14:paraId="538BF8B9" w14:textId="77777777" w:rsidR="00DA1440" w:rsidRDefault="00DA1440" w:rsidP="00DA1440">
      <w:pPr>
        <w:pStyle w:val="Geenafstand"/>
      </w:pPr>
      <w:r>
        <w:t xml:space="preserve">H.J.J. Bisscheroux, ‘Verslag: Het Anti-Corruptie Congres 2023 stond in het teken van ambtelijke omkoping’, </w:t>
      </w:r>
      <w:r>
        <w:rPr>
          <w:i/>
          <w:iCs/>
        </w:rPr>
        <w:t xml:space="preserve">Tijdschrift voor Sanctierecht &amp; Onderneming </w:t>
      </w:r>
      <w:r>
        <w:t>2023, nr. 4/5.</w:t>
      </w:r>
    </w:p>
    <w:p w14:paraId="3BD1BFCD" w14:textId="77777777" w:rsidR="00DA1440" w:rsidRDefault="00DA1440" w:rsidP="00DA1440">
      <w:pPr>
        <w:pStyle w:val="Geenafstand"/>
      </w:pPr>
    </w:p>
    <w:p w14:paraId="78B7F934" w14:textId="77777777" w:rsidR="00DA1440" w:rsidRDefault="00DA1440" w:rsidP="00DA1440">
      <w:pPr>
        <w:pStyle w:val="Geenafstand"/>
        <w:rPr>
          <w:b/>
          <w:bCs/>
        </w:rPr>
      </w:pPr>
      <w:r>
        <w:rPr>
          <w:b/>
          <w:bCs/>
        </w:rPr>
        <w:t>Boggia 2026</w:t>
      </w:r>
    </w:p>
    <w:p w14:paraId="44E04902" w14:textId="77777777" w:rsidR="00DA1440" w:rsidRPr="00F41F44" w:rsidRDefault="00DA1440" w:rsidP="00DA1440">
      <w:pPr>
        <w:pStyle w:val="Geenafstand"/>
      </w:pPr>
      <w:r>
        <w:t xml:space="preserve">I. Boggia, ‘Strafbaarstelling van ‘ongeoorloofde beïnvloeding’ in Nederland: (niet langer) klem tussen Europese verplichting en nationale aarzeling’, </w:t>
      </w:r>
      <w:r>
        <w:rPr>
          <w:i/>
          <w:iCs/>
        </w:rPr>
        <w:t>Tijdschrift voor Bijzonder Strafrecht &amp; Handhaving</w:t>
      </w:r>
      <w:r>
        <w:t xml:space="preserve"> 2026, afl. 2.</w:t>
      </w:r>
    </w:p>
    <w:p w14:paraId="6B5DBB26" w14:textId="77777777" w:rsidR="00DA1440" w:rsidRDefault="00DA1440" w:rsidP="00DA1440">
      <w:pPr>
        <w:pStyle w:val="Geenafstand"/>
      </w:pPr>
    </w:p>
    <w:p w14:paraId="05E19074" w14:textId="77777777" w:rsidR="00DA1440" w:rsidRPr="00FE721D" w:rsidRDefault="00DA1440" w:rsidP="00DA1440">
      <w:pPr>
        <w:pStyle w:val="Geenafstand"/>
        <w:rPr>
          <w:b/>
          <w:bCs/>
        </w:rPr>
      </w:pPr>
      <w:r>
        <w:rPr>
          <w:b/>
          <w:bCs/>
        </w:rPr>
        <w:t>Bottse 2025</w:t>
      </w:r>
    </w:p>
    <w:p w14:paraId="396F5821" w14:textId="77777777" w:rsidR="00DA1440" w:rsidRDefault="00DA1440" w:rsidP="00DA1440">
      <w:pPr>
        <w:pStyle w:val="Geenafstand"/>
      </w:pPr>
      <w:r w:rsidRPr="00FE721D">
        <w:t xml:space="preserve">K.T. Bottse, ‘Strafbaarstelling van ongeoorloofde beïnvloeding onder de voorgestelde Corruptierichtlijn’, </w:t>
      </w:r>
      <w:r w:rsidRPr="00C76F99">
        <w:rPr>
          <w:i/>
          <w:iCs/>
        </w:rPr>
        <w:t>Tijdschrift voor Sanctierecht &amp; Onderneming</w:t>
      </w:r>
      <w:r w:rsidRPr="00FE721D">
        <w:t xml:space="preserve"> 2025</w:t>
      </w:r>
      <w:r>
        <w:t xml:space="preserve">, nr. </w:t>
      </w:r>
      <w:r w:rsidRPr="00FE721D">
        <w:t>3.</w:t>
      </w:r>
    </w:p>
    <w:p w14:paraId="7F94C758" w14:textId="77777777" w:rsidR="00DA1440" w:rsidRDefault="00DA1440" w:rsidP="00DA1440">
      <w:pPr>
        <w:pStyle w:val="Geenafstand"/>
      </w:pPr>
    </w:p>
    <w:p w14:paraId="09B0879D" w14:textId="77777777" w:rsidR="00DA1440" w:rsidRPr="00550F63" w:rsidRDefault="00DA1440" w:rsidP="00DA1440">
      <w:pPr>
        <w:pStyle w:val="Geenafstand"/>
        <w:rPr>
          <w:b/>
          <w:bCs/>
          <w:lang w:val="en-GB"/>
        </w:rPr>
      </w:pPr>
      <w:r w:rsidRPr="00550F63">
        <w:rPr>
          <w:b/>
          <w:bCs/>
          <w:lang w:val="en-GB"/>
        </w:rPr>
        <w:t>Bouman 2021</w:t>
      </w:r>
    </w:p>
    <w:p w14:paraId="544F4343" w14:textId="77777777" w:rsidR="00DA1440" w:rsidRPr="0095349F" w:rsidRDefault="00DA1440" w:rsidP="00DA1440">
      <w:pPr>
        <w:pStyle w:val="Geenafstand"/>
        <w:rPr>
          <w:lang w:val="en-GB"/>
        </w:rPr>
      </w:pPr>
      <w:r w:rsidRPr="00693D3F">
        <w:rPr>
          <w:lang w:val="en-GB"/>
        </w:rPr>
        <w:t xml:space="preserve">J. Bouman, </w:t>
      </w:r>
      <w:r w:rsidRPr="00693D3F">
        <w:rPr>
          <w:i/>
          <w:iCs/>
          <w:lang w:val="en-GB"/>
        </w:rPr>
        <w:t>Preventing corruption of civil servants in France, Roman</w:t>
      </w:r>
      <w:r>
        <w:rPr>
          <w:i/>
          <w:iCs/>
          <w:lang w:val="en-GB"/>
        </w:rPr>
        <w:t xml:space="preserve">ia and The Netherlands. A comparative study of law and policy </w:t>
      </w:r>
      <w:r>
        <w:rPr>
          <w:lang w:val="en-GB"/>
        </w:rPr>
        <w:t>(diss. Utrecht), Boekarest</w:t>
      </w:r>
      <w:r w:rsidRPr="00D315E1">
        <w:rPr>
          <w:lang w:val="en-GB"/>
        </w:rPr>
        <w:t xml:space="preserve"> </w:t>
      </w:r>
      <w:r>
        <w:rPr>
          <w:lang w:val="en-GB"/>
        </w:rPr>
        <w:t>(Roemenië)</w:t>
      </w:r>
      <w:r w:rsidRPr="00D315E1">
        <w:rPr>
          <w:lang w:val="en-GB"/>
        </w:rPr>
        <w:t>: Wolters Kluwer 2021</w:t>
      </w:r>
      <w:r w:rsidRPr="00395A1B">
        <w:rPr>
          <w:lang w:val="en-GB"/>
        </w:rPr>
        <w:t>.</w:t>
      </w:r>
    </w:p>
    <w:p w14:paraId="7FD44823" w14:textId="77777777" w:rsidR="00DA1440" w:rsidRDefault="00DA1440" w:rsidP="00DA1440">
      <w:pPr>
        <w:pStyle w:val="Geenafstand"/>
        <w:rPr>
          <w:lang w:val="en-GB"/>
        </w:rPr>
      </w:pPr>
    </w:p>
    <w:p w14:paraId="0DE06F03" w14:textId="77777777" w:rsidR="00DA1440" w:rsidRPr="001044A1" w:rsidRDefault="00DA1440" w:rsidP="00DA1440">
      <w:pPr>
        <w:pStyle w:val="Voetnoottekst"/>
        <w:jc w:val="both"/>
        <w:rPr>
          <w:b/>
          <w:bCs/>
          <w:sz w:val="22"/>
          <w:szCs w:val="22"/>
        </w:rPr>
      </w:pPr>
      <w:r w:rsidRPr="001044A1">
        <w:rPr>
          <w:b/>
          <w:bCs/>
          <w:sz w:val="22"/>
          <w:szCs w:val="22"/>
        </w:rPr>
        <w:t>Bovend’Eert 2020</w:t>
      </w:r>
    </w:p>
    <w:p w14:paraId="760F8926" w14:textId="77777777" w:rsidR="00DA1440" w:rsidRPr="001044A1" w:rsidRDefault="00DA1440" w:rsidP="00DA1440">
      <w:pPr>
        <w:pStyle w:val="Voetnoottekst"/>
        <w:jc w:val="both"/>
        <w:rPr>
          <w:sz w:val="22"/>
          <w:szCs w:val="22"/>
        </w:rPr>
      </w:pPr>
      <w:r w:rsidRPr="001044A1">
        <w:rPr>
          <w:sz w:val="22"/>
          <w:szCs w:val="22"/>
        </w:rPr>
        <w:t xml:space="preserve">P. Bovend’Eert, ‘Lobbypraktijken in en rond het Binnenhof’, </w:t>
      </w:r>
      <w:r w:rsidRPr="001044A1">
        <w:rPr>
          <w:i/>
          <w:iCs/>
          <w:sz w:val="22"/>
          <w:szCs w:val="22"/>
        </w:rPr>
        <w:t xml:space="preserve">NJB </w:t>
      </w:r>
      <w:r w:rsidRPr="001044A1">
        <w:rPr>
          <w:sz w:val="22"/>
          <w:szCs w:val="22"/>
        </w:rPr>
        <w:t>2020/813.</w:t>
      </w:r>
    </w:p>
    <w:p w14:paraId="4D0D6673" w14:textId="77777777" w:rsidR="00DA1440" w:rsidRDefault="00DA1440" w:rsidP="00DA1440">
      <w:pPr>
        <w:pStyle w:val="Geenafstand"/>
      </w:pPr>
    </w:p>
    <w:p w14:paraId="16201622" w14:textId="77777777" w:rsidR="00DA1440" w:rsidRPr="001044A1" w:rsidRDefault="00DA1440" w:rsidP="00DA1440">
      <w:pPr>
        <w:pStyle w:val="Geenafstand"/>
        <w:rPr>
          <w:b/>
          <w:bCs/>
          <w:lang w:val="en-GB"/>
        </w:rPr>
      </w:pPr>
      <w:r>
        <w:rPr>
          <w:b/>
          <w:bCs/>
          <w:lang w:val="en-GB"/>
        </w:rPr>
        <w:t>Bratvold 2012</w:t>
      </w:r>
    </w:p>
    <w:p w14:paraId="67FDCD59" w14:textId="0BE1BFF4" w:rsidR="00DA1440" w:rsidRDefault="00DA1440" w:rsidP="00DA1440">
      <w:pPr>
        <w:pStyle w:val="Geenafstand"/>
        <w:rPr>
          <w:lang w:val="en-GB"/>
        </w:rPr>
      </w:pPr>
      <w:r w:rsidRPr="001044A1">
        <w:rPr>
          <w:lang w:val="en-GB"/>
        </w:rPr>
        <w:t xml:space="preserve">G. Bratvold, ‘Trading in Influence. The Criminal Law Convention on Corruption Art. 12’, </w:t>
      </w:r>
      <w:r w:rsidRPr="001044A1">
        <w:rPr>
          <w:i/>
          <w:iCs/>
          <w:lang w:val="en-GB"/>
        </w:rPr>
        <w:t>International In-house Counsel Journal</w:t>
      </w:r>
      <w:r w:rsidRPr="001044A1">
        <w:rPr>
          <w:lang w:val="en-GB"/>
        </w:rPr>
        <w:t xml:space="preserve"> </w:t>
      </w:r>
      <w:r w:rsidR="001A2A58">
        <w:rPr>
          <w:lang w:val="en-GB"/>
        </w:rPr>
        <w:t xml:space="preserve">(5) </w:t>
      </w:r>
      <w:r>
        <w:rPr>
          <w:lang w:val="en-GB"/>
        </w:rPr>
        <w:t>2012</w:t>
      </w:r>
      <w:r w:rsidRPr="001044A1">
        <w:rPr>
          <w:lang w:val="en-GB"/>
        </w:rPr>
        <w:t xml:space="preserve">, </w:t>
      </w:r>
      <w:r>
        <w:rPr>
          <w:lang w:val="en-GB"/>
        </w:rPr>
        <w:t>nr</w:t>
      </w:r>
      <w:r w:rsidRPr="001044A1">
        <w:rPr>
          <w:lang w:val="en-GB"/>
        </w:rPr>
        <w:t>. 19.</w:t>
      </w:r>
    </w:p>
    <w:p w14:paraId="0EBBB59D" w14:textId="77777777" w:rsidR="00DA1440" w:rsidRDefault="00DA1440" w:rsidP="00DA1440">
      <w:pPr>
        <w:pStyle w:val="Geenafstand"/>
        <w:rPr>
          <w:lang w:val="en-GB"/>
        </w:rPr>
      </w:pPr>
    </w:p>
    <w:p w14:paraId="5232F930" w14:textId="4544F82B" w:rsidR="00DA1440" w:rsidRPr="00621FAC" w:rsidRDefault="00DA1440" w:rsidP="00DA1440">
      <w:pPr>
        <w:pStyle w:val="Geenafstand"/>
        <w:rPr>
          <w:b/>
          <w:bCs/>
        </w:rPr>
      </w:pPr>
      <w:r>
        <w:rPr>
          <w:b/>
          <w:bCs/>
        </w:rPr>
        <w:t>Buisman 20</w:t>
      </w:r>
      <w:r w:rsidR="00C67318">
        <w:rPr>
          <w:b/>
          <w:bCs/>
        </w:rPr>
        <w:t>20</w:t>
      </w:r>
    </w:p>
    <w:p w14:paraId="088E8646" w14:textId="77777777" w:rsidR="00DA1440" w:rsidRDefault="00DA1440" w:rsidP="00DA1440">
      <w:pPr>
        <w:pStyle w:val="Geenafstand"/>
      </w:pPr>
      <w:r>
        <w:t xml:space="preserve">S.S. Buisman, ‘Criteria voor strafbaarstelling. De integratie tussen theorie en wetgevingsbeleid’, </w:t>
      </w:r>
      <w:r>
        <w:rPr>
          <w:i/>
          <w:iCs/>
        </w:rPr>
        <w:t>Boom Strafblad</w:t>
      </w:r>
      <w:r>
        <w:t xml:space="preserve"> 2020, nr. 1.</w:t>
      </w:r>
    </w:p>
    <w:p w14:paraId="5EC1EB1E" w14:textId="77777777" w:rsidR="00DA1440" w:rsidRDefault="00DA1440" w:rsidP="00DA1440">
      <w:pPr>
        <w:pStyle w:val="Geenafstand"/>
      </w:pPr>
    </w:p>
    <w:p w14:paraId="5065C6DF" w14:textId="77777777" w:rsidR="00DA1440" w:rsidRPr="001044A1" w:rsidRDefault="00DA1440" w:rsidP="00DA1440">
      <w:pPr>
        <w:pStyle w:val="Geenafstand"/>
        <w:rPr>
          <w:b/>
          <w:bCs/>
        </w:rPr>
      </w:pPr>
      <w:r>
        <w:rPr>
          <w:b/>
          <w:bCs/>
        </w:rPr>
        <w:t>Van der Burgh &amp; Van der Pol 2025</w:t>
      </w:r>
    </w:p>
    <w:p w14:paraId="6B8B4535" w14:textId="468C56FB" w:rsidR="00DA1440" w:rsidRDefault="00DA1440" w:rsidP="00DA1440">
      <w:pPr>
        <w:pStyle w:val="Geenafstand"/>
      </w:pPr>
      <w:r>
        <w:t>R. van der Burgh &amp; L. van der Pol</w:t>
      </w:r>
      <w:r w:rsidR="00C36524">
        <w:t>,</w:t>
      </w:r>
      <w:r>
        <w:t xml:space="preserve"> ‘OM wil mogelijkheden om corrupte ambtenaren te vervolgen’, </w:t>
      </w:r>
      <w:r>
        <w:rPr>
          <w:i/>
          <w:iCs/>
        </w:rPr>
        <w:t xml:space="preserve">De Groene Amsterdammer </w:t>
      </w:r>
      <w:r>
        <w:t>4 februari 2025.</w:t>
      </w:r>
    </w:p>
    <w:p w14:paraId="58EAE72E" w14:textId="77777777" w:rsidR="00DA1440" w:rsidRDefault="00DA1440" w:rsidP="00DA1440">
      <w:pPr>
        <w:pStyle w:val="Geenafstand"/>
      </w:pPr>
    </w:p>
    <w:p w14:paraId="46B3C353" w14:textId="77777777" w:rsidR="00DA1440" w:rsidRPr="001044A1" w:rsidRDefault="00DA1440" w:rsidP="00DA1440">
      <w:pPr>
        <w:pStyle w:val="Geenafstand"/>
        <w:rPr>
          <w:b/>
          <w:bCs/>
        </w:rPr>
      </w:pPr>
      <w:r>
        <w:rPr>
          <w:b/>
          <w:bCs/>
        </w:rPr>
        <w:t>Van der Burgh &amp; Van der Pol 2025</w:t>
      </w:r>
    </w:p>
    <w:p w14:paraId="79592B67" w14:textId="77777777" w:rsidR="00DA1440" w:rsidRDefault="00DA1440" w:rsidP="00DA1440">
      <w:pPr>
        <w:pStyle w:val="Geenafstand"/>
      </w:pPr>
      <w:r>
        <w:t xml:space="preserve">R. van der Burgh &amp; L. van der Pol, ‘OM wil meer mogelijkheden om corrupte ambtenaren te vervolgen’, </w:t>
      </w:r>
      <w:r>
        <w:rPr>
          <w:i/>
          <w:iCs/>
        </w:rPr>
        <w:t>Investico</w:t>
      </w:r>
      <w:r>
        <w:t xml:space="preserve"> 3 februari 2025.</w:t>
      </w:r>
    </w:p>
    <w:p w14:paraId="6CE30FF7" w14:textId="77777777" w:rsidR="00DA1440" w:rsidRDefault="00DA1440" w:rsidP="00DA1440">
      <w:pPr>
        <w:pStyle w:val="Geenafstand"/>
      </w:pPr>
    </w:p>
    <w:p w14:paraId="5DE8792E" w14:textId="77777777" w:rsidR="00DA1440" w:rsidRDefault="00DA1440" w:rsidP="00DA1440">
      <w:pPr>
        <w:pStyle w:val="Voetnoottekst"/>
        <w:jc w:val="both"/>
        <w:rPr>
          <w:b/>
          <w:bCs/>
          <w:sz w:val="22"/>
          <w:szCs w:val="22"/>
        </w:rPr>
      </w:pPr>
    </w:p>
    <w:p w14:paraId="3A7DBCB1" w14:textId="77777777" w:rsidR="00DA1440" w:rsidRDefault="00DA1440" w:rsidP="00DA1440">
      <w:pPr>
        <w:pStyle w:val="Voetnoottekst"/>
        <w:jc w:val="both"/>
        <w:rPr>
          <w:b/>
          <w:bCs/>
          <w:sz w:val="22"/>
          <w:szCs w:val="22"/>
        </w:rPr>
      </w:pPr>
    </w:p>
    <w:p w14:paraId="04BCAA1F" w14:textId="52A8163D" w:rsidR="00DA1440" w:rsidRPr="001044A1" w:rsidRDefault="00DA1440" w:rsidP="00DA1440">
      <w:pPr>
        <w:pStyle w:val="Voetnoottekst"/>
        <w:jc w:val="both"/>
        <w:rPr>
          <w:b/>
          <w:bCs/>
          <w:sz w:val="22"/>
          <w:szCs w:val="22"/>
        </w:rPr>
      </w:pPr>
      <w:r w:rsidRPr="001044A1">
        <w:rPr>
          <w:b/>
          <w:bCs/>
          <w:sz w:val="22"/>
          <w:szCs w:val="22"/>
        </w:rPr>
        <w:lastRenderedPageBreak/>
        <w:t>Buruma &amp; De Bree 2025</w:t>
      </w:r>
    </w:p>
    <w:p w14:paraId="54D7163E" w14:textId="77777777" w:rsidR="00DA1440" w:rsidRDefault="00DA1440" w:rsidP="00DA1440">
      <w:pPr>
        <w:pStyle w:val="Geenafstand"/>
      </w:pPr>
      <w:r w:rsidRPr="00302DE6">
        <w:t xml:space="preserve">Y. Buruma &amp; R. de Bree, ‘De roep van het OM voor uitbreiding van strafbaarstelling bij corruptie is een slechte zaak’, </w:t>
      </w:r>
      <w:r>
        <w:rPr>
          <w:i/>
          <w:iCs/>
        </w:rPr>
        <w:t>Het Financieele Dagblad</w:t>
      </w:r>
      <w:r w:rsidRPr="00302DE6">
        <w:t xml:space="preserve"> 10 februari 2025.</w:t>
      </w:r>
    </w:p>
    <w:p w14:paraId="5A7D1E17" w14:textId="77777777" w:rsidR="00DA1440" w:rsidRDefault="00DA1440" w:rsidP="00DA1440">
      <w:pPr>
        <w:pStyle w:val="Geenafstand"/>
      </w:pPr>
    </w:p>
    <w:p w14:paraId="0CF842D5" w14:textId="77777777" w:rsidR="00DA1440" w:rsidRPr="00F608F6" w:rsidRDefault="00DA1440" w:rsidP="00DA1440">
      <w:pPr>
        <w:pStyle w:val="Geenafstand"/>
        <w:rPr>
          <w:b/>
          <w:bCs/>
          <w:lang w:val="en-GB"/>
        </w:rPr>
      </w:pPr>
      <w:r w:rsidRPr="00F608F6">
        <w:rPr>
          <w:b/>
          <w:bCs/>
          <w:lang w:val="en-GB"/>
        </w:rPr>
        <w:t>Carlson 2025</w:t>
      </w:r>
    </w:p>
    <w:p w14:paraId="2B289D21" w14:textId="77777777" w:rsidR="00DA1440" w:rsidRPr="0018410E" w:rsidRDefault="00DA1440" w:rsidP="00DA1440">
      <w:pPr>
        <w:pStyle w:val="Geenafstand"/>
        <w:rPr>
          <w:lang w:val="en-GB"/>
        </w:rPr>
      </w:pPr>
      <w:r w:rsidRPr="0018410E">
        <w:rPr>
          <w:lang w:val="en-GB"/>
        </w:rPr>
        <w:t xml:space="preserve">K. Carlson, ‘Headwinds for the aviation lobby in Paris’, </w:t>
      </w:r>
      <w:r w:rsidRPr="0018410E">
        <w:rPr>
          <w:i/>
          <w:iCs/>
          <w:lang w:val="en-GB"/>
        </w:rPr>
        <w:t>Politico</w:t>
      </w:r>
      <w:r w:rsidRPr="0018410E">
        <w:rPr>
          <w:lang w:val="en-GB"/>
        </w:rPr>
        <w:t xml:space="preserve"> 19 juni 2025</w:t>
      </w:r>
      <w:r>
        <w:rPr>
          <w:lang w:val="en-GB"/>
        </w:rPr>
        <w:t>.</w:t>
      </w:r>
    </w:p>
    <w:p w14:paraId="5020B3DC" w14:textId="77777777" w:rsidR="00DA1440" w:rsidRPr="0018410E" w:rsidRDefault="00DA1440" w:rsidP="00DA1440">
      <w:pPr>
        <w:pStyle w:val="Geenafstand"/>
        <w:rPr>
          <w:lang w:val="en-GB"/>
        </w:rPr>
      </w:pPr>
    </w:p>
    <w:p w14:paraId="11A0D398" w14:textId="77777777" w:rsidR="00DA1440" w:rsidRPr="00550F63" w:rsidRDefault="00DA1440" w:rsidP="00DA1440">
      <w:pPr>
        <w:pStyle w:val="Geenafstand"/>
        <w:rPr>
          <w:b/>
          <w:bCs/>
        </w:rPr>
      </w:pPr>
      <w:r w:rsidRPr="00550F63">
        <w:rPr>
          <w:b/>
          <w:bCs/>
        </w:rPr>
        <w:t>Cleiren 2012</w:t>
      </w:r>
    </w:p>
    <w:p w14:paraId="61E22B6F" w14:textId="2E0DDE35" w:rsidR="00DA1440" w:rsidRPr="000C48AF" w:rsidRDefault="00DA1440" w:rsidP="00DA1440">
      <w:pPr>
        <w:pStyle w:val="Geenafstand"/>
      </w:pPr>
      <w:r w:rsidRPr="000C48AF">
        <w:t>C.P.M. Cleiren, ‘Functie</w:t>
      </w:r>
      <w:r>
        <w:t xml:space="preserve"> en waarde van criteria voor strafbaarstelling in het huidig tijdsgewricht’, in: M.J.J. Kunst e.a. (red.), </w:t>
      </w:r>
      <w:r w:rsidR="00960CC1">
        <w:rPr>
          <w:i/>
          <w:iCs/>
        </w:rPr>
        <w:t>Criteria voor strafbaarstelling in een nieuwe dynamiek. Symbolische legitimiteit versus maatschappelijke en sociaalwetenschappelijke realiteit</w:t>
      </w:r>
      <w:r>
        <w:t>, Den Haag: Boom Lemma 2012, p. 7 – 24.</w:t>
      </w:r>
    </w:p>
    <w:p w14:paraId="3CA92A86" w14:textId="77777777" w:rsidR="00DA1440" w:rsidRPr="000C48AF" w:rsidRDefault="00DA1440" w:rsidP="00DA1440">
      <w:pPr>
        <w:pStyle w:val="Geenafstand"/>
      </w:pPr>
    </w:p>
    <w:p w14:paraId="40D1316B" w14:textId="77777777" w:rsidR="00DA1440" w:rsidRPr="006F32E4" w:rsidRDefault="00DA1440" w:rsidP="00DA1440">
      <w:pPr>
        <w:pStyle w:val="Geenafstand"/>
        <w:rPr>
          <w:b/>
          <w:bCs/>
          <w:lang w:val="en-GB"/>
        </w:rPr>
      </w:pPr>
      <w:r w:rsidRPr="006F32E4">
        <w:rPr>
          <w:b/>
          <w:bCs/>
          <w:lang w:val="en-GB"/>
        </w:rPr>
        <w:t>Dannemann 2006</w:t>
      </w:r>
    </w:p>
    <w:p w14:paraId="3461AE70" w14:textId="6107F1F7" w:rsidR="00DA1440" w:rsidRDefault="00DA1440" w:rsidP="00DA1440">
      <w:pPr>
        <w:pStyle w:val="Geenafstand"/>
        <w:rPr>
          <w:lang w:val="en-GB"/>
        </w:rPr>
      </w:pPr>
      <w:r w:rsidRPr="006F32E4">
        <w:rPr>
          <w:lang w:val="en-GB"/>
        </w:rPr>
        <w:t>G. Dannemann, ‘Comparative L</w:t>
      </w:r>
      <w:r>
        <w:rPr>
          <w:lang w:val="en-GB"/>
        </w:rPr>
        <w:t>aw: Study of Similarities or Differences?’, in: M. Reimann &amp; R. Zimmermann</w:t>
      </w:r>
      <w:r w:rsidR="00EB4EDB">
        <w:rPr>
          <w:lang w:val="en-GB"/>
        </w:rPr>
        <w:t xml:space="preserve"> (red.)</w:t>
      </w:r>
      <w:r>
        <w:rPr>
          <w:lang w:val="en-GB"/>
        </w:rPr>
        <w:t>, ‘</w:t>
      </w:r>
      <w:r>
        <w:rPr>
          <w:i/>
          <w:iCs/>
          <w:lang w:val="en-GB"/>
        </w:rPr>
        <w:t>The Oxford Handbook of Comparative Law</w:t>
      </w:r>
      <w:r>
        <w:rPr>
          <w:lang w:val="en-GB"/>
        </w:rPr>
        <w:t>, Oxford (Engeland): Oxford University Press 2006, p. 391 – 422.</w:t>
      </w:r>
    </w:p>
    <w:p w14:paraId="226DCCFD" w14:textId="77777777" w:rsidR="00DA1440" w:rsidRDefault="00DA1440" w:rsidP="00DA1440">
      <w:pPr>
        <w:pStyle w:val="Geenafstand"/>
        <w:rPr>
          <w:lang w:val="en-GB"/>
        </w:rPr>
      </w:pPr>
    </w:p>
    <w:p w14:paraId="695DD8A1" w14:textId="77777777" w:rsidR="00DA1440" w:rsidRPr="00C97936" w:rsidRDefault="00DA1440" w:rsidP="00DA1440">
      <w:pPr>
        <w:pStyle w:val="Voetnoottekst"/>
        <w:jc w:val="both"/>
        <w:rPr>
          <w:b/>
          <w:bCs/>
          <w:sz w:val="22"/>
          <w:szCs w:val="22"/>
        </w:rPr>
      </w:pPr>
      <w:r>
        <w:rPr>
          <w:b/>
          <w:bCs/>
          <w:sz w:val="22"/>
          <w:szCs w:val="22"/>
        </w:rPr>
        <w:t>De Doelder &amp; Smid 2006</w:t>
      </w:r>
    </w:p>
    <w:p w14:paraId="504C86B5" w14:textId="77777777" w:rsidR="00DA1440" w:rsidRDefault="00DA1440" w:rsidP="00DA1440">
      <w:pPr>
        <w:pStyle w:val="Voetnoottekst"/>
        <w:jc w:val="both"/>
        <w:rPr>
          <w:sz w:val="22"/>
          <w:szCs w:val="22"/>
        </w:rPr>
      </w:pPr>
      <w:r w:rsidRPr="00C97936">
        <w:rPr>
          <w:sz w:val="22"/>
          <w:szCs w:val="22"/>
        </w:rPr>
        <w:t xml:space="preserve">H. de Doelder &amp; G. Smid, ‘Het Verdrag van de Verenigde Naties tegen corruptie: waardevol voor Nederland?’, </w:t>
      </w:r>
      <w:r w:rsidRPr="00C97936">
        <w:rPr>
          <w:i/>
          <w:iCs/>
          <w:sz w:val="22"/>
          <w:szCs w:val="22"/>
        </w:rPr>
        <w:t xml:space="preserve">DD </w:t>
      </w:r>
      <w:r w:rsidRPr="00C97936">
        <w:rPr>
          <w:sz w:val="22"/>
          <w:szCs w:val="22"/>
        </w:rPr>
        <w:t>2006/60.</w:t>
      </w:r>
    </w:p>
    <w:p w14:paraId="22D8AF03" w14:textId="77777777" w:rsidR="00DA1440" w:rsidRDefault="00DA1440" w:rsidP="00DA1440">
      <w:pPr>
        <w:pStyle w:val="Voetnoottekst"/>
        <w:jc w:val="both"/>
        <w:rPr>
          <w:sz w:val="22"/>
          <w:szCs w:val="22"/>
        </w:rPr>
      </w:pPr>
    </w:p>
    <w:p w14:paraId="6DBED716" w14:textId="77777777" w:rsidR="00DA1440" w:rsidRPr="001044A1" w:rsidRDefault="00DA1440" w:rsidP="00DA1440">
      <w:pPr>
        <w:pStyle w:val="Geenafstand"/>
        <w:rPr>
          <w:b/>
          <w:bCs/>
        </w:rPr>
      </w:pPr>
      <w:r>
        <w:rPr>
          <w:b/>
          <w:bCs/>
        </w:rPr>
        <w:t>Doornbos 1998</w:t>
      </w:r>
    </w:p>
    <w:p w14:paraId="4D4E4E65" w14:textId="14609F78" w:rsidR="00DA1440" w:rsidRDefault="00DA1440" w:rsidP="00DA1440">
      <w:pPr>
        <w:pStyle w:val="Geenafstand"/>
      </w:pPr>
      <w:r w:rsidRPr="00994834">
        <w:t xml:space="preserve">D.R. Doornbos, </w:t>
      </w:r>
      <w:r>
        <w:t>‘</w:t>
      </w:r>
      <w:r w:rsidRPr="00994834">
        <w:t>Ambtelijke corruptie</w:t>
      </w:r>
      <w:r>
        <w:t>’</w:t>
      </w:r>
      <w:r w:rsidRPr="00994834">
        <w:t xml:space="preserve">, </w:t>
      </w:r>
      <w:r w:rsidRPr="00282ECE">
        <w:rPr>
          <w:i/>
          <w:iCs/>
        </w:rPr>
        <w:t>DD</w:t>
      </w:r>
      <w:r w:rsidRPr="00994834">
        <w:t xml:space="preserve"> 1998, p.</w:t>
      </w:r>
      <w:r>
        <w:t xml:space="preserve"> </w:t>
      </w:r>
      <w:r w:rsidRPr="00994834">
        <w:t>35</w:t>
      </w:r>
      <w:r w:rsidR="006518AD">
        <w:t xml:space="preserve">1 </w:t>
      </w:r>
      <w:r w:rsidR="005B6FC4">
        <w:t>–</w:t>
      </w:r>
      <w:r w:rsidR="006518AD">
        <w:t xml:space="preserve"> 354</w:t>
      </w:r>
      <w:r>
        <w:t>.</w:t>
      </w:r>
    </w:p>
    <w:p w14:paraId="502245A4" w14:textId="77777777" w:rsidR="00DA1440" w:rsidRDefault="00DA1440" w:rsidP="00DA1440">
      <w:pPr>
        <w:pStyle w:val="Geenafstand"/>
      </w:pPr>
    </w:p>
    <w:p w14:paraId="4DD69352" w14:textId="77777777" w:rsidR="00DA1440" w:rsidRPr="001044A1" w:rsidRDefault="00DA1440" w:rsidP="00DA1440">
      <w:pPr>
        <w:pStyle w:val="Geenafstand"/>
        <w:rPr>
          <w:b/>
          <w:bCs/>
          <w:lang w:val="en-GB"/>
        </w:rPr>
      </w:pPr>
      <w:r w:rsidRPr="001044A1">
        <w:rPr>
          <w:b/>
          <w:bCs/>
          <w:lang w:val="en-GB"/>
        </w:rPr>
        <w:t>Downes &amp; Van Swaaningen 2007</w:t>
      </w:r>
    </w:p>
    <w:p w14:paraId="3BDE9C76" w14:textId="77777777" w:rsidR="00DA1440" w:rsidRPr="001044A1" w:rsidRDefault="00DA1440" w:rsidP="00DA1440">
      <w:pPr>
        <w:pStyle w:val="Geenafstand"/>
        <w:rPr>
          <w:lang w:val="en-GB"/>
        </w:rPr>
      </w:pPr>
      <w:r>
        <w:rPr>
          <w:lang w:val="en-GB"/>
        </w:rPr>
        <w:t>D.</w:t>
      </w:r>
      <w:r w:rsidRPr="00F34F59">
        <w:rPr>
          <w:lang w:val="en-GB"/>
        </w:rPr>
        <w:t xml:space="preserve"> Downes &amp; </w:t>
      </w:r>
      <w:r>
        <w:rPr>
          <w:lang w:val="en-GB"/>
        </w:rPr>
        <w:t>R.</w:t>
      </w:r>
      <w:r w:rsidRPr="00F34F59">
        <w:rPr>
          <w:lang w:val="en-GB"/>
        </w:rPr>
        <w:t xml:space="preserve"> van Swaaningen, </w:t>
      </w:r>
      <w:r>
        <w:rPr>
          <w:lang w:val="en-GB"/>
        </w:rPr>
        <w:t>‘</w:t>
      </w:r>
      <w:r w:rsidRPr="00F34F59">
        <w:rPr>
          <w:lang w:val="en-GB"/>
        </w:rPr>
        <w:t>The Road to Dystopia? Changes in the Penal Climate of the Netherlands</w:t>
      </w:r>
      <w:r>
        <w:rPr>
          <w:lang w:val="en-GB"/>
        </w:rPr>
        <w:t>’</w:t>
      </w:r>
      <w:r w:rsidRPr="00F34F59">
        <w:rPr>
          <w:lang w:val="en-GB"/>
        </w:rPr>
        <w:t>, in: M. Tonry &amp; C. Bijleveld (</w:t>
      </w:r>
      <w:r>
        <w:rPr>
          <w:lang w:val="en-GB"/>
        </w:rPr>
        <w:t>red.</w:t>
      </w:r>
      <w:r w:rsidRPr="00F34F59">
        <w:rPr>
          <w:lang w:val="en-GB"/>
        </w:rPr>
        <w:t xml:space="preserve">), </w:t>
      </w:r>
      <w:r w:rsidRPr="001044A1">
        <w:rPr>
          <w:i/>
          <w:iCs/>
          <w:lang w:val="en-GB"/>
        </w:rPr>
        <w:t>Criminal Justice in the Netherlands. Crime and Justice. A Review of Research</w:t>
      </w:r>
      <w:r w:rsidRPr="00F34F59">
        <w:rPr>
          <w:lang w:val="en-GB"/>
        </w:rPr>
        <w:t xml:space="preserve">, </w:t>
      </w:r>
      <w:r w:rsidRPr="009C5515">
        <w:rPr>
          <w:lang w:val="en-GB"/>
        </w:rPr>
        <w:t>Chicago</w:t>
      </w:r>
      <w:r>
        <w:rPr>
          <w:lang w:val="en-GB"/>
        </w:rPr>
        <w:t xml:space="preserve"> (Verenigde Staten)</w:t>
      </w:r>
      <w:r w:rsidRPr="00F34F59">
        <w:rPr>
          <w:lang w:val="en-GB"/>
        </w:rPr>
        <w:t>: The Chicago University Press 2007, p.</w:t>
      </w:r>
      <w:r>
        <w:rPr>
          <w:lang w:val="en-GB"/>
        </w:rPr>
        <w:t xml:space="preserve"> 31 – 71.</w:t>
      </w:r>
    </w:p>
    <w:p w14:paraId="66253561" w14:textId="77777777" w:rsidR="00DA1440" w:rsidRDefault="00DA1440" w:rsidP="00DA1440">
      <w:pPr>
        <w:pStyle w:val="Geenafstand"/>
        <w:rPr>
          <w:lang w:val="en-GB"/>
        </w:rPr>
      </w:pPr>
    </w:p>
    <w:p w14:paraId="3C7DB443" w14:textId="77777777" w:rsidR="00DA1440" w:rsidRDefault="00DA1440" w:rsidP="00DA1440">
      <w:pPr>
        <w:pStyle w:val="Geenafstand"/>
        <w:rPr>
          <w:b/>
          <w:bCs/>
        </w:rPr>
      </w:pPr>
      <w:r>
        <w:rPr>
          <w:b/>
          <w:bCs/>
        </w:rPr>
        <w:t>Van Duyne 1995</w:t>
      </w:r>
    </w:p>
    <w:p w14:paraId="3D794901" w14:textId="187FD8F7" w:rsidR="00DA1440" w:rsidRPr="00933F17" w:rsidRDefault="00DA1440" w:rsidP="00DA1440">
      <w:pPr>
        <w:pStyle w:val="Geenafstand"/>
      </w:pPr>
      <w:r w:rsidRPr="00F95861">
        <w:t>P.C. van Duyne, ‘Machtsmisbruik in politiek en openbaar bestuur,’ in: J.H.J. van den Heuvel e.</w:t>
      </w:r>
      <w:r>
        <w:t>a.</w:t>
      </w:r>
      <w:r w:rsidRPr="00F95861">
        <w:t xml:space="preserve"> (red.), </w:t>
      </w:r>
      <w:r w:rsidRPr="00F95861">
        <w:rPr>
          <w:i/>
          <w:iCs/>
        </w:rPr>
        <w:t>Ethiek in politiek en openbaar bestuur</w:t>
      </w:r>
      <w:r w:rsidRPr="00F95861">
        <w:t xml:space="preserve">, </w:t>
      </w:r>
      <w:r>
        <w:t xml:space="preserve">Utrecht: </w:t>
      </w:r>
      <w:r w:rsidRPr="00F95861">
        <w:t>Lemma</w:t>
      </w:r>
      <w:r>
        <w:t xml:space="preserve"> </w:t>
      </w:r>
      <w:r w:rsidRPr="00F95861">
        <w:t>1995</w:t>
      </w:r>
      <w:r w:rsidR="00E335DB">
        <w:t>, p. 117 – 142</w:t>
      </w:r>
      <w:r>
        <w:t>.</w:t>
      </w:r>
    </w:p>
    <w:p w14:paraId="70F27CF5" w14:textId="77777777" w:rsidR="00DA1440" w:rsidRDefault="00DA1440" w:rsidP="00DA1440">
      <w:pPr>
        <w:pStyle w:val="Geenafstand"/>
      </w:pPr>
    </w:p>
    <w:p w14:paraId="21B0BBCA" w14:textId="77777777" w:rsidR="00DA1440" w:rsidRDefault="00DA1440" w:rsidP="00DA1440">
      <w:pPr>
        <w:pStyle w:val="Geenafstand"/>
        <w:rPr>
          <w:b/>
          <w:bCs/>
        </w:rPr>
      </w:pPr>
      <w:r>
        <w:rPr>
          <w:b/>
          <w:bCs/>
        </w:rPr>
        <w:t>Eijlander 2017</w:t>
      </w:r>
    </w:p>
    <w:p w14:paraId="142106BB" w14:textId="77777777" w:rsidR="00DA1440" w:rsidRDefault="00DA1440" w:rsidP="00DA1440">
      <w:pPr>
        <w:pStyle w:val="Voetnoottekst"/>
        <w:jc w:val="both"/>
        <w:rPr>
          <w:sz w:val="22"/>
          <w:szCs w:val="22"/>
        </w:rPr>
      </w:pPr>
      <w:r w:rsidRPr="007635AA">
        <w:rPr>
          <w:sz w:val="22"/>
          <w:szCs w:val="22"/>
        </w:rPr>
        <w:t xml:space="preserve">P. Eijlander, ‘Wie schrijft de wet (voor)? Over lobbyen in het wetgevingsproces’, </w:t>
      </w:r>
      <w:r w:rsidRPr="007635AA">
        <w:rPr>
          <w:i/>
          <w:iCs/>
          <w:sz w:val="22"/>
          <w:szCs w:val="22"/>
        </w:rPr>
        <w:t xml:space="preserve">NJB </w:t>
      </w:r>
      <w:r w:rsidRPr="007635AA">
        <w:rPr>
          <w:sz w:val="22"/>
          <w:szCs w:val="22"/>
        </w:rPr>
        <w:t>2017/2033.</w:t>
      </w:r>
    </w:p>
    <w:p w14:paraId="520BFF50" w14:textId="77777777" w:rsidR="00DA1440" w:rsidRDefault="00DA1440" w:rsidP="00DA1440">
      <w:pPr>
        <w:pStyle w:val="Voetnoottekst"/>
        <w:jc w:val="both"/>
        <w:rPr>
          <w:sz w:val="22"/>
          <w:szCs w:val="22"/>
        </w:rPr>
      </w:pPr>
    </w:p>
    <w:p w14:paraId="314E6F90" w14:textId="77777777" w:rsidR="00DA1440" w:rsidRPr="00F969D2" w:rsidRDefault="00DA1440" w:rsidP="00DA1440">
      <w:pPr>
        <w:pStyle w:val="Voetnoottekst"/>
        <w:jc w:val="both"/>
        <w:rPr>
          <w:b/>
          <w:bCs/>
          <w:sz w:val="24"/>
          <w:szCs w:val="24"/>
          <w:lang w:val="en-GB"/>
        </w:rPr>
      </w:pPr>
      <w:r w:rsidRPr="00F969D2">
        <w:rPr>
          <w:b/>
          <w:bCs/>
          <w:i/>
          <w:iCs/>
          <w:sz w:val="22"/>
          <w:szCs w:val="22"/>
          <w:lang w:val="en-GB"/>
        </w:rPr>
        <w:t>Eurojust Casework on Corruption: 2016-2021 Insights</w:t>
      </w:r>
      <w:r w:rsidRPr="00F969D2">
        <w:rPr>
          <w:b/>
          <w:bCs/>
          <w:sz w:val="22"/>
          <w:szCs w:val="22"/>
          <w:lang w:val="en-GB"/>
        </w:rPr>
        <w:t xml:space="preserve"> 2022</w:t>
      </w:r>
    </w:p>
    <w:p w14:paraId="291AB670" w14:textId="77777777" w:rsidR="00DA1440" w:rsidRDefault="00DA1440" w:rsidP="00DA1440">
      <w:pPr>
        <w:pStyle w:val="Voetnoottekst"/>
        <w:jc w:val="both"/>
        <w:rPr>
          <w:sz w:val="22"/>
          <w:szCs w:val="22"/>
          <w:lang w:val="en-GB"/>
        </w:rPr>
      </w:pPr>
      <w:r w:rsidRPr="00D963AC">
        <w:rPr>
          <w:i/>
          <w:iCs/>
          <w:sz w:val="22"/>
          <w:szCs w:val="22"/>
          <w:lang w:val="en-GB"/>
        </w:rPr>
        <w:t>Eurojust Casework on Corruption: 2016-2021 Insights</w:t>
      </w:r>
      <w:r w:rsidRPr="00D963AC">
        <w:rPr>
          <w:sz w:val="22"/>
          <w:szCs w:val="22"/>
          <w:lang w:val="en-GB"/>
        </w:rPr>
        <w:t xml:space="preserve"> </w:t>
      </w:r>
      <w:r>
        <w:rPr>
          <w:sz w:val="22"/>
          <w:szCs w:val="22"/>
          <w:lang w:val="en-GB"/>
        </w:rPr>
        <w:t>(rapport Eurojust), 5 mei 2022.</w:t>
      </w:r>
    </w:p>
    <w:p w14:paraId="00D5B956" w14:textId="77777777" w:rsidR="00DA1440" w:rsidRDefault="00DA1440" w:rsidP="00DA1440">
      <w:pPr>
        <w:pStyle w:val="Voetnoottekst"/>
        <w:jc w:val="both"/>
        <w:rPr>
          <w:sz w:val="22"/>
          <w:szCs w:val="22"/>
          <w:lang w:val="en-GB"/>
        </w:rPr>
      </w:pPr>
    </w:p>
    <w:p w14:paraId="2233D922" w14:textId="77777777" w:rsidR="00DA1440" w:rsidRPr="00A26AF2" w:rsidRDefault="00DA1440" w:rsidP="00DA1440">
      <w:pPr>
        <w:pStyle w:val="Voetnoottekst"/>
        <w:jc w:val="both"/>
        <w:rPr>
          <w:b/>
          <w:bCs/>
          <w:sz w:val="24"/>
          <w:szCs w:val="24"/>
          <w:lang w:val="en-GB"/>
        </w:rPr>
      </w:pPr>
      <w:r w:rsidRPr="00A26AF2">
        <w:rPr>
          <w:b/>
          <w:bCs/>
          <w:i/>
          <w:iCs/>
          <w:sz w:val="22"/>
          <w:szCs w:val="22"/>
          <w:lang w:val="en-GB"/>
        </w:rPr>
        <w:t>Explanatory Report to the Criminal Law Convention on Corruption</w:t>
      </w:r>
      <w:r w:rsidRPr="00A26AF2">
        <w:rPr>
          <w:b/>
          <w:bCs/>
          <w:sz w:val="22"/>
          <w:szCs w:val="22"/>
          <w:lang w:val="en-GB"/>
        </w:rPr>
        <w:t xml:space="preserve"> 1999</w:t>
      </w:r>
    </w:p>
    <w:p w14:paraId="3A1DAC5E" w14:textId="77777777" w:rsidR="00DA1440" w:rsidRPr="00C77A06" w:rsidRDefault="00DA1440" w:rsidP="00DA1440">
      <w:pPr>
        <w:pStyle w:val="Voetnoottekst"/>
        <w:jc w:val="both"/>
        <w:rPr>
          <w:sz w:val="24"/>
          <w:szCs w:val="24"/>
          <w:lang w:val="en-GB"/>
        </w:rPr>
      </w:pPr>
      <w:r w:rsidRPr="00850BA2">
        <w:rPr>
          <w:sz w:val="22"/>
          <w:szCs w:val="22"/>
          <w:lang w:val="en-GB"/>
        </w:rPr>
        <w:t xml:space="preserve">Raad van Europa, </w:t>
      </w:r>
      <w:r w:rsidRPr="004D73F6">
        <w:rPr>
          <w:i/>
          <w:iCs/>
          <w:sz w:val="22"/>
          <w:szCs w:val="22"/>
          <w:lang w:val="en-GB"/>
        </w:rPr>
        <w:t>Explanatory Report to the Criminal Law Convention on Corruption</w:t>
      </w:r>
      <w:r>
        <w:rPr>
          <w:i/>
          <w:iCs/>
          <w:sz w:val="22"/>
          <w:szCs w:val="22"/>
          <w:lang w:val="en-GB"/>
        </w:rPr>
        <w:t>.</w:t>
      </w:r>
      <w:r w:rsidRPr="00850BA2">
        <w:rPr>
          <w:sz w:val="22"/>
          <w:szCs w:val="22"/>
          <w:lang w:val="en-GB"/>
        </w:rPr>
        <w:t xml:space="preserve"> </w:t>
      </w:r>
      <w:r w:rsidRPr="00C77A06">
        <w:rPr>
          <w:i/>
          <w:iCs/>
          <w:sz w:val="22"/>
          <w:szCs w:val="22"/>
          <w:lang w:val="en-GB"/>
        </w:rPr>
        <w:t>European Treaty Series</w:t>
      </w:r>
      <w:r w:rsidRPr="00C77A06">
        <w:rPr>
          <w:sz w:val="22"/>
          <w:szCs w:val="22"/>
          <w:lang w:val="en-GB"/>
        </w:rPr>
        <w:t xml:space="preserve"> </w:t>
      </w:r>
      <w:r w:rsidRPr="00C77A06">
        <w:rPr>
          <w:i/>
          <w:iCs/>
          <w:sz w:val="22"/>
          <w:szCs w:val="22"/>
          <w:lang w:val="en-GB"/>
        </w:rPr>
        <w:t>– No. 173</w:t>
      </w:r>
      <w:r w:rsidRPr="00C77A06">
        <w:rPr>
          <w:sz w:val="22"/>
          <w:szCs w:val="22"/>
          <w:lang w:val="en-GB"/>
        </w:rPr>
        <w:t>, Straatsburg (Frankrijk): Raad van Europa 1999.</w:t>
      </w:r>
    </w:p>
    <w:p w14:paraId="1F6A6E46" w14:textId="77777777" w:rsidR="00DA1440" w:rsidRPr="00C77A06" w:rsidRDefault="00DA1440" w:rsidP="00DA1440">
      <w:pPr>
        <w:pStyle w:val="Geenafstand"/>
        <w:rPr>
          <w:lang w:val="en-GB"/>
        </w:rPr>
      </w:pPr>
    </w:p>
    <w:p w14:paraId="51154699" w14:textId="77777777" w:rsidR="00DA1440" w:rsidRPr="00F450F0" w:rsidRDefault="00DA1440" w:rsidP="00DA1440">
      <w:pPr>
        <w:pStyle w:val="Geenafstand"/>
        <w:rPr>
          <w:b/>
          <w:bCs/>
          <w:lang w:val="en-GB"/>
        </w:rPr>
      </w:pPr>
      <w:r w:rsidRPr="00F450F0">
        <w:rPr>
          <w:b/>
          <w:bCs/>
          <w:i/>
          <w:iCs/>
          <w:lang w:val="en-GB"/>
        </w:rPr>
        <w:t xml:space="preserve">Explanatory Report on the Convention on the fight against corruption involving officials of the European Communities or officials of Member States of the European Union </w:t>
      </w:r>
      <w:r w:rsidRPr="00F450F0">
        <w:rPr>
          <w:b/>
          <w:bCs/>
          <w:lang w:val="en-GB"/>
        </w:rPr>
        <w:t>1998</w:t>
      </w:r>
    </w:p>
    <w:p w14:paraId="38424D40" w14:textId="77777777" w:rsidR="00DA1440" w:rsidRPr="00245177" w:rsidRDefault="00DA1440" w:rsidP="00DA1440">
      <w:pPr>
        <w:pStyle w:val="Geenafstand"/>
        <w:rPr>
          <w:lang w:val="en-GB"/>
        </w:rPr>
      </w:pPr>
      <w:r w:rsidRPr="0026612B">
        <w:rPr>
          <w:i/>
          <w:iCs/>
          <w:lang w:val="en-GB"/>
        </w:rPr>
        <w:t>Explanatory Report on the Convention on the fight against corruption involving officials of the European Communities or officials of Member States of the European Union</w:t>
      </w:r>
      <w:r w:rsidRPr="00F450F0">
        <w:rPr>
          <w:lang w:val="en-GB"/>
        </w:rPr>
        <w:t xml:space="preserve"> </w:t>
      </w:r>
      <w:r w:rsidRPr="0026612B">
        <w:rPr>
          <w:i/>
          <w:iCs/>
          <w:lang w:val="en-GB"/>
        </w:rPr>
        <w:t>(Text approved by the Council on 3 December 1998)</w:t>
      </w:r>
      <w:r>
        <w:rPr>
          <w:lang w:val="en-GB"/>
        </w:rPr>
        <w:t xml:space="preserve">, opgenomen in </w:t>
      </w:r>
      <w:r w:rsidRPr="00245177">
        <w:rPr>
          <w:lang w:val="en-GB"/>
        </w:rPr>
        <w:t xml:space="preserve">Official Journal C 391, </w:t>
      </w:r>
      <w:r>
        <w:rPr>
          <w:lang w:val="en-GB"/>
        </w:rPr>
        <w:t>15 december 1998.</w:t>
      </w:r>
    </w:p>
    <w:p w14:paraId="629A58C7" w14:textId="77777777" w:rsidR="00DA1440" w:rsidRDefault="00DA1440" w:rsidP="00DA1440">
      <w:pPr>
        <w:pStyle w:val="Geenafstand"/>
        <w:rPr>
          <w:lang w:val="en-GB"/>
        </w:rPr>
      </w:pPr>
    </w:p>
    <w:p w14:paraId="564CC3E7" w14:textId="77777777" w:rsidR="00DA1440" w:rsidRPr="001044A1" w:rsidRDefault="00DA1440" w:rsidP="00DA1440">
      <w:pPr>
        <w:pStyle w:val="Voetnoottekst"/>
        <w:jc w:val="both"/>
        <w:rPr>
          <w:b/>
          <w:bCs/>
          <w:sz w:val="22"/>
          <w:szCs w:val="22"/>
        </w:rPr>
      </w:pPr>
      <w:r>
        <w:rPr>
          <w:b/>
          <w:bCs/>
          <w:sz w:val="22"/>
          <w:szCs w:val="22"/>
        </w:rPr>
        <w:t>Feenstra &amp; Tollenaar 2017</w:t>
      </w:r>
    </w:p>
    <w:p w14:paraId="5A044730" w14:textId="77777777" w:rsidR="00DA1440" w:rsidRDefault="00DA1440" w:rsidP="00DA1440">
      <w:pPr>
        <w:pStyle w:val="Voetnoottekst"/>
        <w:jc w:val="both"/>
        <w:rPr>
          <w:sz w:val="22"/>
          <w:szCs w:val="22"/>
        </w:rPr>
      </w:pPr>
      <w:r w:rsidRPr="001044A1">
        <w:rPr>
          <w:sz w:val="22"/>
          <w:szCs w:val="22"/>
        </w:rPr>
        <w:t xml:space="preserve">M. Feenstra &amp; A. Tollenaar, ‘Kruisbestuiving tussen straf- en bestuursrecht: de ontwikkeling van de verwijtbaarheid in het bestuursrecht’, </w:t>
      </w:r>
      <w:r w:rsidRPr="001044A1">
        <w:rPr>
          <w:i/>
          <w:iCs/>
          <w:sz w:val="22"/>
          <w:szCs w:val="22"/>
        </w:rPr>
        <w:t xml:space="preserve">NTB </w:t>
      </w:r>
      <w:r w:rsidRPr="001044A1">
        <w:rPr>
          <w:sz w:val="22"/>
          <w:szCs w:val="22"/>
        </w:rPr>
        <w:t>2017/39, afl. 10.</w:t>
      </w:r>
    </w:p>
    <w:p w14:paraId="712BE735" w14:textId="77777777" w:rsidR="00DA1440" w:rsidRDefault="00DA1440" w:rsidP="00DA1440">
      <w:pPr>
        <w:pStyle w:val="Voetnoottekst"/>
        <w:jc w:val="both"/>
        <w:rPr>
          <w:sz w:val="22"/>
          <w:szCs w:val="22"/>
        </w:rPr>
      </w:pPr>
    </w:p>
    <w:p w14:paraId="263FB67D" w14:textId="77777777" w:rsidR="00E212CA" w:rsidRDefault="00E212CA" w:rsidP="00DA1440">
      <w:pPr>
        <w:pStyle w:val="Geenafstand"/>
        <w:rPr>
          <w:b/>
          <w:bCs/>
        </w:rPr>
      </w:pPr>
    </w:p>
    <w:p w14:paraId="3C51D63D" w14:textId="7AB8FFF1" w:rsidR="00DA1440" w:rsidRDefault="00DA1440" w:rsidP="00DA1440">
      <w:pPr>
        <w:pStyle w:val="Geenafstand"/>
        <w:rPr>
          <w:b/>
          <w:bCs/>
        </w:rPr>
      </w:pPr>
      <w:r>
        <w:rPr>
          <w:b/>
          <w:bCs/>
        </w:rPr>
        <w:lastRenderedPageBreak/>
        <w:t>Fraussen &amp; Braun</w:t>
      </w:r>
      <w:r w:rsidR="00CD5E75">
        <w:rPr>
          <w:b/>
          <w:bCs/>
        </w:rPr>
        <w:t xml:space="preserve"> 2018</w:t>
      </w:r>
    </w:p>
    <w:p w14:paraId="2A94B0E9" w14:textId="77777777" w:rsidR="00DA1440" w:rsidRDefault="00DA1440" w:rsidP="00DA1440">
      <w:pPr>
        <w:pStyle w:val="Geenafstand"/>
      </w:pPr>
      <w:r>
        <w:t xml:space="preserve">B. Fraussen &amp; C. Braun, ‘De lobby’ aan banden? Over het ongelijk speelveld en de regulering van belangenvertegenwoordiging’, </w:t>
      </w:r>
      <w:r>
        <w:rPr>
          <w:i/>
          <w:iCs/>
        </w:rPr>
        <w:t>Tijdschrift voor Toezicht</w:t>
      </w:r>
      <w:r>
        <w:t xml:space="preserve"> 2018, afl. 9(4).</w:t>
      </w:r>
    </w:p>
    <w:p w14:paraId="44EE1C00" w14:textId="77777777" w:rsidR="00A332EA" w:rsidRPr="0013426D" w:rsidRDefault="00A332EA" w:rsidP="00DA1440">
      <w:pPr>
        <w:pStyle w:val="Geenafstand"/>
      </w:pPr>
    </w:p>
    <w:p w14:paraId="2553B0D0" w14:textId="77777777" w:rsidR="00DA1440" w:rsidRDefault="00DA1440" w:rsidP="00DA1440">
      <w:pPr>
        <w:pStyle w:val="Geenafstand"/>
        <w:rPr>
          <w:b/>
          <w:bCs/>
          <w:lang w:val="en-GB"/>
        </w:rPr>
      </w:pPr>
      <w:r>
        <w:rPr>
          <w:b/>
          <w:bCs/>
          <w:lang w:val="en-GB"/>
        </w:rPr>
        <w:t>Gaglio e.a. 2022</w:t>
      </w:r>
    </w:p>
    <w:p w14:paraId="16B2F10F" w14:textId="5D48EA9D" w:rsidR="00DA1440" w:rsidRDefault="00DA1440" w:rsidP="00DA1440">
      <w:pPr>
        <w:pStyle w:val="Geenafstand"/>
        <w:rPr>
          <w:lang w:val="en-GB"/>
        </w:rPr>
      </w:pPr>
      <w:r>
        <w:rPr>
          <w:lang w:val="en-GB"/>
        </w:rPr>
        <w:t xml:space="preserve">Gaglio e.a., </w:t>
      </w:r>
      <w:r w:rsidRPr="00314B8B">
        <w:rPr>
          <w:i/>
          <w:iCs/>
          <w:lang w:val="en-GB"/>
        </w:rPr>
        <w:t xml:space="preserve">Strengthening the fight against corruption. </w:t>
      </w:r>
      <w:r w:rsidRPr="002A4DFD">
        <w:rPr>
          <w:i/>
          <w:iCs/>
          <w:lang w:val="en-GB"/>
        </w:rPr>
        <w:t>Assessing the EU legislative and policy framework</w:t>
      </w:r>
      <w:r>
        <w:rPr>
          <w:i/>
          <w:iCs/>
          <w:lang w:val="en-GB"/>
        </w:rPr>
        <w:t>.</w:t>
      </w:r>
      <w:r w:rsidRPr="002A4DFD">
        <w:rPr>
          <w:i/>
          <w:iCs/>
          <w:lang w:val="en-GB"/>
        </w:rPr>
        <w:t xml:space="preserve"> </w:t>
      </w:r>
      <w:r>
        <w:rPr>
          <w:i/>
          <w:iCs/>
          <w:lang w:val="en-GB"/>
        </w:rPr>
        <w:t>F</w:t>
      </w:r>
      <w:r w:rsidRPr="002A4DFD">
        <w:rPr>
          <w:i/>
          <w:iCs/>
          <w:lang w:val="en-GB"/>
        </w:rPr>
        <w:t>inal report for acceptance</w:t>
      </w:r>
      <w:r w:rsidRPr="002A4DFD">
        <w:rPr>
          <w:lang w:val="en-GB"/>
        </w:rPr>
        <w:t xml:space="preserve"> </w:t>
      </w:r>
      <w:r>
        <w:rPr>
          <w:lang w:val="en-GB"/>
        </w:rPr>
        <w:t>Publications Office of the European Union 2022</w:t>
      </w:r>
      <w:r w:rsidRPr="002A4DFD">
        <w:rPr>
          <w:lang w:val="en-GB"/>
        </w:rPr>
        <w:t>.</w:t>
      </w:r>
    </w:p>
    <w:p w14:paraId="69D68997" w14:textId="77777777" w:rsidR="00DA1440" w:rsidRPr="001044A1" w:rsidRDefault="00DA1440" w:rsidP="00DA1440">
      <w:pPr>
        <w:pStyle w:val="Geenafstand"/>
        <w:rPr>
          <w:lang w:val="en-GB"/>
        </w:rPr>
      </w:pPr>
    </w:p>
    <w:p w14:paraId="66694816" w14:textId="7E76CD6D" w:rsidR="00DA1440" w:rsidRDefault="00DA1440" w:rsidP="00DA1440">
      <w:pPr>
        <w:pStyle w:val="Voetnoottekst"/>
        <w:jc w:val="both"/>
        <w:rPr>
          <w:b/>
          <w:bCs/>
          <w:sz w:val="22"/>
          <w:szCs w:val="22"/>
        </w:rPr>
      </w:pPr>
      <w:r>
        <w:rPr>
          <w:b/>
          <w:bCs/>
          <w:sz w:val="22"/>
          <w:szCs w:val="22"/>
        </w:rPr>
        <w:t>García Hermida-van der Walle</w:t>
      </w:r>
      <w:r w:rsidR="00CB3527">
        <w:rPr>
          <w:b/>
          <w:bCs/>
          <w:sz w:val="22"/>
          <w:szCs w:val="22"/>
        </w:rPr>
        <w:t xml:space="preserve"> 2025</w:t>
      </w:r>
    </w:p>
    <w:p w14:paraId="6FFF52D9" w14:textId="77777777" w:rsidR="00DA1440" w:rsidRDefault="00DA1440" w:rsidP="00DA1440">
      <w:pPr>
        <w:pStyle w:val="Voetnoottekst"/>
        <w:jc w:val="both"/>
        <w:rPr>
          <w:sz w:val="22"/>
          <w:szCs w:val="22"/>
        </w:rPr>
      </w:pPr>
      <w:r w:rsidRPr="00563949">
        <w:rPr>
          <w:sz w:val="22"/>
          <w:szCs w:val="22"/>
        </w:rPr>
        <w:t>R. García Hermida-van der Walle, ‘Europese doorbraak tegen corruptie: voorlopig akkoord op tafel’, d66.nl</w:t>
      </w:r>
      <w:r>
        <w:rPr>
          <w:sz w:val="22"/>
          <w:szCs w:val="22"/>
        </w:rPr>
        <w:t>,</w:t>
      </w:r>
      <w:r w:rsidRPr="00563949">
        <w:rPr>
          <w:sz w:val="22"/>
          <w:szCs w:val="22"/>
        </w:rPr>
        <w:t xml:space="preserve"> 2 december 2025.</w:t>
      </w:r>
    </w:p>
    <w:p w14:paraId="311A4D63" w14:textId="77777777" w:rsidR="00DA1440" w:rsidRDefault="00DA1440" w:rsidP="00DA1440">
      <w:pPr>
        <w:pStyle w:val="Voetnoottekst"/>
        <w:jc w:val="both"/>
        <w:rPr>
          <w:sz w:val="22"/>
          <w:szCs w:val="22"/>
        </w:rPr>
      </w:pPr>
    </w:p>
    <w:p w14:paraId="5917A0DC" w14:textId="77777777" w:rsidR="00DA1440" w:rsidRPr="00236AEA" w:rsidRDefault="00DA1440" w:rsidP="00DA1440">
      <w:pPr>
        <w:pStyle w:val="Geenafstand"/>
        <w:rPr>
          <w:b/>
          <w:bCs/>
        </w:rPr>
      </w:pPr>
      <w:r>
        <w:rPr>
          <w:b/>
          <w:bCs/>
        </w:rPr>
        <w:t>Groenhuijsen &amp; Ouwerkerk 2013</w:t>
      </w:r>
    </w:p>
    <w:p w14:paraId="7A830637" w14:textId="77777777" w:rsidR="00DA1440" w:rsidRDefault="00DA1440" w:rsidP="00DA1440">
      <w:pPr>
        <w:pStyle w:val="Geenafstand"/>
        <w:rPr>
          <w:b/>
          <w:bCs/>
        </w:rPr>
      </w:pPr>
      <w:r>
        <w:t xml:space="preserve">M. Groenhuijsen &amp; J. Ouwerkerk, ‘Ultima ratio en criteria voor strafbaarstelling in Europees perspectief’, in: M. Groenhuijsen e.a. (red.), </w:t>
      </w:r>
      <w:r>
        <w:rPr>
          <w:i/>
          <w:iCs/>
        </w:rPr>
        <w:t>Roosachtig strafrecht. Liber amicorum Theo de Roos</w:t>
      </w:r>
      <w:r>
        <w:t>, Deventer: Wolters Kluwer 2013, p. 249 – 279.</w:t>
      </w:r>
    </w:p>
    <w:p w14:paraId="0F925436" w14:textId="77777777" w:rsidR="00DA1440" w:rsidRDefault="00DA1440" w:rsidP="00DA1440">
      <w:pPr>
        <w:pStyle w:val="Geenafstand"/>
        <w:rPr>
          <w:b/>
          <w:bCs/>
        </w:rPr>
      </w:pPr>
    </w:p>
    <w:p w14:paraId="7BB54234" w14:textId="77777777" w:rsidR="00DA1440" w:rsidRPr="001044A1" w:rsidRDefault="00DA1440" w:rsidP="00DA1440">
      <w:pPr>
        <w:pStyle w:val="Geenafstand"/>
        <w:rPr>
          <w:b/>
          <w:bCs/>
        </w:rPr>
      </w:pPr>
      <w:r>
        <w:rPr>
          <w:b/>
          <w:bCs/>
        </w:rPr>
        <w:t>De Groot &amp; Leupen 2025</w:t>
      </w:r>
    </w:p>
    <w:p w14:paraId="73B9B3A2" w14:textId="77777777" w:rsidR="00DA1440" w:rsidRDefault="00DA1440" w:rsidP="00DA1440">
      <w:pPr>
        <w:pStyle w:val="Geenafstand"/>
      </w:pPr>
      <w:r>
        <w:t xml:space="preserve">G. de Groot &amp; J. Leupen, ‘OM waarschuwt: omkoping valt nauwelijks te bewijzen’, </w:t>
      </w:r>
      <w:r>
        <w:rPr>
          <w:i/>
          <w:iCs/>
        </w:rPr>
        <w:t xml:space="preserve">Het Financieele Dagblad </w:t>
      </w:r>
      <w:r>
        <w:t xml:space="preserve">3 februari 2025. </w:t>
      </w:r>
    </w:p>
    <w:p w14:paraId="362D39AD" w14:textId="77777777" w:rsidR="00DA1440" w:rsidRDefault="00DA1440" w:rsidP="00DA1440">
      <w:pPr>
        <w:pStyle w:val="Geenafstand"/>
      </w:pPr>
    </w:p>
    <w:p w14:paraId="000A6403" w14:textId="77777777" w:rsidR="00DA1440" w:rsidRPr="008512DE" w:rsidRDefault="00DA1440" w:rsidP="00DA1440">
      <w:pPr>
        <w:pStyle w:val="Voetnoottekst"/>
        <w:rPr>
          <w:b/>
          <w:bCs/>
          <w:sz w:val="22"/>
          <w:szCs w:val="22"/>
          <w:lang w:val="en-GB"/>
        </w:rPr>
      </w:pPr>
      <w:r w:rsidRPr="008512DE">
        <w:rPr>
          <w:b/>
          <w:bCs/>
          <w:sz w:val="22"/>
          <w:szCs w:val="22"/>
          <w:lang w:val="en-GB"/>
        </w:rPr>
        <w:t>Haenen 2014</w:t>
      </w:r>
    </w:p>
    <w:p w14:paraId="29AB897A" w14:textId="77777777" w:rsidR="00DA1440" w:rsidRPr="001044A1" w:rsidRDefault="00DA1440" w:rsidP="00DA1440">
      <w:pPr>
        <w:pStyle w:val="Voetnoottekst"/>
        <w:jc w:val="both"/>
        <w:rPr>
          <w:i/>
          <w:iCs/>
          <w:sz w:val="22"/>
          <w:szCs w:val="22"/>
        </w:rPr>
      </w:pPr>
      <w:r w:rsidRPr="001044A1">
        <w:rPr>
          <w:sz w:val="22"/>
          <w:szCs w:val="22"/>
          <w:lang w:val="en-GB"/>
        </w:rPr>
        <w:t xml:space="preserve">I.E.M.M. Haenen, </w:t>
      </w:r>
      <w:r w:rsidRPr="001044A1">
        <w:rPr>
          <w:i/>
          <w:iCs/>
          <w:sz w:val="22"/>
          <w:szCs w:val="22"/>
          <w:lang w:val="en-GB"/>
        </w:rPr>
        <w:t xml:space="preserve">Force &amp; Marriage </w:t>
      </w:r>
      <w:r w:rsidRPr="001044A1">
        <w:rPr>
          <w:sz w:val="22"/>
          <w:szCs w:val="22"/>
          <w:lang w:val="en-GB"/>
        </w:rPr>
        <w:t xml:space="preserve">(diss. </w:t>
      </w:r>
      <w:r w:rsidRPr="001044A1">
        <w:rPr>
          <w:sz w:val="22"/>
          <w:szCs w:val="22"/>
        </w:rPr>
        <w:t>Tilburg), Cambridge</w:t>
      </w:r>
      <w:r>
        <w:rPr>
          <w:sz w:val="22"/>
          <w:szCs w:val="22"/>
        </w:rPr>
        <w:t xml:space="preserve"> (Engeland)</w:t>
      </w:r>
      <w:r w:rsidRPr="001044A1">
        <w:rPr>
          <w:sz w:val="22"/>
          <w:szCs w:val="22"/>
        </w:rPr>
        <w:t>: Intersentia 2014.</w:t>
      </w:r>
    </w:p>
    <w:p w14:paraId="34C5E49D" w14:textId="77777777" w:rsidR="00DA1440" w:rsidRDefault="00DA1440" w:rsidP="00DA1440">
      <w:pPr>
        <w:pStyle w:val="Voetnoottekst"/>
      </w:pPr>
    </w:p>
    <w:p w14:paraId="26E0339A" w14:textId="77777777" w:rsidR="00DA1440" w:rsidRPr="001044A1" w:rsidRDefault="00DA1440" w:rsidP="00DA1440">
      <w:pPr>
        <w:pStyle w:val="Voetnoottekst"/>
        <w:rPr>
          <w:b/>
          <w:bCs/>
          <w:sz w:val="22"/>
          <w:szCs w:val="22"/>
        </w:rPr>
      </w:pPr>
      <w:r w:rsidRPr="001044A1">
        <w:rPr>
          <w:b/>
          <w:bCs/>
          <w:sz w:val="22"/>
          <w:szCs w:val="22"/>
        </w:rPr>
        <w:t>Haveman 1998</w:t>
      </w:r>
    </w:p>
    <w:p w14:paraId="02286940" w14:textId="77777777" w:rsidR="00DA1440" w:rsidRPr="001044A1" w:rsidRDefault="00DA1440" w:rsidP="00DA1440">
      <w:pPr>
        <w:pStyle w:val="Voetnoottekst"/>
        <w:rPr>
          <w:sz w:val="22"/>
          <w:szCs w:val="22"/>
        </w:rPr>
      </w:pPr>
      <w:r w:rsidRPr="001044A1">
        <w:rPr>
          <w:sz w:val="22"/>
          <w:szCs w:val="22"/>
        </w:rPr>
        <w:t>R.</w:t>
      </w:r>
      <w:r>
        <w:rPr>
          <w:sz w:val="22"/>
          <w:szCs w:val="22"/>
        </w:rPr>
        <w:t>H.</w:t>
      </w:r>
      <w:r w:rsidRPr="001044A1">
        <w:rPr>
          <w:sz w:val="22"/>
          <w:szCs w:val="22"/>
        </w:rPr>
        <w:t xml:space="preserve"> Haveman, </w:t>
      </w:r>
      <w:r w:rsidRPr="00CD463B">
        <w:rPr>
          <w:i/>
          <w:iCs/>
          <w:sz w:val="22"/>
          <w:szCs w:val="22"/>
        </w:rPr>
        <w:t>Voorwaarden voor strafbaarstelling voor vrouwenhandel</w:t>
      </w:r>
      <w:r w:rsidRPr="001044A1">
        <w:rPr>
          <w:sz w:val="22"/>
          <w:szCs w:val="22"/>
        </w:rPr>
        <w:t xml:space="preserve"> (diss. Utrecht), Deventer: Gouda Quint 1998.</w:t>
      </w:r>
    </w:p>
    <w:p w14:paraId="635A689B" w14:textId="77777777" w:rsidR="00DA1440" w:rsidRDefault="00DA1440" w:rsidP="00DA1440">
      <w:pPr>
        <w:pStyle w:val="Voetnoottekst"/>
      </w:pPr>
    </w:p>
    <w:p w14:paraId="1E6BF088" w14:textId="77777777" w:rsidR="00DA1440" w:rsidRDefault="00DA1440" w:rsidP="00DA1440">
      <w:pPr>
        <w:pStyle w:val="Geenafstand"/>
        <w:rPr>
          <w:b/>
          <w:bCs/>
        </w:rPr>
      </w:pPr>
      <w:r>
        <w:rPr>
          <w:b/>
          <w:bCs/>
        </w:rPr>
        <w:t>Hoekstra &amp; Kakebeeke 2026</w:t>
      </w:r>
    </w:p>
    <w:p w14:paraId="2DF7634E" w14:textId="77777777" w:rsidR="00DA1440" w:rsidRDefault="00DA1440" w:rsidP="00DA1440">
      <w:pPr>
        <w:pStyle w:val="Geenafstand"/>
      </w:pPr>
      <w:r>
        <w:t xml:space="preserve">E. Hoekstra &amp; P. Kakebeeke, ‘Corruptie in de wereld neemt steeds verder toe’, </w:t>
      </w:r>
      <w:r>
        <w:rPr>
          <w:i/>
          <w:iCs/>
        </w:rPr>
        <w:t xml:space="preserve">Het Financieele Dagblad </w:t>
      </w:r>
      <w:r>
        <w:t>10 februari 2026.</w:t>
      </w:r>
    </w:p>
    <w:p w14:paraId="06A96F45" w14:textId="77777777" w:rsidR="00DA1440" w:rsidRDefault="00DA1440" w:rsidP="00DA1440">
      <w:pPr>
        <w:pStyle w:val="Geenafstand"/>
      </w:pPr>
    </w:p>
    <w:p w14:paraId="2D1E6BEE" w14:textId="77777777" w:rsidR="00DA1440" w:rsidRDefault="00DA1440" w:rsidP="00DA1440">
      <w:pPr>
        <w:pStyle w:val="Geenafstand"/>
        <w:rPr>
          <w:b/>
          <w:bCs/>
        </w:rPr>
      </w:pPr>
      <w:r>
        <w:rPr>
          <w:b/>
          <w:bCs/>
        </w:rPr>
        <w:t>Hoff &amp; Schelhaas 2024</w:t>
      </w:r>
    </w:p>
    <w:p w14:paraId="031F5657" w14:textId="77777777" w:rsidR="00DA1440" w:rsidRPr="001044A1" w:rsidRDefault="00DA1440" w:rsidP="00DA1440">
      <w:pPr>
        <w:pStyle w:val="Voetnoottekst"/>
        <w:jc w:val="both"/>
        <w:rPr>
          <w:sz w:val="22"/>
          <w:szCs w:val="22"/>
        </w:rPr>
      </w:pPr>
      <w:r w:rsidRPr="001044A1">
        <w:rPr>
          <w:sz w:val="22"/>
          <w:szCs w:val="22"/>
        </w:rPr>
        <w:t xml:space="preserve">R.J. Hoff &amp; D.D. Schelhaas, ‘De bestrijding van corruptie: een Europese prioriteit’, </w:t>
      </w:r>
      <w:r w:rsidRPr="001044A1">
        <w:rPr>
          <w:i/>
          <w:iCs/>
          <w:sz w:val="22"/>
          <w:szCs w:val="22"/>
        </w:rPr>
        <w:t xml:space="preserve">TvSO </w:t>
      </w:r>
      <w:r w:rsidRPr="001044A1">
        <w:rPr>
          <w:sz w:val="22"/>
          <w:szCs w:val="22"/>
        </w:rPr>
        <w:t>2024, nr. 4/5.</w:t>
      </w:r>
    </w:p>
    <w:p w14:paraId="64400904" w14:textId="77777777" w:rsidR="00DA1440" w:rsidRDefault="00DA1440" w:rsidP="00DA1440">
      <w:pPr>
        <w:pStyle w:val="Geenafstand"/>
      </w:pPr>
    </w:p>
    <w:p w14:paraId="07A6CE41" w14:textId="77777777" w:rsidR="00DA1440" w:rsidRPr="00C77A06" w:rsidRDefault="00DA1440" w:rsidP="00DA1440">
      <w:pPr>
        <w:pStyle w:val="Geenafstand"/>
        <w:rPr>
          <w:b/>
          <w:bCs/>
        </w:rPr>
      </w:pPr>
      <w:r w:rsidRPr="00C77A06">
        <w:rPr>
          <w:b/>
          <w:bCs/>
        </w:rPr>
        <w:t>Holmquist &amp; Liljemark Ragnar 2024</w:t>
      </w:r>
    </w:p>
    <w:p w14:paraId="25433808" w14:textId="77777777" w:rsidR="00DA1440" w:rsidRPr="00403CBF" w:rsidRDefault="00DA1440" w:rsidP="00DA1440">
      <w:pPr>
        <w:pStyle w:val="Geenafstand"/>
      </w:pPr>
      <w:r w:rsidRPr="00403CBF">
        <w:t xml:space="preserve">R. Holmquist &amp; O. Liljemark Ragnar, </w:t>
      </w:r>
      <w:r w:rsidRPr="00403CBF">
        <w:rPr>
          <w:i/>
          <w:iCs/>
        </w:rPr>
        <w:t>Brotten i näringsverksamhet</w:t>
      </w:r>
      <w:r>
        <w:t xml:space="preserve">, Stockholm (Zweden): </w:t>
      </w:r>
      <w:r w:rsidRPr="00A232F6">
        <w:t>Norstedts Juridik</w:t>
      </w:r>
      <w:r>
        <w:t xml:space="preserve"> 2024.</w:t>
      </w:r>
    </w:p>
    <w:p w14:paraId="1EC94906" w14:textId="77777777" w:rsidR="00DA1440" w:rsidRPr="00403CBF" w:rsidRDefault="00DA1440" w:rsidP="00DA1440">
      <w:pPr>
        <w:pStyle w:val="Geenafstand"/>
      </w:pPr>
    </w:p>
    <w:p w14:paraId="2B0334E9" w14:textId="77777777" w:rsidR="00DA1440" w:rsidRPr="00DB1E88" w:rsidRDefault="00DA1440" w:rsidP="00DA1440">
      <w:pPr>
        <w:pStyle w:val="Geenafstand"/>
        <w:rPr>
          <w:b/>
          <w:bCs/>
          <w:lang w:val="en-GB"/>
        </w:rPr>
      </w:pPr>
      <w:r w:rsidRPr="00DB1E88">
        <w:rPr>
          <w:b/>
          <w:bCs/>
          <w:lang w:val="en-GB"/>
        </w:rPr>
        <w:t>Hoxhaj 2025</w:t>
      </w:r>
    </w:p>
    <w:p w14:paraId="35119E4B" w14:textId="77777777" w:rsidR="00DA1440" w:rsidRPr="00BB5A09" w:rsidRDefault="00DA1440" w:rsidP="00DA1440">
      <w:pPr>
        <w:pStyle w:val="Voetnoottekst"/>
        <w:jc w:val="both"/>
        <w:rPr>
          <w:sz w:val="22"/>
          <w:szCs w:val="22"/>
          <w:lang w:val="en-GB"/>
        </w:rPr>
      </w:pPr>
      <w:r w:rsidRPr="00BB5A09">
        <w:rPr>
          <w:sz w:val="22"/>
          <w:szCs w:val="22"/>
          <w:lang w:val="en-GB"/>
        </w:rPr>
        <w:t xml:space="preserve">A. Hoxhaj, ‘EU anti-corruption directive stands on a knife’s edge’, </w:t>
      </w:r>
      <w:r w:rsidRPr="00BB5A09">
        <w:rPr>
          <w:i/>
          <w:iCs/>
          <w:sz w:val="22"/>
          <w:szCs w:val="22"/>
          <w:lang w:val="en-GB"/>
        </w:rPr>
        <w:t xml:space="preserve">Politico </w:t>
      </w:r>
      <w:r w:rsidRPr="00BB5A09">
        <w:rPr>
          <w:sz w:val="22"/>
          <w:szCs w:val="22"/>
          <w:lang w:val="en-GB"/>
        </w:rPr>
        <w:t>17 juli 2025.</w:t>
      </w:r>
    </w:p>
    <w:p w14:paraId="7FF2804E" w14:textId="77777777" w:rsidR="00DA1440" w:rsidRPr="00BB5A09" w:rsidRDefault="00DA1440" w:rsidP="00DA1440">
      <w:pPr>
        <w:pStyle w:val="Geenafstand"/>
        <w:rPr>
          <w:lang w:val="en-GB"/>
        </w:rPr>
      </w:pPr>
    </w:p>
    <w:p w14:paraId="1531211B" w14:textId="77777777" w:rsidR="00DA1440" w:rsidRPr="001044A1" w:rsidRDefault="00DA1440" w:rsidP="00DA1440">
      <w:pPr>
        <w:pStyle w:val="Geenafstand"/>
        <w:rPr>
          <w:b/>
          <w:bCs/>
        </w:rPr>
      </w:pPr>
      <w:r>
        <w:rPr>
          <w:b/>
          <w:bCs/>
        </w:rPr>
        <w:t>Huberts 1992</w:t>
      </w:r>
    </w:p>
    <w:p w14:paraId="18CFCA86" w14:textId="77777777" w:rsidR="00DA1440" w:rsidRDefault="00DA1440" w:rsidP="00DA1440">
      <w:pPr>
        <w:pStyle w:val="Geenafstand"/>
      </w:pPr>
      <w:r>
        <w:t xml:space="preserve">L.W.J.C. Huberts, ‘Bestuurlijke criminaliteit: een inleiding’, in: L.W.J.C. Huberts (red.), </w:t>
      </w:r>
      <w:r>
        <w:rPr>
          <w:i/>
          <w:iCs/>
        </w:rPr>
        <w:t>Bestuurlijke corruptie en fraude in Nederland</w:t>
      </w:r>
      <w:r>
        <w:t>, Arnhem: Gouda Quint 1992</w:t>
      </w:r>
      <w:r w:rsidRPr="00D8565A">
        <w:t xml:space="preserve">, p. </w:t>
      </w:r>
      <w:r>
        <w:t>1 – 34.</w:t>
      </w:r>
    </w:p>
    <w:p w14:paraId="7699359E" w14:textId="77777777" w:rsidR="00DA1440" w:rsidRPr="00F608F6" w:rsidRDefault="00DA1440" w:rsidP="00DA1440">
      <w:pPr>
        <w:pStyle w:val="Geenafstand"/>
        <w:rPr>
          <w:b/>
          <w:bCs/>
        </w:rPr>
      </w:pPr>
    </w:p>
    <w:p w14:paraId="6EAADE6A" w14:textId="77777777" w:rsidR="00DA1440" w:rsidRDefault="00DA1440" w:rsidP="00DA1440">
      <w:pPr>
        <w:pStyle w:val="Geenafstand"/>
        <w:rPr>
          <w:b/>
          <w:bCs/>
        </w:rPr>
      </w:pPr>
      <w:r>
        <w:rPr>
          <w:b/>
          <w:bCs/>
        </w:rPr>
        <w:t>De Hullu &amp; Van Kempen 2024</w:t>
      </w:r>
    </w:p>
    <w:p w14:paraId="2C2377A1" w14:textId="77777777" w:rsidR="00DA1440" w:rsidRPr="005516BC" w:rsidRDefault="00DA1440" w:rsidP="00DA1440">
      <w:pPr>
        <w:pStyle w:val="Geenafstand"/>
      </w:pPr>
      <w:r>
        <w:t xml:space="preserve">J. de Hullu &amp; P.H.P.H.M.C. van Kempen, </w:t>
      </w:r>
      <w:r>
        <w:rPr>
          <w:i/>
          <w:iCs/>
        </w:rPr>
        <w:t>Materieel strafrecht. Over algemene leerstukken van strafrechtelijke aansprakelijkheid naar Nederlands recht</w:t>
      </w:r>
      <w:r>
        <w:t>, Deventer: Wolters Kluwer 2024.</w:t>
      </w:r>
    </w:p>
    <w:p w14:paraId="67B11D59" w14:textId="77777777" w:rsidR="00DA1440" w:rsidRDefault="00DA1440" w:rsidP="00DA1440">
      <w:pPr>
        <w:pStyle w:val="Geenafstand"/>
      </w:pPr>
    </w:p>
    <w:p w14:paraId="10BFD293" w14:textId="77777777" w:rsidR="00DA1440" w:rsidRDefault="00DA1440" w:rsidP="00DA1440">
      <w:pPr>
        <w:pStyle w:val="Geenafstand"/>
        <w:rPr>
          <w:b/>
          <w:bCs/>
        </w:rPr>
      </w:pPr>
      <w:r>
        <w:rPr>
          <w:b/>
          <w:bCs/>
        </w:rPr>
        <w:t>Hulsman 1972</w:t>
      </w:r>
    </w:p>
    <w:p w14:paraId="29FE12D1" w14:textId="77777777" w:rsidR="00DA1440" w:rsidRDefault="00DA1440" w:rsidP="00DA1440">
      <w:pPr>
        <w:pStyle w:val="Geenafstand"/>
      </w:pPr>
      <w:r>
        <w:t xml:space="preserve">L.H.C. Hulsman, ‘Kriteria voor strafbaarstelling’, in: E.A. de la Porte e.a. (red.), </w:t>
      </w:r>
      <w:r>
        <w:rPr>
          <w:i/>
          <w:iCs/>
        </w:rPr>
        <w:t>Strafrecht terecht?</w:t>
      </w:r>
      <w:r>
        <w:t>, Baarn: In den Toren 1972, p. 80 – 92.</w:t>
      </w:r>
    </w:p>
    <w:p w14:paraId="1324A55C" w14:textId="77777777" w:rsidR="00DA1440" w:rsidRDefault="00DA1440" w:rsidP="00DA1440">
      <w:pPr>
        <w:pStyle w:val="Geenafstand"/>
      </w:pPr>
    </w:p>
    <w:p w14:paraId="00877622" w14:textId="77777777" w:rsidR="00E212CA" w:rsidRDefault="00E212CA" w:rsidP="00DA1440">
      <w:pPr>
        <w:pStyle w:val="Geenafstand"/>
        <w:rPr>
          <w:b/>
          <w:bCs/>
          <w:i/>
          <w:iCs/>
        </w:rPr>
      </w:pPr>
    </w:p>
    <w:p w14:paraId="7FE86E32" w14:textId="67CBAF85" w:rsidR="00DA1440" w:rsidRDefault="00DA1440" w:rsidP="00DA1440">
      <w:pPr>
        <w:pStyle w:val="Geenafstand"/>
        <w:rPr>
          <w:b/>
          <w:bCs/>
        </w:rPr>
      </w:pPr>
      <w:r w:rsidRPr="00F4425B">
        <w:rPr>
          <w:b/>
          <w:bCs/>
          <w:i/>
          <w:iCs/>
        </w:rPr>
        <w:lastRenderedPageBreak/>
        <w:t xml:space="preserve">Is de Nederlandse overheid bestand tegen corruptie? </w:t>
      </w:r>
      <w:r w:rsidRPr="00F4425B">
        <w:rPr>
          <w:b/>
          <w:bCs/>
        </w:rPr>
        <w:t>2024</w:t>
      </w:r>
    </w:p>
    <w:p w14:paraId="12294C2D" w14:textId="33437A18" w:rsidR="00DA1440" w:rsidRPr="00F608F6" w:rsidRDefault="00DA1440" w:rsidP="00DA1440">
      <w:pPr>
        <w:pStyle w:val="Geenafstand"/>
        <w:rPr>
          <w:lang w:val="en-GB"/>
        </w:rPr>
      </w:pPr>
      <w:r>
        <w:rPr>
          <w:i/>
          <w:iCs/>
        </w:rPr>
        <w:t xml:space="preserve">Is de Nederlandse overheid bestand tegen corruptie? </w:t>
      </w:r>
      <w:r w:rsidRPr="0029317D">
        <w:rPr>
          <w:i/>
          <w:iCs/>
        </w:rPr>
        <w:t>De naïviteit voorbij: “Wat je niet wilt zien, blijft voor je verborgen</w:t>
      </w:r>
      <w:r>
        <w:rPr>
          <w:i/>
          <w:iCs/>
        </w:rPr>
        <w:t>.</w:t>
      </w:r>
      <w:r w:rsidRPr="0029317D">
        <w:rPr>
          <w:i/>
          <w:iCs/>
        </w:rPr>
        <w:t>”</w:t>
      </w:r>
      <w:r>
        <w:rPr>
          <w:i/>
          <w:iCs/>
        </w:rPr>
        <w:t xml:space="preserve"> </w:t>
      </w:r>
      <w:r w:rsidRPr="00F608F6">
        <w:rPr>
          <w:lang w:val="en-GB"/>
        </w:rPr>
        <w:t>2024.</w:t>
      </w:r>
    </w:p>
    <w:p w14:paraId="555C11A5" w14:textId="77777777" w:rsidR="00DA1440" w:rsidRDefault="00DA1440" w:rsidP="00DA1440">
      <w:pPr>
        <w:pStyle w:val="Geenafstand"/>
        <w:rPr>
          <w:b/>
          <w:bCs/>
          <w:lang w:val="en-GB"/>
        </w:rPr>
      </w:pPr>
    </w:p>
    <w:p w14:paraId="481DC2BA" w14:textId="77777777" w:rsidR="00DA1440" w:rsidRPr="00352FBE" w:rsidRDefault="00DA1440" w:rsidP="00DA1440">
      <w:pPr>
        <w:pStyle w:val="Geenafstand"/>
        <w:rPr>
          <w:b/>
          <w:bCs/>
          <w:lang w:val="en-GB"/>
        </w:rPr>
      </w:pPr>
      <w:r w:rsidRPr="00352FBE">
        <w:rPr>
          <w:b/>
          <w:bCs/>
          <w:lang w:val="en-GB"/>
        </w:rPr>
        <w:t>Kergueno 2024</w:t>
      </w:r>
    </w:p>
    <w:p w14:paraId="38C446F7" w14:textId="71817FED" w:rsidR="00DA1440" w:rsidRPr="00016761" w:rsidRDefault="00DA1440" w:rsidP="00DA1440">
      <w:pPr>
        <w:pStyle w:val="Geenafstand"/>
        <w:rPr>
          <w:lang w:val="en-GB"/>
        </w:rPr>
      </w:pPr>
      <w:r>
        <w:rPr>
          <w:lang w:val="en-GB"/>
        </w:rPr>
        <w:t xml:space="preserve">R. Kergueno, </w:t>
      </w:r>
      <w:r w:rsidRPr="008E4E70">
        <w:rPr>
          <w:i/>
          <w:iCs/>
          <w:lang w:val="en-GB"/>
        </w:rPr>
        <w:t>Lobby transparency across the E</w:t>
      </w:r>
      <w:r>
        <w:rPr>
          <w:i/>
          <w:iCs/>
          <w:lang w:val="en-GB"/>
        </w:rPr>
        <w:t>U</w:t>
      </w:r>
      <w:r>
        <w:rPr>
          <w:lang w:val="en-GB"/>
        </w:rPr>
        <w:t>, Transparency International EU 2024.</w:t>
      </w:r>
    </w:p>
    <w:p w14:paraId="5CE35310" w14:textId="77777777" w:rsidR="00DA1440" w:rsidRPr="00F608F6" w:rsidRDefault="00DA1440" w:rsidP="00DA1440">
      <w:pPr>
        <w:pStyle w:val="Geenafstand"/>
        <w:rPr>
          <w:lang w:val="en-GB"/>
        </w:rPr>
      </w:pPr>
    </w:p>
    <w:p w14:paraId="17F664C8" w14:textId="77777777" w:rsidR="00DA1440" w:rsidRDefault="00DA1440" w:rsidP="00DA1440">
      <w:pPr>
        <w:pStyle w:val="Geenafstand"/>
        <w:rPr>
          <w:b/>
          <w:bCs/>
        </w:rPr>
      </w:pPr>
      <w:r>
        <w:rPr>
          <w:b/>
          <w:bCs/>
        </w:rPr>
        <w:t>De Koning e.a. 2024</w:t>
      </w:r>
    </w:p>
    <w:p w14:paraId="62850992" w14:textId="77777777" w:rsidR="00DA1440" w:rsidRPr="00E22F60" w:rsidRDefault="00DA1440" w:rsidP="00DA1440">
      <w:pPr>
        <w:pStyle w:val="Geenafstand"/>
      </w:pPr>
      <w:r>
        <w:t>B. de Koning e.a., ‘</w:t>
      </w:r>
      <w:r w:rsidRPr="00FA417D">
        <w:t xml:space="preserve">Bijna een op de vier Europarlementariërs betrokken bij integriteitsschandalen, van machtsmisbruik tot corruptie’, </w:t>
      </w:r>
      <w:r w:rsidRPr="00FA417D">
        <w:rPr>
          <w:i/>
          <w:iCs/>
        </w:rPr>
        <w:t>Follow The Money</w:t>
      </w:r>
      <w:r w:rsidRPr="00FA417D">
        <w:t xml:space="preserve"> 31 januari 2024.</w:t>
      </w:r>
    </w:p>
    <w:p w14:paraId="24CD19BB" w14:textId="77777777" w:rsidR="00DA1440" w:rsidRDefault="00DA1440" w:rsidP="00DA1440">
      <w:pPr>
        <w:pStyle w:val="Geenafstand"/>
      </w:pPr>
    </w:p>
    <w:p w14:paraId="6B60DFCA" w14:textId="77777777" w:rsidR="00DA1440" w:rsidRDefault="00DA1440" w:rsidP="00DA1440">
      <w:pPr>
        <w:pStyle w:val="Geenafstand"/>
        <w:rPr>
          <w:b/>
          <w:bCs/>
        </w:rPr>
      </w:pPr>
      <w:r>
        <w:rPr>
          <w:b/>
          <w:bCs/>
        </w:rPr>
        <w:t>De Koning 2025</w:t>
      </w:r>
    </w:p>
    <w:p w14:paraId="7E7645CF" w14:textId="77777777" w:rsidR="00DA1440" w:rsidRDefault="00DA1440" w:rsidP="00DA1440">
      <w:pPr>
        <w:pStyle w:val="Geenafstand"/>
      </w:pPr>
      <w:r w:rsidRPr="00CD1061">
        <w:t xml:space="preserve">B. de Koning, ‘Ministerie hield kritisch rapport over corruptie onder de pet’, </w:t>
      </w:r>
      <w:r w:rsidRPr="00CD1061">
        <w:rPr>
          <w:i/>
          <w:iCs/>
        </w:rPr>
        <w:t>Follow The Money</w:t>
      </w:r>
      <w:r w:rsidRPr="00CD1061">
        <w:t xml:space="preserve"> 15 september 2025.</w:t>
      </w:r>
    </w:p>
    <w:p w14:paraId="1A61191A" w14:textId="77777777" w:rsidR="00DA1440" w:rsidRDefault="00DA1440" w:rsidP="00DA1440">
      <w:pPr>
        <w:pStyle w:val="Geenafstand"/>
      </w:pPr>
    </w:p>
    <w:p w14:paraId="1A0CBA83" w14:textId="77777777" w:rsidR="00DA1440" w:rsidRDefault="00DA1440" w:rsidP="00DA1440">
      <w:pPr>
        <w:pStyle w:val="Geenafstand"/>
        <w:rPr>
          <w:b/>
          <w:bCs/>
        </w:rPr>
      </w:pPr>
      <w:r>
        <w:rPr>
          <w:b/>
          <w:bCs/>
        </w:rPr>
        <w:t>Kuijpers 2025</w:t>
      </w:r>
    </w:p>
    <w:p w14:paraId="755BF2AD" w14:textId="77777777" w:rsidR="00DA1440" w:rsidRDefault="00DA1440" w:rsidP="00DA1440">
      <w:pPr>
        <w:pStyle w:val="Geenafstand"/>
      </w:pPr>
      <w:r w:rsidRPr="004E4856">
        <w:t>K. Kuijpers, ‘OM en Rijksrecherche: Nederlandse wet voor vervolging van corruptie schiet te kort’</w:t>
      </w:r>
      <w:r>
        <w:t xml:space="preserve">, </w:t>
      </w:r>
      <w:r>
        <w:rPr>
          <w:i/>
          <w:iCs/>
        </w:rPr>
        <w:t xml:space="preserve">NRC </w:t>
      </w:r>
      <w:r w:rsidRPr="004E4856">
        <w:t>3 februari 2025.</w:t>
      </w:r>
    </w:p>
    <w:p w14:paraId="6379D4CD" w14:textId="77777777" w:rsidR="00DA1440" w:rsidRDefault="00DA1440" w:rsidP="00DA1440">
      <w:pPr>
        <w:pStyle w:val="Geenafstand"/>
      </w:pPr>
    </w:p>
    <w:p w14:paraId="53E5A359" w14:textId="77777777" w:rsidR="00DA1440" w:rsidRDefault="00DA1440" w:rsidP="00DA1440">
      <w:pPr>
        <w:pStyle w:val="Geenafstand"/>
        <w:rPr>
          <w:b/>
          <w:bCs/>
        </w:rPr>
      </w:pPr>
      <w:r>
        <w:rPr>
          <w:b/>
          <w:bCs/>
        </w:rPr>
        <w:t>Kuipers 2014</w:t>
      </w:r>
    </w:p>
    <w:p w14:paraId="2BB8763C" w14:textId="77777777" w:rsidR="00DA1440" w:rsidRPr="001044A1" w:rsidRDefault="00DA1440" w:rsidP="00DA1440">
      <w:pPr>
        <w:pStyle w:val="Voetnoottekst"/>
        <w:jc w:val="both"/>
        <w:rPr>
          <w:sz w:val="22"/>
          <w:szCs w:val="22"/>
        </w:rPr>
      </w:pPr>
      <w:r w:rsidRPr="001044A1">
        <w:rPr>
          <w:sz w:val="22"/>
          <w:szCs w:val="22"/>
        </w:rPr>
        <w:t xml:space="preserve">J.J.B. Kuipers, </w:t>
      </w:r>
      <w:r w:rsidRPr="001044A1">
        <w:rPr>
          <w:i/>
          <w:iCs/>
          <w:sz w:val="22"/>
          <w:szCs w:val="22"/>
        </w:rPr>
        <w:t>De VOC: Een multinational onder zeil, 1602-1799</w:t>
      </w:r>
      <w:r w:rsidRPr="001044A1">
        <w:rPr>
          <w:sz w:val="22"/>
          <w:szCs w:val="22"/>
        </w:rPr>
        <w:t>, Zutphen: Waldburg Pers 2014.</w:t>
      </w:r>
    </w:p>
    <w:p w14:paraId="5E9C9AA9" w14:textId="77777777" w:rsidR="00DA1440" w:rsidRDefault="00DA1440" w:rsidP="00DA1440">
      <w:pPr>
        <w:pStyle w:val="Geenafstand"/>
      </w:pPr>
    </w:p>
    <w:p w14:paraId="38E62E72" w14:textId="77777777" w:rsidR="00DA1440" w:rsidRDefault="00DA1440" w:rsidP="00DA1440">
      <w:pPr>
        <w:pStyle w:val="Geenafstand"/>
        <w:rPr>
          <w:b/>
          <w:bCs/>
        </w:rPr>
      </w:pPr>
      <w:r>
        <w:rPr>
          <w:b/>
          <w:bCs/>
        </w:rPr>
        <w:t>Van der Laan 2025</w:t>
      </w:r>
    </w:p>
    <w:p w14:paraId="71909836" w14:textId="2ADCFB6F" w:rsidR="00DA1440" w:rsidRDefault="00DA1440" w:rsidP="00DA1440">
      <w:pPr>
        <w:pStyle w:val="Geenafstand"/>
      </w:pPr>
      <w:r>
        <w:t>L. van der Laan</w:t>
      </w:r>
      <w:r w:rsidR="007C1560">
        <w:t>,</w:t>
      </w:r>
      <w:r>
        <w:t xml:space="preserve"> </w:t>
      </w:r>
      <w:r w:rsidRPr="00503ABE">
        <w:t xml:space="preserve">‘Voor het eerst een Europese richtlijn tegen corruptie’, </w:t>
      </w:r>
      <w:r>
        <w:t>transparency.nl,</w:t>
      </w:r>
      <w:r w:rsidRPr="00503ABE">
        <w:t xml:space="preserve"> 17 december 2025.</w:t>
      </w:r>
    </w:p>
    <w:p w14:paraId="532C56C9" w14:textId="77777777" w:rsidR="00DA1440" w:rsidRDefault="00DA1440" w:rsidP="00DA1440">
      <w:pPr>
        <w:pStyle w:val="Geenafstand"/>
      </w:pPr>
    </w:p>
    <w:p w14:paraId="670A50EE" w14:textId="77777777" w:rsidR="00DA1440" w:rsidRPr="00C77A06" w:rsidRDefault="00DA1440" w:rsidP="00DA1440">
      <w:pPr>
        <w:pStyle w:val="Geenafstand"/>
        <w:rPr>
          <w:b/>
          <w:bCs/>
          <w:lang w:val="en-GB"/>
        </w:rPr>
      </w:pPr>
      <w:r w:rsidRPr="00C77A06">
        <w:rPr>
          <w:b/>
          <w:bCs/>
          <w:lang w:val="en-GB"/>
        </w:rPr>
        <w:t>Lascoumes &amp; Audren 2009</w:t>
      </w:r>
    </w:p>
    <w:p w14:paraId="11CFBA97" w14:textId="77777777" w:rsidR="00DA1440" w:rsidRPr="002B0870" w:rsidRDefault="00DA1440" w:rsidP="00DA1440">
      <w:pPr>
        <w:pStyle w:val="Geenafstand"/>
        <w:rPr>
          <w:lang w:val="en-GB"/>
        </w:rPr>
      </w:pPr>
      <w:r>
        <w:rPr>
          <w:lang w:val="en-GB"/>
        </w:rPr>
        <w:t xml:space="preserve">P. Lascoumes &amp; F. Audren, ‘La Justice, le gendre et le scandale des decorations. Aux origins du traffic d’influence’, in: B. Dumons &amp; G. Pollet (red.), </w:t>
      </w:r>
      <w:r>
        <w:rPr>
          <w:i/>
          <w:iCs/>
          <w:lang w:val="en-GB"/>
        </w:rPr>
        <w:t>La fabrique de l’honneur, les médailles et les decorations en France, XIX</w:t>
      </w:r>
      <w:r w:rsidRPr="00CC5E97">
        <w:rPr>
          <w:i/>
          <w:iCs/>
          <w:lang w:val="en-GB"/>
        </w:rPr>
        <w:t xml:space="preserve">° - XX° siècles, </w:t>
      </w:r>
      <w:r>
        <w:rPr>
          <w:lang w:val="en-GB"/>
        </w:rPr>
        <w:t>Rennes (Frankrijk): Presses universitaires de Rennes 2009, p. 119 – 142.</w:t>
      </w:r>
    </w:p>
    <w:p w14:paraId="6935FD8F" w14:textId="77777777" w:rsidR="00DA1440" w:rsidRPr="002B0870" w:rsidRDefault="00DA1440" w:rsidP="00DA1440">
      <w:pPr>
        <w:pStyle w:val="Geenafstand"/>
        <w:rPr>
          <w:lang w:val="en-GB"/>
        </w:rPr>
      </w:pPr>
    </w:p>
    <w:p w14:paraId="574D3475" w14:textId="77777777" w:rsidR="00DA1440" w:rsidRDefault="00DA1440" w:rsidP="00DA1440">
      <w:pPr>
        <w:pStyle w:val="Geenafstand"/>
        <w:rPr>
          <w:b/>
          <w:bCs/>
        </w:rPr>
      </w:pPr>
      <w:r>
        <w:rPr>
          <w:b/>
          <w:bCs/>
        </w:rPr>
        <w:t>Laumans &amp; Vugts 2025</w:t>
      </w:r>
    </w:p>
    <w:p w14:paraId="47E260B8" w14:textId="77777777" w:rsidR="00DA1440" w:rsidRPr="000A60D6" w:rsidRDefault="00DA1440" w:rsidP="00DA1440">
      <w:pPr>
        <w:pStyle w:val="Geenafstand"/>
      </w:pPr>
      <w:r w:rsidRPr="000707D7">
        <w:t>W. Laumans &amp; P. Vugts, ‘Ambtenaa</w:t>
      </w:r>
      <w:r>
        <w:t xml:space="preserve">r Jim B. verscheen opeens niet op werk: opgepakt voor 36 explosies, 8 beschietingen, 2 moordpogingen en 1 ontvoering’, </w:t>
      </w:r>
      <w:r>
        <w:rPr>
          <w:i/>
          <w:iCs/>
        </w:rPr>
        <w:t xml:space="preserve">Het Parool </w:t>
      </w:r>
      <w:r>
        <w:t>18 oktober 2025.</w:t>
      </w:r>
    </w:p>
    <w:p w14:paraId="52A5421E" w14:textId="77777777" w:rsidR="00DA1440" w:rsidRDefault="00DA1440" w:rsidP="00DA1440">
      <w:pPr>
        <w:pStyle w:val="Geenafstand"/>
      </w:pPr>
    </w:p>
    <w:p w14:paraId="28E6597C" w14:textId="77777777" w:rsidR="00DA1440" w:rsidRPr="0008145B" w:rsidRDefault="00DA1440" w:rsidP="00DA1440">
      <w:pPr>
        <w:pStyle w:val="Geenafstand"/>
        <w:rPr>
          <w:b/>
          <w:bCs/>
          <w:lang w:val="en-GB"/>
        </w:rPr>
      </w:pPr>
      <w:r w:rsidRPr="0008145B">
        <w:rPr>
          <w:b/>
          <w:bCs/>
          <w:i/>
          <w:iCs/>
          <w:lang w:val="en-GB"/>
        </w:rPr>
        <w:t>Legislative guide for the implementation of the United Nations Convention against Corruption</w:t>
      </w:r>
      <w:r w:rsidRPr="0008145B">
        <w:rPr>
          <w:b/>
          <w:bCs/>
          <w:lang w:val="en-GB"/>
        </w:rPr>
        <w:t xml:space="preserve"> 2012</w:t>
      </w:r>
    </w:p>
    <w:p w14:paraId="2803A2B2" w14:textId="77777777" w:rsidR="00DA1440" w:rsidRPr="0008145B" w:rsidRDefault="00DA1440" w:rsidP="00DA1440">
      <w:pPr>
        <w:pStyle w:val="Geenafstand"/>
        <w:rPr>
          <w:lang w:val="en-GB"/>
        </w:rPr>
      </w:pPr>
      <w:r w:rsidRPr="0008145B">
        <w:rPr>
          <w:i/>
          <w:iCs/>
          <w:lang w:val="en-GB"/>
        </w:rPr>
        <w:t>Legislative guide for the implementation of the United Nations Convention against Corruption</w:t>
      </w:r>
      <w:r w:rsidRPr="0008145B">
        <w:rPr>
          <w:lang w:val="en-GB"/>
        </w:rPr>
        <w:t xml:space="preserve"> </w:t>
      </w:r>
      <w:r>
        <w:rPr>
          <w:lang w:val="en-GB"/>
        </w:rPr>
        <w:t xml:space="preserve">(tweede herziene versie van het United Nations Office on Drugs and Crime), </w:t>
      </w:r>
      <w:r w:rsidRPr="00351A79">
        <w:rPr>
          <w:lang w:val="en-GB"/>
        </w:rPr>
        <w:t>New York (Verenigde Staten) 2012.</w:t>
      </w:r>
    </w:p>
    <w:p w14:paraId="2E85466E" w14:textId="77777777" w:rsidR="00DA1440" w:rsidRDefault="00DA1440" w:rsidP="00DA1440">
      <w:pPr>
        <w:pStyle w:val="Geenafstand"/>
        <w:rPr>
          <w:lang w:val="en-GB"/>
        </w:rPr>
      </w:pPr>
    </w:p>
    <w:p w14:paraId="49EBB38A" w14:textId="77777777" w:rsidR="00DA1440" w:rsidRPr="001044A1" w:rsidRDefault="00DA1440" w:rsidP="00DA1440">
      <w:pPr>
        <w:pStyle w:val="Geenafstand"/>
        <w:rPr>
          <w:b/>
          <w:bCs/>
          <w:lang w:val="en-GB"/>
        </w:rPr>
      </w:pPr>
      <w:r w:rsidRPr="001044A1">
        <w:rPr>
          <w:b/>
          <w:bCs/>
          <w:lang w:val="en-GB"/>
        </w:rPr>
        <w:t>Llamzon 2019</w:t>
      </w:r>
    </w:p>
    <w:p w14:paraId="72539D35" w14:textId="77777777" w:rsidR="00DA1440" w:rsidRPr="001044A1" w:rsidRDefault="00DA1440" w:rsidP="00DA1440">
      <w:pPr>
        <w:pStyle w:val="Geenafstand"/>
        <w:rPr>
          <w:lang w:val="en-GB"/>
        </w:rPr>
      </w:pPr>
      <w:r w:rsidRPr="00F536FB">
        <w:rPr>
          <w:lang w:val="en-GB"/>
        </w:rPr>
        <w:t>A. Llamzon, ‘Trading in i</w:t>
      </w:r>
      <w:r>
        <w:rPr>
          <w:lang w:val="en-GB"/>
        </w:rPr>
        <w:t xml:space="preserve">nfluence’, in: C. Rose e.a. (red.), </w:t>
      </w:r>
      <w:r>
        <w:rPr>
          <w:i/>
          <w:iCs/>
          <w:lang w:val="en-GB"/>
        </w:rPr>
        <w:t>The United Nations Convention Against Corruption: A Commentary</w:t>
      </w:r>
      <w:r>
        <w:rPr>
          <w:lang w:val="en-GB"/>
        </w:rPr>
        <w:t xml:space="preserve">, </w:t>
      </w:r>
      <w:r w:rsidRPr="0022094A">
        <w:rPr>
          <w:lang w:val="en-GB"/>
        </w:rPr>
        <w:t>Oxford</w:t>
      </w:r>
      <w:r>
        <w:rPr>
          <w:lang w:val="en-GB"/>
        </w:rPr>
        <w:t xml:space="preserve"> (Engeland): Oxford University Press 2019, p. 192 – 209.</w:t>
      </w:r>
    </w:p>
    <w:p w14:paraId="0CC2DF8F" w14:textId="77777777" w:rsidR="00DA1440" w:rsidRDefault="00DA1440" w:rsidP="00DA1440">
      <w:pPr>
        <w:pStyle w:val="Geenafstand"/>
        <w:rPr>
          <w:b/>
          <w:bCs/>
          <w:lang w:val="en-GB"/>
        </w:rPr>
      </w:pPr>
    </w:p>
    <w:p w14:paraId="2B073A9B" w14:textId="77777777" w:rsidR="00DA1440" w:rsidRPr="001044A1" w:rsidRDefault="00DA1440" w:rsidP="00DA1440">
      <w:pPr>
        <w:pStyle w:val="Voetnoottekst"/>
        <w:rPr>
          <w:b/>
          <w:bCs/>
          <w:sz w:val="22"/>
          <w:szCs w:val="22"/>
        </w:rPr>
      </w:pPr>
      <w:r w:rsidRPr="001044A1">
        <w:rPr>
          <w:b/>
          <w:bCs/>
          <w:sz w:val="22"/>
          <w:szCs w:val="22"/>
        </w:rPr>
        <w:t>Meijer e.a. 2019</w:t>
      </w:r>
    </w:p>
    <w:p w14:paraId="4F6014FD" w14:textId="77777777" w:rsidR="00DA1440" w:rsidRPr="001044A1" w:rsidRDefault="00DA1440" w:rsidP="00DA1440">
      <w:pPr>
        <w:pStyle w:val="Voetnoottekst"/>
        <w:rPr>
          <w:sz w:val="22"/>
          <w:szCs w:val="22"/>
        </w:rPr>
      </w:pPr>
      <w:r w:rsidRPr="00FE2B0B">
        <w:rPr>
          <w:sz w:val="22"/>
          <w:szCs w:val="22"/>
        </w:rPr>
        <w:t xml:space="preserve">S. Meijer e.a., </w:t>
      </w:r>
      <w:r w:rsidRPr="00FE2B0B">
        <w:rPr>
          <w:i/>
          <w:iCs/>
          <w:sz w:val="22"/>
          <w:szCs w:val="22"/>
        </w:rPr>
        <w:t>De zucht naar vrijheid. Een onderzoek naar de strafbaarstelling van het schenden van bijzondere voorwaarden en het elektronisch toezicht en van het ontvluchten uit detentie</w:t>
      </w:r>
      <w:r>
        <w:rPr>
          <w:i/>
          <w:iCs/>
          <w:sz w:val="22"/>
          <w:szCs w:val="22"/>
        </w:rPr>
        <w:t xml:space="preserve"> </w:t>
      </w:r>
      <w:r>
        <w:rPr>
          <w:sz w:val="22"/>
          <w:szCs w:val="22"/>
        </w:rPr>
        <w:t>(WODC-rapport)</w:t>
      </w:r>
      <w:r w:rsidRPr="00FE2B0B">
        <w:rPr>
          <w:sz w:val="22"/>
          <w:szCs w:val="22"/>
        </w:rPr>
        <w:t>, Amsterdam: Vrije Universiteit Amsterdam 2019.</w:t>
      </w:r>
    </w:p>
    <w:p w14:paraId="34120F18" w14:textId="77777777" w:rsidR="00DA1440" w:rsidRDefault="00DA1440" w:rsidP="00DA1440">
      <w:pPr>
        <w:pStyle w:val="Geenafstand"/>
        <w:rPr>
          <w:b/>
          <w:bCs/>
        </w:rPr>
      </w:pPr>
    </w:p>
    <w:p w14:paraId="33D9D5C0" w14:textId="77777777" w:rsidR="00DA1440" w:rsidRPr="00C77A06" w:rsidRDefault="00DA1440" w:rsidP="00DA1440">
      <w:pPr>
        <w:pStyle w:val="Geenafstand"/>
        <w:rPr>
          <w:b/>
          <w:bCs/>
        </w:rPr>
      </w:pPr>
      <w:r w:rsidRPr="00C77A06">
        <w:rPr>
          <w:b/>
          <w:bCs/>
        </w:rPr>
        <w:t>Mollier 1991</w:t>
      </w:r>
    </w:p>
    <w:p w14:paraId="46E9EBE9" w14:textId="77777777" w:rsidR="00DA1440" w:rsidRDefault="00DA1440" w:rsidP="00DA1440">
      <w:pPr>
        <w:pStyle w:val="Geenafstand"/>
      </w:pPr>
      <w:r w:rsidRPr="00784B59">
        <w:t>J.</w:t>
      </w:r>
      <w:r>
        <w:t>Y.</w:t>
      </w:r>
      <w:r w:rsidRPr="00784B59">
        <w:t xml:space="preserve"> Mollier, </w:t>
      </w:r>
      <w:r w:rsidRPr="00784B59">
        <w:rPr>
          <w:i/>
          <w:iCs/>
        </w:rPr>
        <w:t>Le scandale de</w:t>
      </w:r>
      <w:r>
        <w:rPr>
          <w:i/>
          <w:iCs/>
        </w:rPr>
        <w:t xml:space="preserve"> Panama</w:t>
      </w:r>
      <w:r>
        <w:t>, Parijs (Frankrijk): Fayard 1991.</w:t>
      </w:r>
    </w:p>
    <w:p w14:paraId="170C1639" w14:textId="77777777" w:rsidR="00DA1440" w:rsidRDefault="00DA1440" w:rsidP="00DA1440">
      <w:pPr>
        <w:pStyle w:val="Geenafstand"/>
      </w:pPr>
    </w:p>
    <w:p w14:paraId="45BD549C" w14:textId="77777777" w:rsidR="00DA1440" w:rsidRPr="00550F63" w:rsidRDefault="00DA1440" w:rsidP="00DA1440">
      <w:pPr>
        <w:pStyle w:val="Voetnoottekst"/>
        <w:jc w:val="both"/>
        <w:rPr>
          <w:b/>
          <w:bCs/>
          <w:sz w:val="22"/>
          <w:szCs w:val="22"/>
          <w:lang w:val="en-GB"/>
        </w:rPr>
      </w:pPr>
      <w:r w:rsidRPr="00550F63">
        <w:rPr>
          <w:b/>
          <w:bCs/>
          <w:sz w:val="22"/>
          <w:szCs w:val="22"/>
          <w:lang w:val="en-GB"/>
        </w:rPr>
        <w:t>Mongillo 2023</w:t>
      </w:r>
    </w:p>
    <w:p w14:paraId="0B63BE97" w14:textId="290C6F15" w:rsidR="00DA1440" w:rsidRPr="00AF2853" w:rsidRDefault="00DA1440" w:rsidP="00DA1440">
      <w:pPr>
        <w:pStyle w:val="Voetnoottekst"/>
        <w:jc w:val="both"/>
        <w:rPr>
          <w:sz w:val="32"/>
          <w:szCs w:val="32"/>
          <w:lang w:val="en-GB"/>
        </w:rPr>
      </w:pPr>
      <w:r w:rsidRPr="00AF2853">
        <w:rPr>
          <w:sz w:val="22"/>
          <w:szCs w:val="22"/>
          <w:lang w:val="en-GB"/>
        </w:rPr>
        <w:t>V. Mongillo,</w:t>
      </w:r>
      <w:r w:rsidRPr="00AF2853">
        <w:rPr>
          <w:i/>
          <w:iCs/>
          <w:sz w:val="22"/>
          <w:szCs w:val="22"/>
          <w:lang w:val="en-GB"/>
        </w:rPr>
        <w:t xml:space="preserve"> </w:t>
      </w:r>
      <w:r w:rsidRPr="00AF2853">
        <w:rPr>
          <w:sz w:val="22"/>
          <w:szCs w:val="22"/>
          <w:lang w:val="en-GB"/>
        </w:rPr>
        <w:t>‘</w:t>
      </w:r>
      <w:r w:rsidR="00D65029" w:rsidRPr="00AF2853">
        <w:rPr>
          <w:sz w:val="22"/>
          <w:szCs w:val="22"/>
          <w:lang w:val="en-GB"/>
        </w:rPr>
        <w:t>Strengths</w:t>
      </w:r>
      <w:r w:rsidRPr="00AF2853">
        <w:rPr>
          <w:sz w:val="22"/>
          <w:szCs w:val="22"/>
          <w:lang w:val="en-GB"/>
        </w:rPr>
        <w:t xml:space="preserve"> and weaknesses of the proposal for a EU directive on combating corruption’, </w:t>
      </w:r>
      <w:r w:rsidRPr="00AF2853">
        <w:rPr>
          <w:i/>
          <w:iCs/>
          <w:sz w:val="22"/>
          <w:szCs w:val="22"/>
          <w:lang w:val="en-GB"/>
        </w:rPr>
        <w:t xml:space="preserve">Sistema Penale </w:t>
      </w:r>
      <w:r w:rsidRPr="00AF2853">
        <w:rPr>
          <w:sz w:val="22"/>
          <w:szCs w:val="22"/>
          <w:lang w:val="en-GB"/>
        </w:rPr>
        <w:t>2023, afl. 7</w:t>
      </w:r>
      <w:r>
        <w:rPr>
          <w:sz w:val="22"/>
          <w:szCs w:val="22"/>
          <w:lang w:val="en-GB"/>
        </w:rPr>
        <w:t>.</w:t>
      </w:r>
    </w:p>
    <w:p w14:paraId="0C935923" w14:textId="77777777" w:rsidR="00DA1440" w:rsidRPr="00AF2853" w:rsidRDefault="00DA1440" w:rsidP="00DA1440">
      <w:pPr>
        <w:pStyle w:val="Geenafstand"/>
        <w:rPr>
          <w:lang w:val="en-GB"/>
        </w:rPr>
      </w:pPr>
    </w:p>
    <w:p w14:paraId="0BCF42A0" w14:textId="77777777" w:rsidR="00DA1440" w:rsidRPr="00C77A06" w:rsidRDefault="00DA1440" w:rsidP="00DA1440">
      <w:pPr>
        <w:pStyle w:val="Voetnoottekst"/>
        <w:jc w:val="both"/>
        <w:rPr>
          <w:b/>
          <w:bCs/>
          <w:sz w:val="22"/>
          <w:szCs w:val="22"/>
          <w:lang w:val="en-GB"/>
        </w:rPr>
      </w:pPr>
      <w:r w:rsidRPr="00C77A06">
        <w:rPr>
          <w:b/>
          <w:bCs/>
          <w:sz w:val="22"/>
          <w:szCs w:val="22"/>
          <w:lang w:val="en-GB"/>
        </w:rPr>
        <w:lastRenderedPageBreak/>
        <w:t>Nadal 2015</w:t>
      </w:r>
    </w:p>
    <w:p w14:paraId="293B9C5D" w14:textId="77777777" w:rsidR="00DA1440" w:rsidRPr="00A77ECB" w:rsidRDefault="00DA1440" w:rsidP="00DA1440">
      <w:pPr>
        <w:pStyle w:val="Voetnoottekst"/>
        <w:jc w:val="both"/>
        <w:rPr>
          <w:sz w:val="22"/>
          <w:szCs w:val="22"/>
          <w:lang w:val="en-GB"/>
        </w:rPr>
      </w:pPr>
      <w:r w:rsidRPr="00A77ECB">
        <w:rPr>
          <w:sz w:val="22"/>
          <w:szCs w:val="22"/>
          <w:lang w:val="en-GB"/>
        </w:rPr>
        <w:t xml:space="preserve">J.L. Nadal, </w:t>
      </w:r>
      <w:r w:rsidRPr="00A77ECB">
        <w:rPr>
          <w:i/>
          <w:iCs/>
          <w:sz w:val="22"/>
          <w:szCs w:val="22"/>
          <w:lang w:val="en-GB"/>
        </w:rPr>
        <w:t>Renouer l</w:t>
      </w:r>
      <w:r>
        <w:rPr>
          <w:i/>
          <w:iCs/>
          <w:sz w:val="22"/>
          <w:szCs w:val="22"/>
          <w:lang w:val="en-GB"/>
        </w:rPr>
        <w:t xml:space="preserve">a confiance publique. </w:t>
      </w:r>
      <w:r w:rsidRPr="00A77ECB">
        <w:rPr>
          <w:i/>
          <w:iCs/>
          <w:sz w:val="22"/>
          <w:szCs w:val="22"/>
          <w:lang w:val="en-GB"/>
        </w:rPr>
        <w:t>Rapport au president de la république sur l’exemplar</w:t>
      </w:r>
      <w:r>
        <w:rPr>
          <w:i/>
          <w:iCs/>
          <w:sz w:val="22"/>
          <w:szCs w:val="22"/>
          <w:lang w:val="en-GB"/>
        </w:rPr>
        <w:t>ité des responsables publics</w:t>
      </w:r>
      <w:r>
        <w:rPr>
          <w:sz w:val="22"/>
          <w:szCs w:val="22"/>
          <w:lang w:val="en-GB"/>
        </w:rPr>
        <w:t>, 2015.</w:t>
      </w:r>
    </w:p>
    <w:p w14:paraId="6EEA6403" w14:textId="77777777" w:rsidR="00DA1440" w:rsidRPr="00A77ECB" w:rsidRDefault="00DA1440" w:rsidP="00DA1440">
      <w:pPr>
        <w:pStyle w:val="Voetnoottekst"/>
        <w:jc w:val="both"/>
        <w:rPr>
          <w:sz w:val="22"/>
          <w:szCs w:val="22"/>
          <w:lang w:val="en-GB"/>
        </w:rPr>
      </w:pPr>
    </w:p>
    <w:p w14:paraId="310BCB31" w14:textId="77777777" w:rsidR="00DA1440" w:rsidRPr="00514183" w:rsidRDefault="00DA1440" w:rsidP="00DA1440">
      <w:pPr>
        <w:pStyle w:val="Geenafstand"/>
        <w:rPr>
          <w:b/>
          <w:bCs/>
          <w:lang w:val="en-GB"/>
        </w:rPr>
      </w:pPr>
      <w:r w:rsidRPr="00514183">
        <w:rPr>
          <w:b/>
          <w:bCs/>
          <w:lang w:val="en-GB"/>
        </w:rPr>
        <w:t>Nierstrasz 2008</w:t>
      </w:r>
    </w:p>
    <w:p w14:paraId="2C7ED345" w14:textId="77777777" w:rsidR="00DA1440" w:rsidRDefault="00DA1440" w:rsidP="00DA1440">
      <w:pPr>
        <w:pStyle w:val="Voetnoottekst"/>
        <w:jc w:val="both"/>
        <w:rPr>
          <w:sz w:val="22"/>
          <w:szCs w:val="22"/>
        </w:rPr>
      </w:pPr>
      <w:r w:rsidRPr="00F36F17">
        <w:rPr>
          <w:sz w:val="22"/>
          <w:szCs w:val="22"/>
          <w:lang w:val="en-GB"/>
        </w:rPr>
        <w:t xml:space="preserve">J.C. Nierstrasz, </w:t>
      </w:r>
      <w:r w:rsidRPr="00F36F17">
        <w:rPr>
          <w:i/>
          <w:iCs/>
          <w:sz w:val="22"/>
          <w:szCs w:val="22"/>
          <w:lang w:val="en-GB"/>
        </w:rPr>
        <w:t>In the shadow of the company : the VOC (Dutch East  India Company) and its servants in the period of its decline (1740-1796)</w:t>
      </w:r>
      <w:r w:rsidRPr="00F36F17">
        <w:rPr>
          <w:sz w:val="22"/>
          <w:szCs w:val="22"/>
          <w:lang w:val="en-GB"/>
        </w:rPr>
        <w:t xml:space="preserve"> (</w:t>
      </w:r>
      <w:r>
        <w:rPr>
          <w:sz w:val="22"/>
          <w:szCs w:val="22"/>
          <w:lang w:val="en-GB"/>
        </w:rPr>
        <w:t xml:space="preserve">diss. </w:t>
      </w:r>
      <w:r w:rsidRPr="00514183">
        <w:rPr>
          <w:sz w:val="22"/>
          <w:szCs w:val="22"/>
        </w:rPr>
        <w:t>Universiteit Leiden), 2008.</w:t>
      </w:r>
    </w:p>
    <w:p w14:paraId="187BC7F3" w14:textId="77777777" w:rsidR="00DA1440" w:rsidRDefault="00DA1440" w:rsidP="00DA1440">
      <w:pPr>
        <w:pStyle w:val="Voetnoottekst"/>
        <w:jc w:val="both"/>
        <w:rPr>
          <w:sz w:val="22"/>
          <w:szCs w:val="22"/>
        </w:rPr>
      </w:pPr>
    </w:p>
    <w:p w14:paraId="5FB26C7F" w14:textId="77777777" w:rsidR="00DA1440" w:rsidRPr="00F625C8" w:rsidRDefault="00DA1440" w:rsidP="00DA1440">
      <w:pPr>
        <w:pStyle w:val="Geenafstand"/>
        <w:rPr>
          <w:b/>
          <w:bCs/>
        </w:rPr>
      </w:pPr>
      <w:r w:rsidRPr="004859C5">
        <w:rPr>
          <w:b/>
          <w:bCs/>
          <w:i/>
          <w:iCs/>
        </w:rPr>
        <w:t>Niet voor persoonlijk gebruik!</w:t>
      </w:r>
      <w:r>
        <w:rPr>
          <w:b/>
          <w:bCs/>
        </w:rPr>
        <w:t xml:space="preserve"> 2010</w:t>
      </w:r>
    </w:p>
    <w:p w14:paraId="5AF93F51" w14:textId="77777777" w:rsidR="00DA1440" w:rsidRPr="00213ABD" w:rsidRDefault="00DA1440" w:rsidP="00DA1440">
      <w:pPr>
        <w:pStyle w:val="Geenafstand"/>
      </w:pPr>
      <w:r w:rsidRPr="00F625C8">
        <w:rPr>
          <w:i/>
          <w:iCs/>
        </w:rPr>
        <w:t>Niet voor persoonlijk gebruik</w:t>
      </w:r>
      <w:r>
        <w:rPr>
          <w:i/>
          <w:iCs/>
        </w:rPr>
        <w:t>!</w:t>
      </w:r>
      <w:r w:rsidRPr="00F625C8">
        <w:rPr>
          <w:i/>
          <w:iCs/>
        </w:rPr>
        <w:t xml:space="preserve"> Omkoping van ambtenaren in de civiele openbare sector</w:t>
      </w:r>
      <w:r>
        <w:rPr>
          <w:i/>
          <w:iCs/>
        </w:rPr>
        <w:t xml:space="preserve"> </w:t>
      </w:r>
      <w:r>
        <w:t>(onderzoek Rijksrecherche),</w:t>
      </w:r>
      <w:r w:rsidRPr="00F625C8">
        <w:t xml:space="preserve"> 2010.</w:t>
      </w:r>
    </w:p>
    <w:p w14:paraId="26FEF7F2" w14:textId="77777777" w:rsidR="00DA1440" w:rsidRDefault="00DA1440" w:rsidP="00DA1440">
      <w:pPr>
        <w:pStyle w:val="Voetnoottekst"/>
        <w:jc w:val="both"/>
        <w:rPr>
          <w:sz w:val="22"/>
          <w:szCs w:val="22"/>
        </w:rPr>
      </w:pPr>
    </w:p>
    <w:p w14:paraId="1E7AB983" w14:textId="77777777" w:rsidR="00DA1440" w:rsidRPr="00932061" w:rsidRDefault="00DA1440" w:rsidP="00DA1440">
      <w:pPr>
        <w:pStyle w:val="Voetnoottekst"/>
        <w:jc w:val="both"/>
        <w:rPr>
          <w:b/>
          <w:bCs/>
          <w:sz w:val="22"/>
          <w:szCs w:val="22"/>
        </w:rPr>
      </w:pPr>
      <w:r>
        <w:rPr>
          <w:b/>
          <w:bCs/>
          <w:sz w:val="22"/>
          <w:szCs w:val="22"/>
        </w:rPr>
        <w:t>Van Noorloos, Ouwerkerk &amp; Verrest 2023</w:t>
      </w:r>
    </w:p>
    <w:p w14:paraId="652B8BB6" w14:textId="77777777" w:rsidR="00DA1440" w:rsidRDefault="00DA1440" w:rsidP="00DA1440">
      <w:pPr>
        <w:pStyle w:val="Voetnoottekst"/>
        <w:jc w:val="both"/>
        <w:rPr>
          <w:sz w:val="22"/>
          <w:szCs w:val="22"/>
        </w:rPr>
      </w:pPr>
      <w:r w:rsidRPr="00932061">
        <w:rPr>
          <w:sz w:val="22"/>
          <w:szCs w:val="22"/>
        </w:rPr>
        <w:t xml:space="preserve">M. van Noorloos, J. Ouwerkerk &amp; P. Verrest, ‘Kroniek van het Europees strafrecht’, </w:t>
      </w:r>
      <w:r w:rsidRPr="00932061">
        <w:rPr>
          <w:i/>
          <w:iCs/>
          <w:sz w:val="22"/>
          <w:szCs w:val="22"/>
        </w:rPr>
        <w:t xml:space="preserve">NJB </w:t>
      </w:r>
      <w:r w:rsidRPr="00932061">
        <w:rPr>
          <w:sz w:val="22"/>
          <w:szCs w:val="22"/>
        </w:rPr>
        <w:t>2023/</w:t>
      </w:r>
      <w:r>
        <w:rPr>
          <w:sz w:val="22"/>
          <w:szCs w:val="22"/>
        </w:rPr>
        <w:t>2450.</w:t>
      </w:r>
    </w:p>
    <w:p w14:paraId="529BBD00" w14:textId="77777777" w:rsidR="00DA1440" w:rsidRDefault="00DA1440" w:rsidP="00DA1440">
      <w:pPr>
        <w:pStyle w:val="Voetnoottekst"/>
        <w:jc w:val="both"/>
        <w:rPr>
          <w:sz w:val="22"/>
          <w:szCs w:val="22"/>
        </w:rPr>
      </w:pPr>
    </w:p>
    <w:p w14:paraId="3BAE9AD1" w14:textId="77777777" w:rsidR="00DA1440" w:rsidRDefault="00DA1440" w:rsidP="00DA1440">
      <w:pPr>
        <w:pStyle w:val="Voetnoottekst"/>
        <w:jc w:val="both"/>
        <w:rPr>
          <w:b/>
          <w:bCs/>
          <w:sz w:val="22"/>
          <w:szCs w:val="22"/>
        </w:rPr>
      </w:pPr>
      <w:r>
        <w:rPr>
          <w:b/>
          <w:bCs/>
          <w:sz w:val="22"/>
          <w:szCs w:val="22"/>
        </w:rPr>
        <w:t>Van Noorloos, Ouwerkerk &amp; Verrest 2025</w:t>
      </w:r>
    </w:p>
    <w:p w14:paraId="34761A65" w14:textId="77777777" w:rsidR="00DA1440" w:rsidRPr="00B709AF" w:rsidRDefault="00DA1440" w:rsidP="00DA1440">
      <w:pPr>
        <w:pStyle w:val="Voetnoottekst"/>
        <w:jc w:val="both"/>
        <w:rPr>
          <w:sz w:val="22"/>
          <w:szCs w:val="22"/>
        </w:rPr>
      </w:pPr>
      <w:r w:rsidRPr="00932061">
        <w:rPr>
          <w:sz w:val="22"/>
          <w:szCs w:val="22"/>
        </w:rPr>
        <w:t xml:space="preserve">M. van Noorloos, J. Ouwerkerk &amp; P. Verrest, ‘Kroniek van het Europees strafrecht’, </w:t>
      </w:r>
      <w:r w:rsidRPr="00932061">
        <w:rPr>
          <w:i/>
          <w:iCs/>
          <w:sz w:val="22"/>
          <w:szCs w:val="22"/>
        </w:rPr>
        <w:t xml:space="preserve">NJB </w:t>
      </w:r>
      <w:r w:rsidRPr="00932061">
        <w:rPr>
          <w:sz w:val="22"/>
          <w:szCs w:val="22"/>
        </w:rPr>
        <w:t>202</w:t>
      </w:r>
      <w:r>
        <w:rPr>
          <w:sz w:val="22"/>
          <w:szCs w:val="22"/>
        </w:rPr>
        <w:t>5/2682.</w:t>
      </w:r>
    </w:p>
    <w:p w14:paraId="31DF5FB2" w14:textId="77777777" w:rsidR="00DA1440" w:rsidRDefault="00DA1440" w:rsidP="00DA1440">
      <w:pPr>
        <w:pStyle w:val="Voetnoottekst"/>
        <w:jc w:val="both"/>
        <w:rPr>
          <w:sz w:val="22"/>
          <w:szCs w:val="22"/>
        </w:rPr>
      </w:pPr>
    </w:p>
    <w:p w14:paraId="616702AF" w14:textId="77777777" w:rsidR="00DA1440" w:rsidRPr="001044A1" w:rsidRDefault="00DA1440" w:rsidP="00DA1440">
      <w:pPr>
        <w:pStyle w:val="Geenafstand"/>
        <w:rPr>
          <w:b/>
          <w:bCs/>
          <w:lang w:val="en-GB"/>
        </w:rPr>
      </w:pPr>
      <w:r w:rsidRPr="001044A1">
        <w:rPr>
          <w:b/>
          <w:bCs/>
          <w:lang w:val="en-GB"/>
        </w:rPr>
        <w:t>Ouwerkerk 2012</w:t>
      </w:r>
    </w:p>
    <w:p w14:paraId="47DED74E" w14:textId="5933F20C" w:rsidR="00DA1440" w:rsidRPr="001044A1" w:rsidRDefault="00DA1440" w:rsidP="00DA1440">
      <w:pPr>
        <w:pStyle w:val="Voetnoottekst"/>
        <w:jc w:val="both"/>
        <w:rPr>
          <w:sz w:val="22"/>
          <w:szCs w:val="22"/>
          <w:lang w:val="en-GB"/>
        </w:rPr>
      </w:pPr>
      <w:r w:rsidRPr="00934475">
        <w:rPr>
          <w:sz w:val="22"/>
          <w:szCs w:val="22"/>
          <w:lang w:val="en-GB"/>
        </w:rPr>
        <w:t xml:space="preserve">J.W. Ouwerkerk, ‘Criminalisation as a Last Resort: A National Principle under the Pressure of Europeanisation’, </w:t>
      </w:r>
      <w:r w:rsidRPr="00934475">
        <w:rPr>
          <w:i/>
          <w:iCs/>
          <w:sz w:val="22"/>
          <w:szCs w:val="22"/>
          <w:lang w:val="en-GB"/>
        </w:rPr>
        <w:t>New Journal of European Criminal Law</w:t>
      </w:r>
      <w:r>
        <w:rPr>
          <w:i/>
          <w:iCs/>
          <w:sz w:val="22"/>
          <w:szCs w:val="22"/>
          <w:lang w:val="en-GB"/>
        </w:rPr>
        <w:t xml:space="preserve"> </w:t>
      </w:r>
      <w:r w:rsidR="001A2A58">
        <w:rPr>
          <w:sz w:val="22"/>
          <w:szCs w:val="22"/>
          <w:lang w:val="en-GB"/>
        </w:rPr>
        <w:t xml:space="preserve">(3) </w:t>
      </w:r>
      <w:r>
        <w:rPr>
          <w:sz w:val="22"/>
          <w:szCs w:val="22"/>
          <w:lang w:val="en-GB"/>
        </w:rPr>
        <w:t>2012</w:t>
      </w:r>
      <w:r w:rsidRPr="00934475">
        <w:rPr>
          <w:sz w:val="22"/>
          <w:szCs w:val="22"/>
          <w:lang w:val="en-GB"/>
        </w:rPr>
        <w:t xml:space="preserve">, </w:t>
      </w:r>
      <w:r>
        <w:rPr>
          <w:sz w:val="22"/>
          <w:szCs w:val="22"/>
          <w:lang w:val="en-GB"/>
        </w:rPr>
        <w:t>afl.</w:t>
      </w:r>
      <w:r w:rsidRPr="00934475">
        <w:rPr>
          <w:sz w:val="22"/>
          <w:szCs w:val="22"/>
          <w:lang w:val="en-GB"/>
        </w:rPr>
        <w:t xml:space="preserve"> 3-4.</w:t>
      </w:r>
    </w:p>
    <w:p w14:paraId="4AF69C1C" w14:textId="77777777" w:rsidR="00DA1440" w:rsidRDefault="00DA1440" w:rsidP="00DA1440">
      <w:pPr>
        <w:pStyle w:val="Voetnoottekst"/>
        <w:rPr>
          <w:sz w:val="22"/>
          <w:szCs w:val="22"/>
          <w:lang w:val="en-GB"/>
        </w:rPr>
      </w:pPr>
    </w:p>
    <w:p w14:paraId="71CFB0AA" w14:textId="77777777" w:rsidR="00DA1440" w:rsidRDefault="00DA1440" w:rsidP="00DA1440">
      <w:pPr>
        <w:pStyle w:val="Geenafstand"/>
        <w:rPr>
          <w:b/>
          <w:bCs/>
        </w:rPr>
      </w:pPr>
      <w:r>
        <w:rPr>
          <w:b/>
          <w:bCs/>
        </w:rPr>
        <w:t>Raat 2016</w:t>
      </w:r>
    </w:p>
    <w:p w14:paraId="47B9696F" w14:textId="77777777" w:rsidR="00DA1440" w:rsidRPr="00F608F6" w:rsidRDefault="00DA1440" w:rsidP="00DA1440">
      <w:pPr>
        <w:pStyle w:val="Voetnoottekst"/>
        <w:jc w:val="both"/>
        <w:rPr>
          <w:sz w:val="22"/>
          <w:szCs w:val="22"/>
        </w:rPr>
      </w:pPr>
      <w:r w:rsidRPr="0036320C">
        <w:rPr>
          <w:sz w:val="22"/>
          <w:szCs w:val="22"/>
        </w:rPr>
        <w:t xml:space="preserve">C. Raat, </w:t>
      </w:r>
      <w:r>
        <w:rPr>
          <w:sz w:val="22"/>
          <w:szCs w:val="22"/>
        </w:rPr>
        <w:t>annotatie</w:t>
      </w:r>
      <w:r w:rsidRPr="0036320C">
        <w:rPr>
          <w:sz w:val="22"/>
          <w:szCs w:val="22"/>
        </w:rPr>
        <w:t xml:space="preserve"> bij Rb. </w:t>
      </w:r>
      <w:r w:rsidRPr="00F608F6">
        <w:rPr>
          <w:sz w:val="22"/>
          <w:szCs w:val="22"/>
        </w:rPr>
        <w:t xml:space="preserve">Rotterdam 12 juli 2016, ECLI:NL:RBROT:2016:5272, </w:t>
      </w:r>
      <w:r w:rsidRPr="00F608F6">
        <w:rPr>
          <w:i/>
          <w:iCs/>
          <w:sz w:val="22"/>
          <w:szCs w:val="22"/>
        </w:rPr>
        <w:t xml:space="preserve">JG </w:t>
      </w:r>
      <w:r w:rsidRPr="00F608F6">
        <w:rPr>
          <w:sz w:val="22"/>
          <w:szCs w:val="22"/>
        </w:rPr>
        <w:t>2016/60.</w:t>
      </w:r>
    </w:p>
    <w:p w14:paraId="2F0EB4F2" w14:textId="77777777" w:rsidR="00DA1440" w:rsidRPr="00F608F6" w:rsidRDefault="00DA1440" w:rsidP="00DA1440">
      <w:pPr>
        <w:pStyle w:val="Voetnoottekst"/>
        <w:jc w:val="both"/>
        <w:rPr>
          <w:sz w:val="22"/>
          <w:szCs w:val="22"/>
        </w:rPr>
      </w:pPr>
    </w:p>
    <w:p w14:paraId="624077C9" w14:textId="77777777" w:rsidR="00DA1440" w:rsidRDefault="00DA1440" w:rsidP="00DA1440">
      <w:pPr>
        <w:pStyle w:val="Geenafstand"/>
        <w:rPr>
          <w:b/>
          <w:bCs/>
        </w:rPr>
      </w:pPr>
      <w:r>
        <w:rPr>
          <w:b/>
          <w:bCs/>
        </w:rPr>
        <w:t>Rooijendijk 2024</w:t>
      </w:r>
    </w:p>
    <w:p w14:paraId="5E404BFC" w14:textId="589389EC" w:rsidR="00DA1440" w:rsidRDefault="00DA1440" w:rsidP="00DA1440">
      <w:pPr>
        <w:pStyle w:val="Geenafstand"/>
      </w:pPr>
      <w:r w:rsidRPr="00A80524">
        <w:t>L. Rooijendijk, ‘Hoe Nederland internationale anti-corruptieregels aan de laars lapt’, transpar</w:t>
      </w:r>
      <w:r w:rsidR="005E2F98">
        <w:t>e</w:t>
      </w:r>
      <w:r w:rsidRPr="00A80524">
        <w:t>ncy.nl</w:t>
      </w:r>
      <w:r>
        <w:t>,</w:t>
      </w:r>
      <w:r w:rsidRPr="00A80524">
        <w:t xml:space="preserve"> 7 juni 2024.</w:t>
      </w:r>
    </w:p>
    <w:p w14:paraId="63AFE6F3" w14:textId="77777777" w:rsidR="00DA1440" w:rsidRDefault="00DA1440" w:rsidP="00DA1440">
      <w:pPr>
        <w:pStyle w:val="Geenafstand"/>
      </w:pPr>
    </w:p>
    <w:p w14:paraId="6E3BE166" w14:textId="77777777" w:rsidR="00DA1440" w:rsidRPr="001044A1" w:rsidRDefault="00DA1440" w:rsidP="00DA1440">
      <w:pPr>
        <w:pStyle w:val="Geenafstand"/>
        <w:rPr>
          <w:b/>
          <w:bCs/>
        </w:rPr>
      </w:pPr>
      <w:r>
        <w:rPr>
          <w:b/>
          <w:bCs/>
        </w:rPr>
        <w:t>Rooijendijk 2025</w:t>
      </w:r>
    </w:p>
    <w:p w14:paraId="0A430031" w14:textId="77777777" w:rsidR="00DA1440" w:rsidRDefault="00DA1440" w:rsidP="00DA1440">
      <w:pPr>
        <w:pStyle w:val="Geenafstand"/>
      </w:pPr>
      <w:r>
        <w:t>L. Rooijendijk, ‘Vastgelopen onderhandelingen anti-corruptierichtlijn stellen Deens EU-voorzitterschap op de proef’, transparency.nl, 1 juli 2025.</w:t>
      </w:r>
    </w:p>
    <w:p w14:paraId="476B0E46" w14:textId="77777777" w:rsidR="00DA1440" w:rsidRDefault="00DA1440" w:rsidP="00DA1440">
      <w:pPr>
        <w:pStyle w:val="Geenafstand"/>
      </w:pPr>
    </w:p>
    <w:p w14:paraId="710F6F4A" w14:textId="77777777" w:rsidR="00DA1440" w:rsidRPr="001044A1" w:rsidRDefault="00DA1440" w:rsidP="00DA1440">
      <w:pPr>
        <w:pStyle w:val="Voetnoottekst"/>
        <w:jc w:val="both"/>
        <w:rPr>
          <w:b/>
          <w:bCs/>
          <w:sz w:val="22"/>
          <w:szCs w:val="22"/>
        </w:rPr>
      </w:pPr>
      <w:r>
        <w:rPr>
          <w:b/>
          <w:bCs/>
          <w:sz w:val="22"/>
          <w:szCs w:val="22"/>
        </w:rPr>
        <w:t>Roording 2002</w:t>
      </w:r>
    </w:p>
    <w:p w14:paraId="782D5E3E" w14:textId="77777777" w:rsidR="00DA1440" w:rsidRPr="00313B06" w:rsidRDefault="00DA1440" w:rsidP="00DA1440">
      <w:pPr>
        <w:pStyle w:val="Geenafstand"/>
      </w:pPr>
      <w:r>
        <w:t xml:space="preserve">J.F.L. Roording, ‘Corruptie in het Nederlandse strafrecht’, </w:t>
      </w:r>
      <w:r>
        <w:rPr>
          <w:i/>
          <w:iCs/>
        </w:rPr>
        <w:t xml:space="preserve">DD </w:t>
      </w:r>
      <w:r>
        <w:t>2002/2.</w:t>
      </w:r>
    </w:p>
    <w:p w14:paraId="7F85742B" w14:textId="77777777" w:rsidR="00DA1440" w:rsidRDefault="00DA1440" w:rsidP="00DA1440">
      <w:pPr>
        <w:pStyle w:val="Geenafstand"/>
      </w:pPr>
    </w:p>
    <w:p w14:paraId="3DC69B5E" w14:textId="77777777" w:rsidR="00DA1440" w:rsidRDefault="00DA1440" w:rsidP="00DA1440">
      <w:pPr>
        <w:pStyle w:val="Geenafstand"/>
        <w:rPr>
          <w:b/>
          <w:bCs/>
        </w:rPr>
      </w:pPr>
      <w:r>
        <w:rPr>
          <w:b/>
          <w:bCs/>
        </w:rPr>
        <w:t>De Roos 1987</w:t>
      </w:r>
    </w:p>
    <w:p w14:paraId="074347D5" w14:textId="77777777" w:rsidR="00DA1440" w:rsidRPr="00E7084A" w:rsidRDefault="00DA1440" w:rsidP="00DA1440">
      <w:pPr>
        <w:pStyle w:val="Geenafstand"/>
      </w:pPr>
      <w:r>
        <w:t xml:space="preserve">Th.A. de Roos, </w:t>
      </w:r>
      <w:r>
        <w:rPr>
          <w:i/>
          <w:iCs/>
        </w:rPr>
        <w:t>Strafbaarstelling van economische delicten</w:t>
      </w:r>
      <w:r>
        <w:t>, Arnhem: Gouda Quint 1987.</w:t>
      </w:r>
    </w:p>
    <w:p w14:paraId="3B277252" w14:textId="77777777" w:rsidR="00DA1440" w:rsidRDefault="00DA1440" w:rsidP="00DA1440">
      <w:pPr>
        <w:pStyle w:val="Geenafstand"/>
        <w:rPr>
          <w:b/>
          <w:bCs/>
        </w:rPr>
      </w:pPr>
    </w:p>
    <w:p w14:paraId="7359999D" w14:textId="77777777" w:rsidR="00DA1440" w:rsidRPr="001044A1" w:rsidRDefault="00DA1440" w:rsidP="00DA1440">
      <w:pPr>
        <w:pStyle w:val="Geenafstand"/>
        <w:rPr>
          <w:b/>
          <w:bCs/>
        </w:rPr>
      </w:pPr>
      <w:r>
        <w:rPr>
          <w:b/>
          <w:bCs/>
        </w:rPr>
        <w:t>De Ruyver e.a. 2009</w:t>
      </w:r>
    </w:p>
    <w:p w14:paraId="4F671678" w14:textId="77777777" w:rsidR="00DA1440" w:rsidRDefault="00DA1440" w:rsidP="00DA1440">
      <w:pPr>
        <w:pStyle w:val="Geenafstand"/>
      </w:pPr>
      <w:r w:rsidRPr="002E407E">
        <w:t xml:space="preserve">B. de Ruyver e.a., </w:t>
      </w:r>
      <w:r w:rsidRPr="002E407E">
        <w:rPr>
          <w:i/>
          <w:iCs/>
        </w:rPr>
        <w:t>Anti-corruptiestrategieën: de</w:t>
      </w:r>
      <w:r>
        <w:rPr>
          <w:i/>
          <w:iCs/>
        </w:rPr>
        <w:t xml:space="preserve"> aanpak van corruptie en beïnvloeding bij de bestrijding van de hormonendelinquentie en de vleesfraude: een case-study</w:t>
      </w:r>
      <w:r>
        <w:t xml:space="preserve">, Antwerpen (België): Maklu 2009. </w:t>
      </w:r>
    </w:p>
    <w:p w14:paraId="40D5CBF1" w14:textId="77777777" w:rsidR="00DA1440" w:rsidRDefault="00DA1440" w:rsidP="00DA1440">
      <w:pPr>
        <w:pStyle w:val="Geenafstand"/>
      </w:pPr>
    </w:p>
    <w:p w14:paraId="64FDA7ED" w14:textId="08BB2010" w:rsidR="00DA1440" w:rsidRPr="00FA5191" w:rsidRDefault="00DA1440" w:rsidP="00DA1440">
      <w:pPr>
        <w:pStyle w:val="Geenafstand"/>
        <w:rPr>
          <w:b/>
          <w:bCs/>
          <w:lang w:val="en-GB"/>
        </w:rPr>
      </w:pPr>
      <w:r>
        <w:rPr>
          <w:b/>
          <w:bCs/>
          <w:lang w:val="en-GB"/>
        </w:rPr>
        <w:t>Sanchez Salgado &amp; G</w:t>
      </w:r>
      <w:r w:rsidR="00D65029">
        <w:rPr>
          <w:b/>
          <w:bCs/>
          <w:lang w:val="en-GB"/>
        </w:rPr>
        <w:t>ü</w:t>
      </w:r>
      <w:r>
        <w:rPr>
          <w:b/>
          <w:bCs/>
          <w:lang w:val="en-GB"/>
        </w:rPr>
        <w:t>rkan 2026</w:t>
      </w:r>
    </w:p>
    <w:p w14:paraId="722024F5" w14:textId="66B4DB2F" w:rsidR="00DA1440" w:rsidRDefault="00DA1440" w:rsidP="00DA1440">
      <w:pPr>
        <w:pStyle w:val="Geenafstand"/>
        <w:rPr>
          <w:lang w:val="en-GB"/>
        </w:rPr>
      </w:pPr>
      <w:r w:rsidRPr="006009B1">
        <w:rPr>
          <w:lang w:val="en-GB"/>
        </w:rPr>
        <w:t xml:space="preserve">R. Sanchez Salgado &amp; S. Gürkan, ‘Emotions and policy change in the wake of political scandals: How did the Qatargate shake the European Parliament?’, </w:t>
      </w:r>
      <w:r w:rsidRPr="006009B1">
        <w:rPr>
          <w:i/>
          <w:iCs/>
          <w:lang w:val="en-GB"/>
        </w:rPr>
        <w:t>European Policy Analysis</w:t>
      </w:r>
      <w:r>
        <w:rPr>
          <w:lang w:val="en-GB"/>
        </w:rPr>
        <w:t xml:space="preserve"> </w:t>
      </w:r>
      <w:r w:rsidR="001A2A58">
        <w:rPr>
          <w:lang w:val="en-GB"/>
        </w:rPr>
        <w:t xml:space="preserve">(12) </w:t>
      </w:r>
      <w:r>
        <w:rPr>
          <w:lang w:val="en-GB"/>
        </w:rPr>
        <w:t>2026</w:t>
      </w:r>
      <w:r w:rsidRPr="006009B1">
        <w:rPr>
          <w:lang w:val="en-GB"/>
        </w:rPr>
        <w:t xml:space="preserve">, </w:t>
      </w:r>
      <w:r>
        <w:rPr>
          <w:lang w:val="en-GB"/>
        </w:rPr>
        <w:t>afl. 1.</w:t>
      </w:r>
    </w:p>
    <w:p w14:paraId="5636C07E" w14:textId="77777777" w:rsidR="00DA1440" w:rsidRDefault="00DA1440" w:rsidP="00DA1440">
      <w:pPr>
        <w:pStyle w:val="Geenafstand"/>
        <w:rPr>
          <w:lang w:val="en-GB"/>
        </w:rPr>
      </w:pPr>
    </w:p>
    <w:p w14:paraId="0D83746C" w14:textId="77777777" w:rsidR="00DA1440" w:rsidRDefault="00DA1440" w:rsidP="00DA1440">
      <w:pPr>
        <w:pStyle w:val="Geenafstand"/>
        <w:rPr>
          <w:b/>
          <w:bCs/>
          <w:lang w:val="en-GB"/>
        </w:rPr>
      </w:pPr>
      <w:r>
        <w:rPr>
          <w:b/>
          <w:bCs/>
          <w:lang w:val="en-GB"/>
        </w:rPr>
        <w:t>Segonds 2023</w:t>
      </w:r>
    </w:p>
    <w:p w14:paraId="07161420" w14:textId="77777777" w:rsidR="00DA1440" w:rsidRPr="00BE6A4A" w:rsidRDefault="00DA1440" w:rsidP="00DA1440">
      <w:pPr>
        <w:pStyle w:val="Geenafstand"/>
        <w:rPr>
          <w:lang w:val="en-GB"/>
        </w:rPr>
      </w:pPr>
      <w:r w:rsidRPr="0035357B">
        <w:rPr>
          <w:lang w:val="en-GB"/>
        </w:rPr>
        <w:t>M. Segonds, ‘</w:t>
      </w:r>
      <w:r>
        <w:rPr>
          <w:lang w:val="en-GB"/>
        </w:rPr>
        <w:t xml:space="preserve">Loi Sapin, 30 ans après, où en est-on ? </w:t>
      </w:r>
      <w:r w:rsidRPr="0035357B">
        <w:rPr>
          <w:lang w:val="en-GB"/>
        </w:rPr>
        <w:t>Répresentation d’intérêts e</w:t>
      </w:r>
      <w:r>
        <w:rPr>
          <w:lang w:val="en-GB"/>
        </w:rPr>
        <w:t xml:space="preserve">t traffic d’influence… ou les affres de la dépénalisation par la transparance’, </w:t>
      </w:r>
      <w:r>
        <w:rPr>
          <w:i/>
          <w:iCs/>
          <w:lang w:val="en-GB"/>
        </w:rPr>
        <w:t xml:space="preserve">La Semaine Juridique </w:t>
      </w:r>
      <w:r>
        <w:rPr>
          <w:lang w:val="en-GB"/>
        </w:rPr>
        <w:t>2023, nr. 18.</w:t>
      </w:r>
    </w:p>
    <w:p w14:paraId="750ECEA3" w14:textId="77777777" w:rsidR="00DA1440" w:rsidRDefault="00DA1440" w:rsidP="00DA1440">
      <w:pPr>
        <w:pStyle w:val="Geenafstand"/>
        <w:rPr>
          <w:lang w:val="en-GB"/>
        </w:rPr>
      </w:pPr>
    </w:p>
    <w:p w14:paraId="541A3A33" w14:textId="77777777" w:rsidR="00DA1440" w:rsidRPr="001044A1" w:rsidRDefault="00DA1440" w:rsidP="00DA1440">
      <w:pPr>
        <w:pStyle w:val="Geenafstand"/>
        <w:rPr>
          <w:b/>
          <w:bCs/>
        </w:rPr>
      </w:pPr>
      <w:r>
        <w:rPr>
          <w:b/>
          <w:bCs/>
        </w:rPr>
        <w:t>De Serière 2019</w:t>
      </w:r>
    </w:p>
    <w:p w14:paraId="0D37A174" w14:textId="77777777" w:rsidR="00DA1440" w:rsidRDefault="00DA1440" w:rsidP="00DA1440">
      <w:pPr>
        <w:pStyle w:val="Geenafstand"/>
        <w:rPr>
          <w:b/>
          <w:bCs/>
        </w:rPr>
      </w:pPr>
      <w:r>
        <w:t xml:space="preserve">V.P.G. de Serière, ‘Het Bundesverfassungsgericht en de Europese Banken Unie’, </w:t>
      </w:r>
      <w:r>
        <w:rPr>
          <w:i/>
          <w:iCs/>
        </w:rPr>
        <w:t xml:space="preserve">Ondernemingsrecht </w:t>
      </w:r>
      <w:r>
        <w:t>2019/172.</w:t>
      </w:r>
    </w:p>
    <w:p w14:paraId="2A45F2D7" w14:textId="77777777" w:rsidR="00CE5661" w:rsidRPr="00BA36DC" w:rsidRDefault="00CE5661" w:rsidP="00DA1440">
      <w:pPr>
        <w:pStyle w:val="Geenafstand"/>
        <w:rPr>
          <w:b/>
          <w:bCs/>
        </w:rPr>
      </w:pPr>
    </w:p>
    <w:p w14:paraId="7EE29BBF" w14:textId="7C8C37CF" w:rsidR="00DA1440" w:rsidRPr="00F608F6" w:rsidRDefault="00DA1440" w:rsidP="00DA1440">
      <w:pPr>
        <w:pStyle w:val="Geenafstand"/>
        <w:rPr>
          <w:b/>
          <w:bCs/>
          <w:lang w:val="en-GB"/>
        </w:rPr>
      </w:pPr>
      <w:r w:rsidRPr="00F608F6">
        <w:rPr>
          <w:b/>
          <w:bCs/>
          <w:lang w:val="en-GB"/>
        </w:rPr>
        <w:lastRenderedPageBreak/>
        <w:t>Sirugue e.a. 2013</w:t>
      </w:r>
    </w:p>
    <w:p w14:paraId="567DEBAA" w14:textId="77777777" w:rsidR="00DA1440" w:rsidRPr="001A1AC2" w:rsidRDefault="00DA1440" w:rsidP="00DA1440">
      <w:pPr>
        <w:pStyle w:val="Geenafstand"/>
        <w:rPr>
          <w:lang w:val="en-GB"/>
        </w:rPr>
      </w:pPr>
      <w:r w:rsidRPr="00F608F6">
        <w:rPr>
          <w:lang w:val="en-GB"/>
        </w:rPr>
        <w:t xml:space="preserve">C. Sirugue e.a., </w:t>
      </w:r>
      <w:r w:rsidRPr="00F608F6">
        <w:rPr>
          <w:i/>
          <w:iCs/>
          <w:lang w:val="en-GB"/>
        </w:rPr>
        <w:t xml:space="preserve">Rapport présenté par M. Christophe Sirugue, Président de la délégation chargée des représentants d’intérêts et des groupes d’études. </w:t>
      </w:r>
      <w:r w:rsidRPr="00770484">
        <w:rPr>
          <w:i/>
          <w:iCs/>
          <w:lang w:val="en-GB"/>
        </w:rPr>
        <w:t>Au nom du groupe de travail sur les lobbies à l’Assemblée nationale</w:t>
      </w:r>
      <w:r>
        <w:rPr>
          <w:lang w:val="en-GB"/>
        </w:rPr>
        <w:t>, 27 februari 2013.</w:t>
      </w:r>
    </w:p>
    <w:p w14:paraId="23889E2B" w14:textId="77777777" w:rsidR="003D7D29" w:rsidRDefault="003D7D29" w:rsidP="00DA1440">
      <w:pPr>
        <w:pStyle w:val="Geenafstand"/>
        <w:rPr>
          <w:b/>
          <w:bCs/>
          <w:lang w:val="en-GB"/>
        </w:rPr>
      </w:pPr>
    </w:p>
    <w:p w14:paraId="37C6CD92" w14:textId="5B854A84" w:rsidR="00DA1440" w:rsidRPr="001044A1" w:rsidRDefault="00DA1440" w:rsidP="00DA1440">
      <w:pPr>
        <w:pStyle w:val="Geenafstand"/>
        <w:rPr>
          <w:b/>
          <w:bCs/>
          <w:lang w:val="en-GB"/>
        </w:rPr>
      </w:pPr>
      <w:r w:rsidRPr="001044A1">
        <w:rPr>
          <w:b/>
          <w:bCs/>
          <w:lang w:val="en-GB"/>
        </w:rPr>
        <w:t>Slingerland 2018</w:t>
      </w:r>
    </w:p>
    <w:p w14:paraId="60C93AB2" w14:textId="77777777" w:rsidR="00DA1440" w:rsidRPr="001044A1" w:rsidRDefault="00DA1440" w:rsidP="00DA1440">
      <w:pPr>
        <w:pStyle w:val="Voetnoottekst"/>
        <w:jc w:val="both"/>
        <w:rPr>
          <w:sz w:val="22"/>
          <w:szCs w:val="22"/>
          <w:lang w:val="en-GB"/>
        </w:rPr>
      </w:pPr>
      <w:r w:rsidRPr="001044A1">
        <w:rPr>
          <w:sz w:val="22"/>
          <w:szCs w:val="22"/>
          <w:lang w:val="en-GB"/>
        </w:rPr>
        <w:t xml:space="preserve">W. Slingerland, </w:t>
      </w:r>
      <w:r w:rsidRPr="001044A1">
        <w:rPr>
          <w:i/>
          <w:iCs/>
          <w:sz w:val="22"/>
          <w:szCs w:val="22"/>
          <w:lang w:val="en-GB"/>
        </w:rPr>
        <w:t>Network corruption: when social capital becomes corrupted</w:t>
      </w:r>
      <w:r w:rsidRPr="001044A1">
        <w:rPr>
          <w:sz w:val="22"/>
          <w:szCs w:val="22"/>
          <w:lang w:val="en-GB"/>
        </w:rPr>
        <w:t xml:space="preserve"> </w:t>
      </w:r>
      <w:r>
        <w:rPr>
          <w:sz w:val="22"/>
          <w:szCs w:val="22"/>
          <w:lang w:val="en-GB"/>
        </w:rPr>
        <w:t>(diss. Amsterdam</w:t>
      </w:r>
      <w:r w:rsidRPr="00452F6E">
        <w:rPr>
          <w:sz w:val="22"/>
          <w:szCs w:val="22"/>
          <w:lang w:val="en-GB"/>
        </w:rPr>
        <w:t xml:space="preserve"> </w:t>
      </w:r>
      <w:r>
        <w:rPr>
          <w:sz w:val="22"/>
          <w:szCs w:val="22"/>
          <w:lang w:val="en-GB"/>
        </w:rPr>
        <w:t xml:space="preserve">VU), </w:t>
      </w:r>
      <w:r w:rsidRPr="001044A1">
        <w:rPr>
          <w:sz w:val="22"/>
          <w:szCs w:val="22"/>
          <w:lang w:val="en-GB"/>
        </w:rPr>
        <w:t>2018.</w:t>
      </w:r>
    </w:p>
    <w:p w14:paraId="22DDA4A5" w14:textId="77777777" w:rsidR="00DA1440" w:rsidRPr="001044A1" w:rsidRDefault="00DA1440" w:rsidP="00DA1440">
      <w:pPr>
        <w:pStyle w:val="Geenafstand"/>
        <w:rPr>
          <w:lang w:val="en-GB"/>
        </w:rPr>
      </w:pPr>
    </w:p>
    <w:p w14:paraId="2C020996" w14:textId="77777777" w:rsidR="00DA1440" w:rsidRPr="001044A1" w:rsidRDefault="00DA1440" w:rsidP="00DA1440">
      <w:pPr>
        <w:pStyle w:val="Geenafstand"/>
        <w:rPr>
          <w:b/>
          <w:bCs/>
          <w:lang w:val="en-GB"/>
        </w:rPr>
      </w:pPr>
      <w:r w:rsidRPr="001044A1">
        <w:rPr>
          <w:b/>
          <w:bCs/>
          <w:lang w:val="en-GB"/>
        </w:rPr>
        <w:t>Slingerland 2023</w:t>
      </w:r>
    </w:p>
    <w:p w14:paraId="65368972" w14:textId="77777777" w:rsidR="00DA1440" w:rsidRPr="001044A1" w:rsidRDefault="00DA1440" w:rsidP="00DA1440">
      <w:pPr>
        <w:pStyle w:val="Geenafstand"/>
        <w:rPr>
          <w:lang w:val="en-GB"/>
        </w:rPr>
      </w:pPr>
      <w:r w:rsidRPr="00750A2A">
        <w:rPr>
          <w:lang w:val="en-GB"/>
        </w:rPr>
        <w:t>W. Slingerland, ‘Trading in influence’,</w:t>
      </w:r>
      <w:r>
        <w:rPr>
          <w:lang w:val="en-GB"/>
        </w:rPr>
        <w:t xml:space="preserve"> in: M. Pieth &amp; T. Soreide (red.), </w:t>
      </w:r>
      <w:r>
        <w:rPr>
          <w:i/>
          <w:iCs/>
          <w:lang w:val="en-GB"/>
        </w:rPr>
        <w:t>Elgar Concise Encyclopedia of Corruption Law</w:t>
      </w:r>
      <w:r>
        <w:rPr>
          <w:lang w:val="en-GB"/>
        </w:rPr>
        <w:t>, Northampton (Engeland): Edward Elgar Publishing 2023, p. 403 – 405.</w:t>
      </w:r>
    </w:p>
    <w:p w14:paraId="7843BEF7" w14:textId="77777777" w:rsidR="00DA1440" w:rsidRDefault="00DA1440" w:rsidP="00DA1440">
      <w:pPr>
        <w:pStyle w:val="Geenafstand"/>
        <w:rPr>
          <w:lang w:val="en-GB"/>
        </w:rPr>
      </w:pPr>
    </w:p>
    <w:p w14:paraId="5A0200CA" w14:textId="0865F1D7" w:rsidR="00DA1440" w:rsidRPr="00990692" w:rsidRDefault="00DA1440" w:rsidP="00DA1440">
      <w:pPr>
        <w:pStyle w:val="Geenafstand"/>
        <w:rPr>
          <w:b/>
          <w:bCs/>
        </w:rPr>
      </w:pPr>
      <w:r w:rsidRPr="00990692">
        <w:rPr>
          <w:b/>
          <w:bCs/>
        </w:rPr>
        <w:t>Smid 2012</w:t>
      </w:r>
    </w:p>
    <w:p w14:paraId="19E5375A" w14:textId="77777777" w:rsidR="00DA1440" w:rsidRPr="00C77A06" w:rsidRDefault="00DA1440" w:rsidP="00DA1440">
      <w:pPr>
        <w:pStyle w:val="Geenafstand"/>
      </w:pPr>
      <w:r>
        <w:t xml:space="preserve">G. Smid, </w:t>
      </w:r>
      <w:r w:rsidRPr="000C60E0">
        <w:rPr>
          <w:i/>
          <w:iCs/>
        </w:rPr>
        <w:t>Omkoping</w:t>
      </w:r>
      <w:r>
        <w:t xml:space="preserve"> </w:t>
      </w:r>
      <w:r w:rsidRPr="0064573A">
        <w:rPr>
          <w:i/>
          <w:iCs/>
        </w:rPr>
        <w:t>bestraft? Internationale invloeden op de strafrechtelijke bestrijding van (buitenlandse) omkoping</w:t>
      </w:r>
      <w:r>
        <w:t xml:space="preserve"> (diss. </w:t>
      </w:r>
      <w:r w:rsidRPr="00C77A06">
        <w:t>Rotterdam), Rotterdam: Wolf Legal Publishers 2012.</w:t>
      </w:r>
    </w:p>
    <w:p w14:paraId="098935BD" w14:textId="77777777" w:rsidR="00DA1440" w:rsidRPr="00C77A06" w:rsidRDefault="00DA1440" w:rsidP="00DA1440">
      <w:pPr>
        <w:pStyle w:val="Geenafstand"/>
      </w:pPr>
    </w:p>
    <w:p w14:paraId="6FDF566B" w14:textId="77777777" w:rsidR="00DA1440" w:rsidRPr="00514183" w:rsidRDefault="00DA1440" w:rsidP="00DA1440">
      <w:pPr>
        <w:pStyle w:val="Geenafstand"/>
        <w:rPr>
          <w:b/>
          <w:bCs/>
        </w:rPr>
      </w:pPr>
      <w:r w:rsidRPr="00514183">
        <w:rPr>
          <w:b/>
          <w:bCs/>
        </w:rPr>
        <w:t>Smidt 1891</w:t>
      </w:r>
    </w:p>
    <w:p w14:paraId="66034101" w14:textId="77777777" w:rsidR="00DA1440" w:rsidRDefault="00DA1440" w:rsidP="00DA1440">
      <w:pPr>
        <w:pStyle w:val="Geenafstand"/>
      </w:pPr>
      <w:r w:rsidRPr="004715EE">
        <w:t>J.</w:t>
      </w:r>
      <w:r>
        <w:t>W.</w:t>
      </w:r>
      <w:r w:rsidRPr="004715EE">
        <w:t xml:space="preserve"> Smidt, </w:t>
      </w:r>
      <w:r w:rsidRPr="0081309C">
        <w:rPr>
          <w:i/>
          <w:iCs/>
        </w:rPr>
        <w:t>Geschiedenis van het Wetboek van Strafrecht</w:t>
      </w:r>
      <w:r w:rsidRPr="004715EE">
        <w:t>, Haarlem: H.D. Tjeenk Willink 1891.</w:t>
      </w:r>
    </w:p>
    <w:p w14:paraId="25E1A034" w14:textId="77777777" w:rsidR="00DA1440" w:rsidRDefault="00DA1440" w:rsidP="00DA1440">
      <w:pPr>
        <w:pStyle w:val="Geenafstand"/>
      </w:pPr>
    </w:p>
    <w:p w14:paraId="5BCBA063" w14:textId="77777777" w:rsidR="00DA1440" w:rsidRPr="00F669A7" w:rsidRDefault="00DA1440" w:rsidP="00DA1440">
      <w:pPr>
        <w:pStyle w:val="Geenafstand"/>
        <w:rPr>
          <w:b/>
          <w:bCs/>
          <w:lang w:val="en-GB"/>
        </w:rPr>
      </w:pPr>
      <w:r w:rsidRPr="00F669A7">
        <w:rPr>
          <w:b/>
          <w:bCs/>
          <w:i/>
          <w:iCs/>
          <w:lang w:val="en-GB"/>
        </w:rPr>
        <w:t>Tenth General Activity Report of GRECO</w:t>
      </w:r>
      <w:r w:rsidRPr="00F669A7">
        <w:rPr>
          <w:b/>
          <w:bCs/>
          <w:lang w:val="en-GB"/>
        </w:rPr>
        <w:t xml:space="preserve"> </w:t>
      </w:r>
      <w:r w:rsidRPr="00F669A7">
        <w:rPr>
          <w:b/>
          <w:bCs/>
          <w:i/>
          <w:iCs/>
          <w:lang w:val="en-GB"/>
        </w:rPr>
        <w:t>(2009)</w:t>
      </w:r>
      <w:r w:rsidRPr="00F669A7">
        <w:rPr>
          <w:b/>
          <w:bCs/>
          <w:lang w:val="en-GB"/>
        </w:rPr>
        <w:t xml:space="preserve"> 2010</w:t>
      </w:r>
    </w:p>
    <w:p w14:paraId="2DD4EA54" w14:textId="77777777" w:rsidR="00DA1440" w:rsidRDefault="00DA1440" w:rsidP="00DA1440">
      <w:pPr>
        <w:pStyle w:val="Geenafstand"/>
        <w:rPr>
          <w:lang w:val="en-GB"/>
        </w:rPr>
      </w:pPr>
      <w:r>
        <w:rPr>
          <w:i/>
          <w:iCs/>
          <w:lang w:val="en-GB"/>
        </w:rPr>
        <w:t>Tenth General Activity Report of GRECO</w:t>
      </w:r>
      <w:r>
        <w:rPr>
          <w:lang w:val="en-GB"/>
        </w:rPr>
        <w:t xml:space="preserve"> </w:t>
      </w:r>
      <w:r>
        <w:rPr>
          <w:i/>
          <w:iCs/>
          <w:lang w:val="en-GB"/>
        </w:rPr>
        <w:t>(2009)</w:t>
      </w:r>
      <w:r>
        <w:rPr>
          <w:lang w:val="en-GB"/>
        </w:rPr>
        <w:t xml:space="preserve"> (rapport van GRECO over Frankrijk), Straatsburg (Frankrijk): GRECO 26 maart 2010.</w:t>
      </w:r>
    </w:p>
    <w:p w14:paraId="5C2E75BA" w14:textId="77777777" w:rsidR="00DA1440" w:rsidRDefault="00DA1440" w:rsidP="00DA1440">
      <w:pPr>
        <w:pStyle w:val="Geenafstand"/>
        <w:rPr>
          <w:lang w:val="en-GB"/>
        </w:rPr>
      </w:pPr>
    </w:p>
    <w:p w14:paraId="7D6738E8" w14:textId="77777777" w:rsidR="00DA1440" w:rsidRPr="00651F0D" w:rsidRDefault="00DA1440" w:rsidP="00DA1440">
      <w:pPr>
        <w:pStyle w:val="Geenafstand"/>
        <w:rPr>
          <w:b/>
          <w:bCs/>
          <w:lang w:val="en-GB"/>
        </w:rPr>
      </w:pPr>
      <w:r w:rsidRPr="00651F0D">
        <w:rPr>
          <w:b/>
          <w:bCs/>
          <w:i/>
          <w:iCs/>
          <w:lang w:val="en-GB"/>
        </w:rPr>
        <w:t>Third Evaluation Round. Evaluation Report on the Netherlands on Incriminations (ETS 173 and 191, GPC 2)</w:t>
      </w:r>
      <w:r w:rsidRPr="00651F0D">
        <w:rPr>
          <w:b/>
          <w:bCs/>
          <w:lang w:val="en-GB"/>
        </w:rPr>
        <w:t xml:space="preserve"> 2008</w:t>
      </w:r>
    </w:p>
    <w:p w14:paraId="7BFF2266" w14:textId="77777777" w:rsidR="00DA1440" w:rsidRDefault="00DA1440" w:rsidP="00DA1440">
      <w:pPr>
        <w:pStyle w:val="Geenafstand"/>
        <w:rPr>
          <w:lang w:val="en-GB"/>
        </w:rPr>
      </w:pPr>
      <w:r w:rsidRPr="00BA3AF3">
        <w:rPr>
          <w:i/>
          <w:iCs/>
          <w:lang w:val="en-GB"/>
        </w:rPr>
        <w:t>Third Evaluation Round. Evaluation Report on the Netherlands on ,,Incriminations (ETS 173 and 191, GPC 2)” (Theme I)</w:t>
      </w:r>
      <w:r>
        <w:rPr>
          <w:lang w:val="en-GB"/>
        </w:rPr>
        <w:t xml:space="preserve"> (evaluatie door GRECO)</w:t>
      </w:r>
      <w:r w:rsidRPr="00A35E28">
        <w:rPr>
          <w:lang w:val="en-GB"/>
        </w:rPr>
        <w:t>, Straatsburg</w:t>
      </w:r>
      <w:r>
        <w:rPr>
          <w:lang w:val="en-GB"/>
        </w:rPr>
        <w:t xml:space="preserve"> (Frankrijk): GRECO</w:t>
      </w:r>
      <w:r w:rsidRPr="00A35E28">
        <w:rPr>
          <w:lang w:val="en-GB"/>
        </w:rPr>
        <w:t xml:space="preserve"> 13 juni 2008.</w:t>
      </w:r>
    </w:p>
    <w:p w14:paraId="05D7A8A8" w14:textId="77777777" w:rsidR="00DA1440" w:rsidRDefault="00DA1440" w:rsidP="00DA1440">
      <w:pPr>
        <w:pStyle w:val="Geenafstand"/>
        <w:rPr>
          <w:lang w:val="en-GB"/>
        </w:rPr>
      </w:pPr>
    </w:p>
    <w:p w14:paraId="3D6DE36A" w14:textId="77777777" w:rsidR="00DA1440" w:rsidRPr="006B0ADE" w:rsidRDefault="00DA1440" w:rsidP="00DA1440">
      <w:pPr>
        <w:pStyle w:val="Geenafstand"/>
        <w:rPr>
          <w:b/>
          <w:bCs/>
          <w:lang w:val="en-GB"/>
        </w:rPr>
      </w:pPr>
      <w:r w:rsidRPr="006B0ADE">
        <w:rPr>
          <w:b/>
          <w:bCs/>
          <w:i/>
          <w:iCs/>
          <w:lang w:val="en-GB"/>
        </w:rPr>
        <w:t>Third Evaluation Round. Evaluation Report on Sweden on Incriminations (ETS 173 and 191, GPC 2)</w:t>
      </w:r>
      <w:r w:rsidRPr="006B0ADE">
        <w:rPr>
          <w:b/>
          <w:bCs/>
          <w:lang w:val="en-GB"/>
        </w:rPr>
        <w:t xml:space="preserve"> 2009</w:t>
      </w:r>
    </w:p>
    <w:p w14:paraId="3BBA1DB1" w14:textId="77777777" w:rsidR="00DA1440" w:rsidRPr="006B0ADE" w:rsidRDefault="00DA1440" w:rsidP="00DA1440">
      <w:pPr>
        <w:pStyle w:val="Geenafstand"/>
        <w:rPr>
          <w:lang w:val="en-GB"/>
        </w:rPr>
      </w:pPr>
      <w:r w:rsidRPr="006B0ADE">
        <w:rPr>
          <w:i/>
          <w:iCs/>
          <w:lang w:val="en-GB"/>
        </w:rPr>
        <w:t>Third Evaluation Round. Evaluation Report on Sweden on Incriminations (ETS 173 and 191, GPC 2)</w:t>
      </w:r>
      <w:r>
        <w:rPr>
          <w:i/>
          <w:iCs/>
          <w:lang w:val="en-GB"/>
        </w:rPr>
        <w:t xml:space="preserve"> (Theme I)</w:t>
      </w:r>
      <w:r>
        <w:rPr>
          <w:lang w:val="en-GB"/>
        </w:rPr>
        <w:t xml:space="preserve"> (evaluatie door GRECO), Straatsburg (Frankrijk): GRECO 19 februari</w:t>
      </w:r>
      <w:r w:rsidRPr="006B0ADE">
        <w:rPr>
          <w:lang w:val="en-GB"/>
        </w:rPr>
        <w:t xml:space="preserve"> 2009</w:t>
      </w:r>
      <w:r>
        <w:rPr>
          <w:lang w:val="en-GB"/>
        </w:rPr>
        <w:t>.</w:t>
      </w:r>
    </w:p>
    <w:p w14:paraId="6E11F460" w14:textId="77777777" w:rsidR="00DA1440" w:rsidRDefault="00DA1440" w:rsidP="00DA1440">
      <w:pPr>
        <w:pStyle w:val="Geenafstand"/>
        <w:rPr>
          <w:lang w:val="en-GB"/>
        </w:rPr>
      </w:pPr>
    </w:p>
    <w:p w14:paraId="41D9085A" w14:textId="77777777" w:rsidR="00DA1440" w:rsidRPr="00F608F6" w:rsidRDefault="00DA1440" w:rsidP="00DA1440">
      <w:pPr>
        <w:pStyle w:val="Geenafstand"/>
        <w:rPr>
          <w:b/>
          <w:bCs/>
        </w:rPr>
      </w:pPr>
      <w:r w:rsidRPr="00F608F6">
        <w:rPr>
          <w:b/>
          <w:bCs/>
        </w:rPr>
        <w:t>Timmermans 2018</w:t>
      </w:r>
    </w:p>
    <w:p w14:paraId="3E2239BD" w14:textId="77777777" w:rsidR="00DA1440" w:rsidRPr="00F608F6" w:rsidRDefault="00DA1440" w:rsidP="00DA1440">
      <w:pPr>
        <w:pStyle w:val="Geenafstand"/>
      </w:pPr>
      <w:r w:rsidRPr="00F608F6">
        <w:t>A. Timmermans, ‘Lobbyen in de Lage Landen’,</w:t>
      </w:r>
      <w:r w:rsidRPr="00F608F6">
        <w:rPr>
          <w:i/>
          <w:iCs/>
        </w:rPr>
        <w:t xml:space="preserve"> Res Publica </w:t>
      </w:r>
      <w:r w:rsidRPr="00F608F6">
        <w:t>2018/3.</w:t>
      </w:r>
    </w:p>
    <w:p w14:paraId="420DE7B8" w14:textId="77777777" w:rsidR="00DA1440" w:rsidRPr="00F608F6" w:rsidRDefault="00DA1440" w:rsidP="00DA1440">
      <w:pPr>
        <w:pStyle w:val="Geenafstand"/>
      </w:pPr>
    </w:p>
    <w:p w14:paraId="2A7F5270" w14:textId="77777777" w:rsidR="00DA1440" w:rsidRPr="00E3265A" w:rsidRDefault="00DA1440" w:rsidP="00DA1440">
      <w:pPr>
        <w:pStyle w:val="Geenafstand"/>
        <w:rPr>
          <w:b/>
          <w:bCs/>
        </w:rPr>
      </w:pPr>
      <w:r>
        <w:rPr>
          <w:b/>
          <w:bCs/>
        </w:rPr>
        <w:t>Trapman 2024</w:t>
      </w:r>
    </w:p>
    <w:p w14:paraId="718A6F4C" w14:textId="6381BB2D" w:rsidR="00DA1440" w:rsidRDefault="00DA1440" w:rsidP="00DA1440">
      <w:pPr>
        <w:pStyle w:val="Geenafstand"/>
        <w:rPr>
          <w:b/>
          <w:bCs/>
        </w:rPr>
      </w:pPr>
      <w:r w:rsidRPr="00793834">
        <w:t xml:space="preserve">L.S.A. Trapman, </w:t>
      </w:r>
      <w:r w:rsidRPr="00793834">
        <w:rPr>
          <w:i/>
          <w:iCs/>
        </w:rPr>
        <w:t>Kiesrecht, verkiezingen en verkiezingscampagnes</w:t>
      </w:r>
      <w:r w:rsidRPr="00793834">
        <w:t xml:space="preserve"> (</w:t>
      </w:r>
      <w:r w:rsidRPr="00693EF6">
        <w:rPr>
          <w:i/>
          <w:iCs/>
        </w:rPr>
        <w:t>SteR nr. 63)</w:t>
      </w:r>
      <w:r w:rsidR="009035E0">
        <w:t>, Deventer: Wolters Kluwer</w:t>
      </w:r>
      <w:r w:rsidRPr="00793834">
        <w:t xml:space="preserve"> 2024.</w:t>
      </w:r>
    </w:p>
    <w:p w14:paraId="66DCA3ED" w14:textId="77777777" w:rsidR="00DA1440" w:rsidRDefault="00DA1440" w:rsidP="00DA1440">
      <w:pPr>
        <w:pStyle w:val="Geenafstand"/>
        <w:rPr>
          <w:b/>
          <w:bCs/>
        </w:rPr>
      </w:pPr>
    </w:p>
    <w:p w14:paraId="3989BBE6" w14:textId="77777777" w:rsidR="00DA1440" w:rsidRPr="00550F63" w:rsidRDefault="00DA1440" w:rsidP="00DA1440">
      <w:pPr>
        <w:pStyle w:val="Geenafstand"/>
        <w:rPr>
          <w:b/>
          <w:bCs/>
        </w:rPr>
      </w:pPr>
      <w:r w:rsidRPr="00550F63">
        <w:rPr>
          <w:b/>
          <w:bCs/>
        </w:rPr>
        <w:t>Vols 2020</w:t>
      </w:r>
    </w:p>
    <w:p w14:paraId="73FA499B" w14:textId="77777777" w:rsidR="00DA1440" w:rsidRPr="00E4565D" w:rsidRDefault="00DA1440" w:rsidP="00DA1440">
      <w:pPr>
        <w:pStyle w:val="Geenafstand"/>
      </w:pPr>
      <w:r w:rsidRPr="00E4565D">
        <w:t xml:space="preserve">M. Vols, </w:t>
      </w:r>
      <w:r w:rsidRPr="00E4565D">
        <w:rPr>
          <w:i/>
          <w:iCs/>
        </w:rPr>
        <w:t>Juridisch onderzoek. Hon</w:t>
      </w:r>
      <w:r>
        <w:rPr>
          <w:i/>
          <w:iCs/>
        </w:rPr>
        <w:t>derd vragen en antwoorden</w:t>
      </w:r>
      <w:r>
        <w:t>, Den Haag: Boom Juridisch 2020.</w:t>
      </w:r>
    </w:p>
    <w:p w14:paraId="63E6C474" w14:textId="77777777" w:rsidR="00DA1440" w:rsidRPr="00E4565D" w:rsidRDefault="00DA1440" w:rsidP="00DA1440">
      <w:pPr>
        <w:pStyle w:val="Geenafstand"/>
      </w:pPr>
    </w:p>
    <w:p w14:paraId="39683435" w14:textId="77777777" w:rsidR="00DA1440" w:rsidRPr="00E97AE6" w:rsidRDefault="00DA1440" w:rsidP="00DA1440">
      <w:pPr>
        <w:pStyle w:val="Geenafstand"/>
        <w:rPr>
          <w:b/>
          <w:bCs/>
        </w:rPr>
      </w:pPr>
      <w:r>
        <w:rPr>
          <w:b/>
          <w:bCs/>
        </w:rPr>
        <w:t>Waterval &amp; Roessingh 2025</w:t>
      </w:r>
    </w:p>
    <w:p w14:paraId="6DA797F0" w14:textId="77777777" w:rsidR="00DA1440" w:rsidRDefault="00DA1440" w:rsidP="00DA1440">
      <w:pPr>
        <w:pStyle w:val="Geenafstand"/>
      </w:pPr>
      <w:r>
        <w:t xml:space="preserve">D. Waterval &amp; M. Roessingh, ‘Justitie staakt onderzoek naar Neelie Kroes en wil betere wetgeving’, </w:t>
      </w:r>
      <w:r>
        <w:rPr>
          <w:i/>
          <w:iCs/>
        </w:rPr>
        <w:t xml:space="preserve">Trouw </w:t>
      </w:r>
      <w:r>
        <w:t>3 februari 2025.</w:t>
      </w:r>
    </w:p>
    <w:p w14:paraId="517CC55A" w14:textId="77777777" w:rsidR="00DA1440" w:rsidRDefault="00DA1440" w:rsidP="00DA1440">
      <w:pPr>
        <w:pStyle w:val="Geenafstand"/>
      </w:pPr>
    </w:p>
    <w:p w14:paraId="3AABEE94" w14:textId="77777777" w:rsidR="00DA1440" w:rsidRPr="00F608F6" w:rsidRDefault="00DA1440" w:rsidP="00DA1440">
      <w:pPr>
        <w:pStyle w:val="Geenafstand"/>
        <w:rPr>
          <w:b/>
          <w:bCs/>
        </w:rPr>
      </w:pPr>
      <w:r w:rsidRPr="00F608F6">
        <w:rPr>
          <w:b/>
          <w:bCs/>
        </w:rPr>
        <w:t>Weijers 2024</w:t>
      </w:r>
    </w:p>
    <w:p w14:paraId="70EC7848" w14:textId="77777777" w:rsidR="00DA1440" w:rsidRPr="004D10BC" w:rsidRDefault="00DA1440" w:rsidP="00DA1440">
      <w:pPr>
        <w:pStyle w:val="Geenafstand"/>
      </w:pPr>
      <w:r>
        <w:t xml:space="preserve">I. Weijers, ‘Nieuwe Wet seksuele misdrijven. Stap achteruit voor seksuele autonomie jongeren’, </w:t>
      </w:r>
      <w:r>
        <w:rPr>
          <w:i/>
          <w:iCs/>
        </w:rPr>
        <w:t xml:space="preserve">NJB </w:t>
      </w:r>
      <w:r>
        <w:t>2024/1480.</w:t>
      </w:r>
    </w:p>
    <w:p w14:paraId="3ACF5E2A" w14:textId="77777777" w:rsidR="00DA1440" w:rsidRPr="004D10BC" w:rsidRDefault="00DA1440" w:rsidP="00DA1440">
      <w:pPr>
        <w:pStyle w:val="Geenafstand"/>
      </w:pPr>
    </w:p>
    <w:p w14:paraId="405C3C69" w14:textId="77777777" w:rsidR="00DA1440" w:rsidRPr="00550F63" w:rsidRDefault="00DA1440" w:rsidP="00DA1440">
      <w:pPr>
        <w:pStyle w:val="Geenafstand"/>
        <w:rPr>
          <w:b/>
          <w:bCs/>
        </w:rPr>
      </w:pPr>
      <w:r w:rsidRPr="00550F63">
        <w:rPr>
          <w:b/>
          <w:bCs/>
        </w:rPr>
        <w:t>Zeiser 2012</w:t>
      </w:r>
    </w:p>
    <w:p w14:paraId="2D86691A" w14:textId="77777777" w:rsidR="00DA1440" w:rsidRPr="00525A8F" w:rsidRDefault="00DA1440" w:rsidP="00DA1440">
      <w:pPr>
        <w:pStyle w:val="Geenafstand"/>
      </w:pPr>
      <w:r w:rsidRPr="0081309C">
        <w:t xml:space="preserve">R. Zeiser, </w:t>
      </w:r>
      <w:r w:rsidRPr="0081309C">
        <w:rPr>
          <w:i/>
          <w:iCs/>
        </w:rPr>
        <w:t>Trafic d'influence: Der Straftatbestand des missbräuchlichen Handels mit Einfluss als Modell zur Schließung von Strafbarkeitslücken?</w:t>
      </w:r>
      <w:r>
        <w:t>, Berlijn (Duitsland): Duncker &amp; Humblot 2012.</w:t>
      </w:r>
    </w:p>
    <w:p w14:paraId="025FC8CA" w14:textId="77777777" w:rsidR="00DA1440" w:rsidRPr="00F608F6" w:rsidRDefault="00DA1440" w:rsidP="00DA1440">
      <w:pPr>
        <w:pStyle w:val="Geenafstand"/>
        <w:rPr>
          <w:b/>
          <w:bCs/>
          <w:lang w:val="en-GB"/>
        </w:rPr>
      </w:pPr>
      <w:r w:rsidRPr="00F608F6">
        <w:rPr>
          <w:b/>
          <w:bCs/>
          <w:lang w:val="en-GB"/>
        </w:rPr>
        <w:lastRenderedPageBreak/>
        <w:t>Zimmermann 2024</w:t>
      </w:r>
    </w:p>
    <w:p w14:paraId="2FA69D7D" w14:textId="48DCB682" w:rsidR="00DA1440" w:rsidRDefault="00DA1440" w:rsidP="00DA1440">
      <w:pPr>
        <w:pStyle w:val="Geenafstand"/>
        <w:rPr>
          <w:lang w:val="en-GB"/>
        </w:rPr>
      </w:pPr>
      <w:r w:rsidRPr="005C085D">
        <w:rPr>
          <w:lang w:val="en-GB"/>
        </w:rPr>
        <w:t xml:space="preserve">F. Zimmermann, ‘Just Call It Corruption and Criminalise… An Assessment of the Commission’s Proposal for an EU Directive on Combating Corruption (COM [2023] 234 final)’, </w:t>
      </w:r>
      <w:r w:rsidRPr="00957342">
        <w:rPr>
          <w:i/>
          <w:iCs/>
          <w:lang w:val="en-GB"/>
        </w:rPr>
        <w:t xml:space="preserve">European Criminal Law Review </w:t>
      </w:r>
      <w:r w:rsidR="001A2A58">
        <w:rPr>
          <w:lang w:val="en-GB"/>
        </w:rPr>
        <w:t xml:space="preserve">(14) </w:t>
      </w:r>
      <w:r w:rsidRPr="001A2A58">
        <w:rPr>
          <w:lang w:val="en-GB"/>
        </w:rPr>
        <w:t>2024</w:t>
      </w:r>
      <w:r w:rsidRPr="005C085D">
        <w:rPr>
          <w:lang w:val="en-GB"/>
        </w:rPr>
        <w:t xml:space="preserve">, </w:t>
      </w:r>
      <w:r w:rsidR="001A2A58">
        <w:rPr>
          <w:lang w:val="en-GB"/>
        </w:rPr>
        <w:t xml:space="preserve">afl. </w:t>
      </w:r>
      <w:r w:rsidRPr="005C085D">
        <w:rPr>
          <w:lang w:val="en-GB"/>
        </w:rPr>
        <w:t>1.</w:t>
      </w:r>
    </w:p>
    <w:p w14:paraId="7420A124" w14:textId="77777777" w:rsidR="00E212CA" w:rsidRPr="005C085D" w:rsidRDefault="00E212CA" w:rsidP="00DA1440">
      <w:pPr>
        <w:pStyle w:val="Geenafstand"/>
        <w:rPr>
          <w:lang w:val="en-GB"/>
        </w:rPr>
      </w:pPr>
    </w:p>
    <w:p w14:paraId="322EBF88" w14:textId="77777777" w:rsidR="00DA1440" w:rsidRDefault="00DA1440" w:rsidP="00DA1440">
      <w:pPr>
        <w:pStyle w:val="Geenafstand"/>
        <w:rPr>
          <w:b/>
          <w:bCs/>
        </w:rPr>
      </w:pPr>
      <w:r>
        <w:rPr>
          <w:b/>
          <w:bCs/>
        </w:rPr>
        <w:t>Nederlandse parlementaire stukken: Eerste Kamer</w:t>
      </w:r>
    </w:p>
    <w:p w14:paraId="46769F12" w14:textId="77777777" w:rsidR="00DA1440" w:rsidRPr="00DD0764" w:rsidRDefault="00DA1440" w:rsidP="00DA1440">
      <w:pPr>
        <w:pStyle w:val="Geenafstand"/>
        <w:rPr>
          <w:b/>
          <w:bCs/>
        </w:rPr>
      </w:pPr>
    </w:p>
    <w:p w14:paraId="4FC14723" w14:textId="77777777" w:rsidR="00DA1440" w:rsidRDefault="00DA1440" w:rsidP="00DA1440">
      <w:pPr>
        <w:pStyle w:val="Geenafstand"/>
      </w:pPr>
      <w:r w:rsidRPr="003C0EFC">
        <w:rPr>
          <w:i/>
          <w:iCs/>
        </w:rPr>
        <w:t>Kamerstukken I</w:t>
      </w:r>
      <w:r w:rsidRPr="003C0EFC">
        <w:t xml:space="preserve"> 2021/22, 35 295, AC, p. 10</w:t>
      </w:r>
    </w:p>
    <w:p w14:paraId="44D2DC23" w14:textId="77777777" w:rsidR="00DA1440" w:rsidRDefault="00DA1440" w:rsidP="00DA1440">
      <w:pPr>
        <w:pStyle w:val="Geenafstand"/>
      </w:pPr>
    </w:p>
    <w:p w14:paraId="6853FD0F" w14:textId="77777777" w:rsidR="00DA1440" w:rsidRDefault="00DA1440" w:rsidP="00DA1440">
      <w:pPr>
        <w:pStyle w:val="Voetnoottekst"/>
        <w:jc w:val="both"/>
        <w:rPr>
          <w:sz w:val="22"/>
          <w:szCs w:val="22"/>
        </w:rPr>
      </w:pPr>
      <w:r w:rsidRPr="003232DB">
        <w:rPr>
          <w:sz w:val="22"/>
          <w:szCs w:val="22"/>
        </w:rPr>
        <w:t>Stenogram van het debat van 29 januari 2019 in de Eerste Kamer over Hoofdstuk XIIa (Reglement van Orde):</w:t>
      </w:r>
      <w:r>
        <w:rPr>
          <w:sz w:val="22"/>
          <w:szCs w:val="22"/>
        </w:rPr>
        <w:t xml:space="preserve"> </w:t>
      </w:r>
      <w:r w:rsidRPr="003232DB">
        <w:rPr>
          <w:sz w:val="22"/>
          <w:szCs w:val="22"/>
        </w:rPr>
        <w:t>Integriteit, EK 16-7.</w:t>
      </w:r>
    </w:p>
    <w:p w14:paraId="79201A30" w14:textId="77777777" w:rsidR="00DA1440" w:rsidRDefault="00DA1440" w:rsidP="00DA1440">
      <w:pPr>
        <w:pStyle w:val="Geenafstand"/>
        <w:rPr>
          <w:b/>
          <w:bCs/>
        </w:rPr>
      </w:pPr>
    </w:p>
    <w:p w14:paraId="5F99994C" w14:textId="77777777" w:rsidR="00DA1440" w:rsidRPr="00DD0764" w:rsidRDefault="00DA1440" w:rsidP="00DA1440">
      <w:pPr>
        <w:pStyle w:val="Geenafstand"/>
        <w:rPr>
          <w:b/>
          <w:bCs/>
        </w:rPr>
      </w:pPr>
      <w:r>
        <w:rPr>
          <w:b/>
          <w:bCs/>
        </w:rPr>
        <w:t>Nederlandse parlementaire stukken: Tweede Kamer</w:t>
      </w:r>
    </w:p>
    <w:p w14:paraId="229AEE2D" w14:textId="77777777" w:rsidR="00DA1440" w:rsidRDefault="00DA1440" w:rsidP="00DA1440">
      <w:pPr>
        <w:pStyle w:val="Voetnoottekst"/>
        <w:jc w:val="both"/>
        <w:rPr>
          <w:i/>
          <w:iCs/>
          <w:sz w:val="22"/>
          <w:szCs w:val="22"/>
        </w:rPr>
      </w:pPr>
    </w:p>
    <w:p w14:paraId="2CAFE79A" w14:textId="77777777" w:rsidR="00DA1440" w:rsidRDefault="00DA1440" w:rsidP="00DA1440">
      <w:pPr>
        <w:pStyle w:val="Voetnoottekst"/>
        <w:jc w:val="both"/>
        <w:rPr>
          <w:sz w:val="22"/>
          <w:szCs w:val="22"/>
        </w:rPr>
      </w:pPr>
      <w:r w:rsidRPr="00C022FE">
        <w:rPr>
          <w:i/>
          <w:iCs/>
          <w:sz w:val="22"/>
          <w:szCs w:val="22"/>
        </w:rPr>
        <w:t>Aanhangsel Handelingen II</w:t>
      </w:r>
      <w:r w:rsidRPr="00C022FE">
        <w:rPr>
          <w:sz w:val="22"/>
          <w:szCs w:val="22"/>
        </w:rPr>
        <w:t xml:space="preserve"> 2024/25, </w:t>
      </w:r>
      <w:r>
        <w:rPr>
          <w:sz w:val="22"/>
          <w:szCs w:val="22"/>
        </w:rPr>
        <w:t>nr. 1472.</w:t>
      </w:r>
    </w:p>
    <w:p w14:paraId="7354BBB6" w14:textId="77777777" w:rsidR="00DA1440" w:rsidRDefault="00DA1440" w:rsidP="00DA1440">
      <w:pPr>
        <w:pStyle w:val="Voetnoottekst"/>
        <w:jc w:val="both"/>
        <w:rPr>
          <w:sz w:val="22"/>
          <w:szCs w:val="22"/>
        </w:rPr>
      </w:pPr>
      <w:r w:rsidRPr="00A63244">
        <w:rPr>
          <w:i/>
          <w:iCs/>
          <w:sz w:val="22"/>
          <w:szCs w:val="22"/>
        </w:rPr>
        <w:t>Aanhangsel Handelingen</w:t>
      </w:r>
      <w:r>
        <w:rPr>
          <w:i/>
          <w:iCs/>
          <w:sz w:val="22"/>
          <w:szCs w:val="22"/>
        </w:rPr>
        <w:t xml:space="preserve"> II</w:t>
      </w:r>
      <w:r w:rsidRPr="00A63244">
        <w:rPr>
          <w:sz w:val="22"/>
          <w:szCs w:val="22"/>
        </w:rPr>
        <w:t xml:space="preserve"> 2025/26, nr. 374.</w:t>
      </w:r>
    </w:p>
    <w:p w14:paraId="14B21ADF" w14:textId="77777777" w:rsidR="00DA1440" w:rsidRDefault="00DA1440" w:rsidP="00DA1440">
      <w:pPr>
        <w:pStyle w:val="Voetnoottekst"/>
        <w:jc w:val="both"/>
        <w:rPr>
          <w:sz w:val="22"/>
          <w:szCs w:val="22"/>
        </w:rPr>
      </w:pPr>
    </w:p>
    <w:p w14:paraId="0FBDAA44" w14:textId="77777777" w:rsidR="00DA1440" w:rsidRDefault="00DA1440" w:rsidP="00DA1440">
      <w:pPr>
        <w:pStyle w:val="Voetnoottekst"/>
        <w:jc w:val="both"/>
        <w:rPr>
          <w:sz w:val="22"/>
          <w:szCs w:val="22"/>
        </w:rPr>
      </w:pPr>
      <w:r w:rsidRPr="00A63244">
        <w:rPr>
          <w:i/>
          <w:iCs/>
          <w:sz w:val="22"/>
          <w:szCs w:val="22"/>
        </w:rPr>
        <w:t xml:space="preserve">Kamerstukken II </w:t>
      </w:r>
      <w:r w:rsidRPr="00A63244">
        <w:rPr>
          <w:sz w:val="22"/>
          <w:szCs w:val="22"/>
        </w:rPr>
        <w:t>2000/01, 27 509 (R 1671), nr. 3</w:t>
      </w:r>
      <w:r>
        <w:rPr>
          <w:sz w:val="22"/>
          <w:szCs w:val="22"/>
        </w:rPr>
        <w:t>.</w:t>
      </w:r>
      <w:r w:rsidRPr="00A63244">
        <w:rPr>
          <w:sz w:val="22"/>
          <w:szCs w:val="22"/>
        </w:rPr>
        <w:t xml:space="preserve"> </w:t>
      </w:r>
    </w:p>
    <w:p w14:paraId="7A39B097" w14:textId="77777777" w:rsidR="00DA1440" w:rsidRDefault="00DA1440" w:rsidP="00DA1440">
      <w:pPr>
        <w:pStyle w:val="Geenafstand"/>
      </w:pPr>
      <w:r>
        <w:rPr>
          <w:i/>
          <w:iCs/>
        </w:rPr>
        <w:t>Kamerstukken II</w:t>
      </w:r>
      <w:r>
        <w:t xml:space="preserve"> 2005/06, 30 808 (R18150), A en nr. 1.</w:t>
      </w:r>
    </w:p>
    <w:p w14:paraId="12389269" w14:textId="77777777" w:rsidR="00DA1440" w:rsidRDefault="00DA1440" w:rsidP="00DA1440">
      <w:pPr>
        <w:pStyle w:val="Voetnoottekst"/>
        <w:jc w:val="both"/>
        <w:rPr>
          <w:sz w:val="22"/>
          <w:szCs w:val="22"/>
        </w:rPr>
      </w:pPr>
      <w:r w:rsidRPr="00A63244">
        <w:rPr>
          <w:i/>
          <w:iCs/>
          <w:sz w:val="22"/>
          <w:szCs w:val="22"/>
        </w:rPr>
        <w:t xml:space="preserve">Kamerstukken II </w:t>
      </w:r>
      <w:r w:rsidRPr="00A63244">
        <w:rPr>
          <w:sz w:val="22"/>
          <w:szCs w:val="22"/>
        </w:rPr>
        <w:t>2008/09, 31 700 VI, nr. 101, p. 3.</w:t>
      </w:r>
    </w:p>
    <w:p w14:paraId="1F557BDF" w14:textId="77777777" w:rsidR="00DA1440" w:rsidRDefault="00DA1440" w:rsidP="00DA1440">
      <w:pPr>
        <w:pStyle w:val="Voetnoottekst"/>
        <w:jc w:val="both"/>
        <w:rPr>
          <w:sz w:val="22"/>
          <w:szCs w:val="22"/>
        </w:rPr>
      </w:pPr>
      <w:r w:rsidRPr="00B076E4">
        <w:rPr>
          <w:i/>
          <w:iCs/>
          <w:sz w:val="22"/>
          <w:szCs w:val="22"/>
        </w:rPr>
        <w:t>Kamerstukken II</w:t>
      </w:r>
      <w:r w:rsidRPr="00B076E4">
        <w:rPr>
          <w:sz w:val="22"/>
          <w:szCs w:val="22"/>
        </w:rPr>
        <w:t xml:space="preserve"> 2015/16, 34 376, nr. 2, p. 1 en 3.</w:t>
      </w:r>
    </w:p>
    <w:p w14:paraId="2D7DD68E" w14:textId="77777777" w:rsidR="00DA1440" w:rsidRDefault="00DA1440" w:rsidP="00DA1440">
      <w:pPr>
        <w:pStyle w:val="Geenafstand"/>
      </w:pPr>
      <w:r w:rsidRPr="003C0EFC">
        <w:rPr>
          <w:i/>
          <w:iCs/>
        </w:rPr>
        <w:t>Kamerstukken II</w:t>
      </w:r>
      <w:r w:rsidRPr="003C0EFC">
        <w:t xml:space="preserve"> 2021/22, 21 501-02, nr. 2534, p. 10</w:t>
      </w:r>
      <w:r>
        <w:t>.</w:t>
      </w:r>
    </w:p>
    <w:p w14:paraId="4F9CD66F" w14:textId="77777777" w:rsidR="00DA1440" w:rsidRDefault="00DA1440" w:rsidP="00DA1440">
      <w:pPr>
        <w:pStyle w:val="Geenafstand"/>
      </w:pPr>
      <w:r>
        <w:rPr>
          <w:i/>
          <w:iCs/>
        </w:rPr>
        <w:t xml:space="preserve">Kamerstukken II </w:t>
      </w:r>
      <w:r>
        <w:t>2022/23, 22 112, nr. 3717.</w:t>
      </w:r>
    </w:p>
    <w:p w14:paraId="4EDB39CA" w14:textId="77777777" w:rsidR="00DA1440" w:rsidRDefault="00DA1440" w:rsidP="00DA1440">
      <w:pPr>
        <w:pStyle w:val="Geenafstand"/>
      </w:pPr>
      <w:r>
        <w:rPr>
          <w:i/>
          <w:iCs/>
        </w:rPr>
        <w:t>Kamerstukken II</w:t>
      </w:r>
      <w:r>
        <w:t xml:space="preserve"> 2024/25, 28 844, nr. 291.</w:t>
      </w:r>
    </w:p>
    <w:p w14:paraId="4B44CF93" w14:textId="77777777" w:rsidR="00DA1440" w:rsidRDefault="00DA1440" w:rsidP="00DA1440">
      <w:pPr>
        <w:pStyle w:val="Geenafstand"/>
      </w:pPr>
      <w:r>
        <w:rPr>
          <w:i/>
          <w:iCs/>
        </w:rPr>
        <w:t>Kamerstukken II</w:t>
      </w:r>
      <w:r>
        <w:t xml:space="preserve"> 2024/25, 28 844, nr. 292.</w:t>
      </w:r>
    </w:p>
    <w:p w14:paraId="29DC2866" w14:textId="77777777" w:rsidR="00DA1440" w:rsidRDefault="00DA1440" w:rsidP="00DA1440">
      <w:pPr>
        <w:pStyle w:val="Geenafstand"/>
      </w:pPr>
      <w:r>
        <w:rPr>
          <w:i/>
          <w:iCs/>
        </w:rPr>
        <w:t>Kamerstukken II</w:t>
      </w:r>
      <w:r>
        <w:t xml:space="preserve"> 2024/25, 28 844, nr. 295.</w:t>
      </w:r>
    </w:p>
    <w:p w14:paraId="7E069D67" w14:textId="2A3A4713" w:rsidR="00DA1440" w:rsidRDefault="00DA1440" w:rsidP="00DA1440">
      <w:pPr>
        <w:pStyle w:val="Geenafstand"/>
      </w:pPr>
      <w:r>
        <w:rPr>
          <w:i/>
          <w:iCs/>
        </w:rPr>
        <w:t>Kamerstukken II</w:t>
      </w:r>
      <w:r>
        <w:t xml:space="preserve"> 2024/25, 29 911, nr. 466</w:t>
      </w:r>
      <w:r w:rsidR="005B4621">
        <w:t>.</w:t>
      </w:r>
    </w:p>
    <w:p w14:paraId="5ED17C24" w14:textId="77777777" w:rsidR="00DA1440" w:rsidRDefault="00DA1440" w:rsidP="00DA1440">
      <w:pPr>
        <w:pStyle w:val="Geenafstand"/>
      </w:pPr>
      <w:r>
        <w:rPr>
          <w:i/>
          <w:iCs/>
        </w:rPr>
        <w:t>Kamerstukken II</w:t>
      </w:r>
      <w:r>
        <w:t xml:space="preserve"> 2025/26, 29 911, nr. 488, p. 28.</w:t>
      </w:r>
    </w:p>
    <w:p w14:paraId="25945782" w14:textId="77777777" w:rsidR="00DA1440" w:rsidRDefault="00DA1440" w:rsidP="00DA1440">
      <w:pPr>
        <w:pStyle w:val="Geenafstand"/>
      </w:pPr>
      <w:r>
        <w:rPr>
          <w:i/>
          <w:iCs/>
        </w:rPr>
        <w:t xml:space="preserve">Kamerstukken II </w:t>
      </w:r>
      <w:r>
        <w:t>2025/26, 32 317, nr. 999, p. 3.</w:t>
      </w:r>
    </w:p>
    <w:p w14:paraId="46EDD551" w14:textId="77777777" w:rsidR="00DA1440" w:rsidRDefault="00DA1440" w:rsidP="00DA1440">
      <w:pPr>
        <w:pStyle w:val="Geenafstand"/>
      </w:pPr>
    </w:p>
    <w:p w14:paraId="2D1D5C05" w14:textId="77777777" w:rsidR="00DA1440" w:rsidRDefault="00DA1440" w:rsidP="00DA1440">
      <w:pPr>
        <w:pStyle w:val="Voetnoottekst"/>
        <w:jc w:val="both"/>
        <w:rPr>
          <w:sz w:val="22"/>
          <w:szCs w:val="22"/>
        </w:rPr>
      </w:pPr>
      <w:r w:rsidRPr="00F971C9">
        <w:rPr>
          <w:sz w:val="22"/>
          <w:szCs w:val="22"/>
        </w:rPr>
        <w:t xml:space="preserve">Stenogram van het debat van 12 juni 2025 in de </w:t>
      </w:r>
      <w:r>
        <w:rPr>
          <w:sz w:val="22"/>
          <w:szCs w:val="22"/>
        </w:rPr>
        <w:t>Tweede</w:t>
      </w:r>
      <w:r w:rsidRPr="00F971C9">
        <w:rPr>
          <w:sz w:val="22"/>
          <w:szCs w:val="22"/>
        </w:rPr>
        <w:t xml:space="preserve"> Kamer over Integriteit openbaar bestuur, TK 95-5</w:t>
      </w:r>
      <w:r>
        <w:rPr>
          <w:sz w:val="22"/>
          <w:szCs w:val="22"/>
        </w:rPr>
        <w:t>.</w:t>
      </w:r>
    </w:p>
    <w:p w14:paraId="5A5FEC41" w14:textId="77777777" w:rsidR="00DA1440" w:rsidRDefault="00DA1440" w:rsidP="00DA1440">
      <w:pPr>
        <w:pStyle w:val="Voetnoottekst"/>
        <w:jc w:val="both"/>
        <w:rPr>
          <w:sz w:val="22"/>
          <w:szCs w:val="22"/>
        </w:rPr>
      </w:pPr>
      <w:r w:rsidRPr="007F0D0C">
        <w:rPr>
          <w:sz w:val="22"/>
          <w:szCs w:val="22"/>
        </w:rPr>
        <w:t>Stenogram van de stemmingen van 17 juni 2025 in de Tweede Kamer over moties Integriteit openbaar bestuur, TK 96-24.</w:t>
      </w:r>
    </w:p>
    <w:p w14:paraId="2CF75B8C" w14:textId="77777777" w:rsidR="00DA1440" w:rsidRDefault="00DA1440" w:rsidP="00DA1440">
      <w:pPr>
        <w:pStyle w:val="Voetnoottekst"/>
        <w:jc w:val="both"/>
        <w:rPr>
          <w:sz w:val="22"/>
          <w:szCs w:val="22"/>
        </w:rPr>
      </w:pPr>
    </w:p>
    <w:p w14:paraId="287FCCD9" w14:textId="77777777" w:rsidR="00DA1440" w:rsidRDefault="00DA1440" w:rsidP="00DA1440">
      <w:pPr>
        <w:pStyle w:val="Voetnoottekst"/>
        <w:jc w:val="both"/>
        <w:rPr>
          <w:b/>
          <w:bCs/>
          <w:sz w:val="22"/>
          <w:szCs w:val="22"/>
        </w:rPr>
      </w:pPr>
      <w:r>
        <w:rPr>
          <w:b/>
          <w:bCs/>
          <w:sz w:val="22"/>
          <w:szCs w:val="22"/>
        </w:rPr>
        <w:t>Zweedse parlementaire stukken</w:t>
      </w:r>
    </w:p>
    <w:p w14:paraId="49E26325" w14:textId="77777777" w:rsidR="00DA1440" w:rsidRDefault="00DA1440" w:rsidP="00DA1440">
      <w:pPr>
        <w:pStyle w:val="Voetnoottekst"/>
        <w:jc w:val="both"/>
        <w:rPr>
          <w:sz w:val="24"/>
          <w:szCs w:val="24"/>
        </w:rPr>
      </w:pPr>
    </w:p>
    <w:p w14:paraId="0D0252C5" w14:textId="77777777" w:rsidR="00DA1440" w:rsidRPr="004437C2" w:rsidRDefault="00DA1440" w:rsidP="00DA1440">
      <w:pPr>
        <w:pStyle w:val="Voetnoottekst"/>
        <w:jc w:val="both"/>
        <w:rPr>
          <w:sz w:val="28"/>
          <w:szCs w:val="28"/>
        </w:rPr>
      </w:pPr>
      <w:r w:rsidRPr="004437C2">
        <w:rPr>
          <w:i/>
          <w:iCs/>
          <w:sz w:val="22"/>
          <w:szCs w:val="22"/>
        </w:rPr>
        <w:t>Kommittédirektiv</w:t>
      </w:r>
      <w:r w:rsidRPr="004437C2">
        <w:rPr>
          <w:sz w:val="22"/>
          <w:szCs w:val="22"/>
        </w:rPr>
        <w:t xml:space="preserve"> 2009:15.</w:t>
      </w:r>
    </w:p>
    <w:p w14:paraId="2D2DF841" w14:textId="77777777" w:rsidR="00DA1440" w:rsidRPr="00501B6B" w:rsidRDefault="00DA1440" w:rsidP="00DA1440">
      <w:pPr>
        <w:pStyle w:val="Voetnoottekst"/>
        <w:jc w:val="both"/>
        <w:rPr>
          <w:sz w:val="24"/>
          <w:szCs w:val="24"/>
        </w:rPr>
      </w:pPr>
    </w:p>
    <w:p w14:paraId="5799A14A" w14:textId="77777777" w:rsidR="00DA1440" w:rsidRDefault="00DA1440" w:rsidP="00DA1440">
      <w:pPr>
        <w:pStyle w:val="Voetnoottekst"/>
        <w:jc w:val="both"/>
        <w:rPr>
          <w:sz w:val="22"/>
          <w:szCs w:val="22"/>
        </w:rPr>
      </w:pPr>
      <w:r w:rsidRPr="00501B6B">
        <w:rPr>
          <w:i/>
          <w:iCs/>
          <w:sz w:val="22"/>
          <w:szCs w:val="22"/>
        </w:rPr>
        <w:t>Regeringens proposition</w:t>
      </w:r>
      <w:r w:rsidRPr="00501B6B">
        <w:rPr>
          <w:sz w:val="22"/>
          <w:szCs w:val="22"/>
        </w:rPr>
        <w:t xml:space="preserve"> 2003/04:70</w:t>
      </w:r>
      <w:r>
        <w:rPr>
          <w:sz w:val="22"/>
          <w:szCs w:val="22"/>
        </w:rPr>
        <w:t>.</w:t>
      </w:r>
    </w:p>
    <w:p w14:paraId="3BCD7F41" w14:textId="77777777" w:rsidR="00DA1440" w:rsidRPr="00F608F6" w:rsidRDefault="00DA1440" w:rsidP="00DA1440">
      <w:pPr>
        <w:pStyle w:val="Voetnoottekst"/>
        <w:jc w:val="both"/>
        <w:rPr>
          <w:sz w:val="22"/>
          <w:szCs w:val="22"/>
        </w:rPr>
      </w:pPr>
      <w:r w:rsidRPr="00F608F6">
        <w:rPr>
          <w:i/>
          <w:iCs/>
          <w:sz w:val="22"/>
          <w:szCs w:val="22"/>
        </w:rPr>
        <w:t>Regeringens proposition</w:t>
      </w:r>
      <w:r w:rsidRPr="00F608F6">
        <w:rPr>
          <w:sz w:val="22"/>
          <w:szCs w:val="22"/>
        </w:rPr>
        <w:t xml:space="preserve"> 2006/07:74.</w:t>
      </w:r>
    </w:p>
    <w:p w14:paraId="5597C59E" w14:textId="77777777" w:rsidR="00DA1440" w:rsidRPr="00F608F6" w:rsidRDefault="00DA1440" w:rsidP="00DA1440">
      <w:pPr>
        <w:pStyle w:val="Voetnoottekst"/>
        <w:jc w:val="both"/>
        <w:rPr>
          <w:sz w:val="22"/>
          <w:szCs w:val="22"/>
        </w:rPr>
      </w:pPr>
      <w:r w:rsidRPr="00501B6B">
        <w:rPr>
          <w:i/>
          <w:iCs/>
          <w:sz w:val="22"/>
          <w:szCs w:val="22"/>
        </w:rPr>
        <w:t>Regeringens proposition</w:t>
      </w:r>
      <w:r w:rsidRPr="00501B6B">
        <w:rPr>
          <w:sz w:val="22"/>
          <w:szCs w:val="22"/>
        </w:rPr>
        <w:t xml:space="preserve"> </w:t>
      </w:r>
      <w:r w:rsidRPr="00F608F6">
        <w:rPr>
          <w:sz w:val="22"/>
          <w:szCs w:val="22"/>
        </w:rPr>
        <w:t>2011/12:79.</w:t>
      </w:r>
    </w:p>
    <w:p w14:paraId="3A85128B" w14:textId="77777777" w:rsidR="00DA1440" w:rsidRDefault="00DA1440" w:rsidP="00DA1440">
      <w:pPr>
        <w:pStyle w:val="Voetnoottekst"/>
        <w:jc w:val="both"/>
        <w:rPr>
          <w:sz w:val="22"/>
          <w:szCs w:val="22"/>
        </w:rPr>
      </w:pPr>
    </w:p>
    <w:p w14:paraId="1E2537AA" w14:textId="77777777" w:rsidR="00DA1440" w:rsidRPr="00D96848" w:rsidRDefault="00DA1440" w:rsidP="00DA1440">
      <w:pPr>
        <w:pStyle w:val="Voetnoottekst"/>
        <w:jc w:val="both"/>
        <w:rPr>
          <w:sz w:val="22"/>
          <w:szCs w:val="22"/>
        </w:rPr>
      </w:pPr>
      <w:r>
        <w:rPr>
          <w:i/>
          <w:iCs/>
          <w:sz w:val="22"/>
          <w:szCs w:val="22"/>
        </w:rPr>
        <w:t xml:space="preserve">Statens offentliga utredningar </w:t>
      </w:r>
      <w:r>
        <w:rPr>
          <w:sz w:val="22"/>
          <w:szCs w:val="22"/>
        </w:rPr>
        <w:t>2025:87.</w:t>
      </w:r>
    </w:p>
    <w:p w14:paraId="14D52E15" w14:textId="77777777" w:rsidR="00DA1440" w:rsidRDefault="00DA1440" w:rsidP="00DA1440">
      <w:pPr>
        <w:pStyle w:val="Voetnoottekst"/>
        <w:jc w:val="both"/>
        <w:rPr>
          <w:sz w:val="22"/>
          <w:szCs w:val="22"/>
        </w:rPr>
      </w:pPr>
    </w:p>
    <w:p w14:paraId="51558D61" w14:textId="77777777" w:rsidR="00DA1440" w:rsidRDefault="00DA1440" w:rsidP="00DA1440">
      <w:pPr>
        <w:pStyle w:val="Voetnoottekst"/>
        <w:jc w:val="both"/>
        <w:rPr>
          <w:b/>
          <w:bCs/>
          <w:sz w:val="22"/>
          <w:szCs w:val="22"/>
        </w:rPr>
      </w:pPr>
      <w:r>
        <w:rPr>
          <w:b/>
          <w:bCs/>
          <w:sz w:val="22"/>
          <w:szCs w:val="22"/>
        </w:rPr>
        <w:t>Parlementaire stukken van de Europese Unie</w:t>
      </w:r>
    </w:p>
    <w:p w14:paraId="5A1DB374" w14:textId="77777777" w:rsidR="00DA1440" w:rsidRDefault="00DA1440" w:rsidP="00DA1440">
      <w:pPr>
        <w:pStyle w:val="Voetnoottekst"/>
        <w:jc w:val="both"/>
        <w:rPr>
          <w:sz w:val="22"/>
          <w:szCs w:val="22"/>
        </w:rPr>
      </w:pPr>
    </w:p>
    <w:p w14:paraId="407A5497" w14:textId="77777777" w:rsidR="00DA1440" w:rsidRDefault="00DA1440" w:rsidP="00DA1440">
      <w:pPr>
        <w:pStyle w:val="Voetnoottekst"/>
        <w:jc w:val="both"/>
        <w:rPr>
          <w:sz w:val="22"/>
          <w:szCs w:val="22"/>
        </w:rPr>
      </w:pPr>
      <w:r>
        <w:rPr>
          <w:sz w:val="22"/>
          <w:szCs w:val="22"/>
        </w:rPr>
        <w:t xml:space="preserve">Toelichting op </w:t>
      </w:r>
      <w:r w:rsidRPr="00812A54">
        <w:rPr>
          <w:sz w:val="22"/>
          <w:szCs w:val="22"/>
        </w:rPr>
        <w:t>Voorstel voor een richtlijn van het Europees Parlement en de Raad betreffende de bestrijding van corruptie, ter vervanging van Kaderbesluit 2003/568/JBZ van de Raad en van de Overeenkomst ter bestrijding van corruptie waarbij ambtenaren van de Europese Gemeenschappen of van de lidstaten van de Europese Unie betrokken zijn en tot wijziging van Richtlijn (EU) 2017/1371 van het Europees Parlement en de Raad</w:t>
      </w:r>
      <w:r>
        <w:rPr>
          <w:sz w:val="22"/>
          <w:szCs w:val="22"/>
        </w:rPr>
        <w:t xml:space="preserve">, documentnummer </w:t>
      </w:r>
      <w:r w:rsidRPr="005520F8">
        <w:rPr>
          <w:sz w:val="22"/>
          <w:szCs w:val="22"/>
        </w:rPr>
        <w:t>52023PC0234</w:t>
      </w:r>
      <w:r>
        <w:rPr>
          <w:sz w:val="22"/>
          <w:szCs w:val="22"/>
        </w:rPr>
        <w:t xml:space="preserve"> (</w:t>
      </w:r>
      <w:r w:rsidRPr="00715AC1">
        <w:rPr>
          <w:sz w:val="22"/>
          <w:szCs w:val="22"/>
        </w:rPr>
        <w:t>COM/2023/234 final</w:t>
      </w:r>
      <w:r>
        <w:rPr>
          <w:sz w:val="22"/>
          <w:szCs w:val="22"/>
        </w:rPr>
        <w:t>)</w:t>
      </w:r>
      <w:r w:rsidRPr="00812A54">
        <w:rPr>
          <w:sz w:val="22"/>
          <w:szCs w:val="22"/>
        </w:rPr>
        <w:t>. Dit wordt in deze scriptie aangeduid als Voorstel voor een anti-corruptierichtlijn.</w:t>
      </w:r>
    </w:p>
    <w:p w14:paraId="300BEA77" w14:textId="77777777" w:rsidR="00DA1440" w:rsidRDefault="00DA1440" w:rsidP="00DA1440">
      <w:pPr>
        <w:pStyle w:val="Voetnoottekst"/>
        <w:jc w:val="both"/>
        <w:rPr>
          <w:sz w:val="22"/>
          <w:szCs w:val="22"/>
        </w:rPr>
      </w:pPr>
    </w:p>
    <w:p w14:paraId="542EA741" w14:textId="77777777" w:rsidR="00DA1440" w:rsidRPr="00031FD5" w:rsidRDefault="00DA1440" w:rsidP="00DA1440">
      <w:pPr>
        <w:pStyle w:val="Voetnoottekst"/>
        <w:jc w:val="both"/>
        <w:rPr>
          <w:sz w:val="22"/>
          <w:szCs w:val="22"/>
        </w:rPr>
      </w:pPr>
      <w:r w:rsidRPr="00D256AA">
        <w:rPr>
          <w:sz w:val="22"/>
          <w:szCs w:val="22"/>
        </w:rPr>
        <w:lastRenderedPageBreak/>
        <w:t>VERSLAG VAN DE COMMISSIE AAN HET EUROPEES PARLEMENT EN DE RAAD</w:t>
      </w:r>
      <w:r>
        <w:rPr>
          <w:sz w:val="22"/>
          <w:szCs w:val="22"/>
        </w:rPr>
        <w:t xml:space="preserve">. </w:t>
      </w:r>
      <w:r w:rsidRPr="00D256AA">
        <w:rPr>
          <w:sz w:val="22"/>
          <w:szCs w:val="22"/>
        </w:rPr>
        <w:t>Tweede verslag van de Commissie over de uitvoering van Richtlijn (EU) 2017/1371 van het Europees Parlement en de Raad van 5 juli 2017 betreffende de strafrechtelijke bestrijding van fraude die de financiële belangen van de Unie schaadt</w:t>
      </w:r>
      <w:r>
        <w:rPr>
          <w:sz w:val="22"/>
          <w:szCs w:val="22"/>
        </w:rPr>
        <w:t>, 16 september 2022 (</w:t>
      </w:r>
      <w:r w:rsidRPr="00DB0B91">
        <w:rPr>
          <w:sz w:val="22"/>
          <w:szCs w:val="22"/>
        </w:rPr>
        <w:t>COM(2022) 466 final</w:t>
      </w:r>
      <w:r>
        <w:rPr>
          <w:sz w:val="22"/>
          <w:szCs w:val="22"/>
        </w:rPr>
        <w:t>).</w:t>
      </w:r>
    </w:p>
    <w:p w14:paraId="1CD34228" w14:textId="77777777" w:rsidR="00DA1440" w:rsidRDefault="00DA1440" w:rsidP="00DA1440">
      <w:pPr>
        <w:pStyle w:val="Geenafstand"/>
      </w:pPr>
    </w:p>
    <w:p w14:paraId="6F9DAE54" w14:textId="77777777" w:rsidR="00DA1440" w:rsidRPr="004A43EB" w:rsidRDefault="00DA1440" w:rsidP="00DA1440">
      <w:pPr>
        <w:pStyle w:val="Geenafstand"/>
        <w:rPr>
          <w:b/>
          <w:bCs/>
        </w:rPr>
      </w:pPr>
      <w:r w:rsidRPr="004A43EB">
        <w:rPr>
          <w:b/>
          <w:bCs/>
        </w:rPr>
        <w:t>Rechtspraak</w:t>
      </w:r>
    </w:p>
    <w:p w14:paraId="0F35B665" w14:textId="77777777" w:rsidR="00DA1440" w:rsidRDefault="00DA1440" w:rsidP="00DA1440">
      <w:pPr>
        <w:pStyle w:val="Geenafstand"/>
      </w:pPr>
    </w:p>
    <w:p w14:paraId="1AA2E722" w14:textId="77777777" w:rsidR="00DA1440" w:rsidRDefault="00DA1440" w:rsidP="00DA1440">
      <w:pPr>
        <w:pStyle w:val="Geenafstand"/>
      </w:pPr>
      <w:r w:rsidRPr="00A844C2">
        <w:t>Rb. Rotterdam 23 januari 2014, ECLI:NL:RBROT:2014:354.</w:t>
      </w:r>
    </w:p>
    <w:p w14:paraId="1BC6E3C2" w14:textId="2699943C" w:rsidR="00330560" w:rsidRDefault="00DA1440" w:rsidP="00DA1440">
      <w:pPr>
        <w:pStyle w:val="Geenafstand"/>
      </w:pPr>
      <w:r>
        <w:t>Rb. Rotterdam 12 juli 2016, ECLI:NL:RBROT:2016:5272</w:t>
      </w:r>
      <w:r w:rsidR="00DD74F2">
        <w:t>.</w:t>
      </w:r>
    </w:p>
    <w:sectPr w:rsidR="00330560" w:rsidSect="00E212CA">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BD1E9" w14:textId="77777777" w:rsidR="00415C8C" w:rsidRDefault="00415C8C" w:rsidP="00DA1440">
      <w:pPr>
        <w:spacing w:after="0" w:line="240" w:lineRule="auto"/>
      </w:pPr>
      <w:r>
        <w:separator/>
      </w:r>
    </w:p>
  </w:endnote>
  <w:endnote w:type="continuationSeparator" w:id="0">
    <w:p w14:paraId="53F05B8D" w14:textId="77777777" w:rsidR="00415C8C" w:rsidRDefault="00415C8C" w:rsidP="00DA1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6994416"/>
      <w:docPartObj>
        <w:docPartGallery w:val="Page Numbers (Bottom of Page)"/>
        <w:docPartUnique/>
      </w:docPartObj>
    </w:sdtPr>
    <w:sdtContent>
      <w:p w14:paraId="45E4865A" w14:textId="73149FA1" w:rsidR="00E212CA" w:rsidRDefault="00E212CA">
        <w:pPr>
          <w:pStyle w:val="Voettekst"/>
          <w:jc w:val="right"/>
        </w:pPr>
        <w:r>
          <w:fldChar w:fldCharType="begin"/>
        </w:r>
        <w:r>
          <w:instrText>PAGE   \* MERGEFORMAT</w:instrText>
        </w:r>
        <w:r>
          <w:fldChar w:fldCharType="separate"/>
        </w:r>
        <w:r>
          <w:t>2</w:t>
        </w:r>
        <w:r>
          <w:fldChar w:fldCharType="end"/>
        </w:r>
      </w:p>
    </w:sdtContent>
  </w:sdt>
  <w:p w14:paraId="014F0B42" w14:textId="77777777" w:rsidR="00E212CA" w:rsidRDefault="00E212C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6E403" w14:textId="77777777" w:rsidR="00415C8C" w:rsidRDefault="00415C8C" w:rsidP="00DA1440">
      <w:pPr>
        <w:spacing w:after="0" w:line="240" w:lineRule="auto"/>
      </w:pPr>
      <w:r>
        <w:separator/>
      </w:r>
    </w:p>
  </w:footnote>
  <w:footnote w:type="continuationSeparator" w:id="0">
    <w:p w14:paraId="14A746AB" w14:textId="77777777" w:rsidR="00415C8C" w:rsidRDefault="00415C8C" w:rsidP="00DA1440">
      <w:pPr>
        <w:spacing w:after="0" w:line="240" w:lineRule="auto"/>
      </w:pPr>
      <w:r>
        <w:continuationSeparator/>
      </w:r>
    </w:p>
  </w:footnote>
  <w:footnote w:id="1">
    <w:p w14:paraId="3CD31838" w14:textId="77777777" w:rsidR="00DA1440" w:rsidRPr="00514183" w:rsidRDefault="00DA1440" w:rsidP="00DA1440">
      <w:pPr>
        <w:pStyle w:val="Voetnoottekst"/>
        <w:jc w:val="both"/>
      </w:pPr>
      <w:r>
        <w:rPr>
          <w:rStyle w:val="Voetnootmarkering"/>
        </w:rPr>
        <w:footnoteRef/>
      </w:r>
      <w:r w:rsidRPr="00514183">
        <w:t xml:space="preserve"> Kuipers 2014.</w:t>
      </w:r>
    </w:p>
  </w:footnote>
  <w:footnote w:id="2">
    <w:p w14:paraId="0954E21B" w14:textId="77777777" w:rsidR="00DA1440" w:rsidRPr="0046545D" w:rsidRDefault="00DA1440" w:rsidP="00DA1440">
      <w:pPr>
        <w:pStyle w:val="Voetnoottekst"/>
        <w:jc w:val="both"/>
      </w:pPr>
      <w:r>
        <w:rPr>
          <w:rStyle w:val="Voetnootmarkering"/>
        </w:rPr>
        <w:footnoteRef/>
      </w:r>
      <w:r w:rsidRPr="0046545D">
        <w:t xml:space="preserve"> Nierstrasz 2008, p. 4</w:t>
      </w:r>
      <w:r>
        <w:t>.</w:t>
      </w:r>
      <w:r w:rsidRPr="0046545D">
        <w:t xml:space="preserve"> Overigens is die conclusie te kort door de bocht</w:t>
      </w:r>
      <w:r>
        <w:t>:</w:t>
      </w:r>
      <w:r w:rsidRPr="0046545D">
        <w:t xml:space="preserve"> het faillissement had meerdere oorzaken.</w:t>
      </w:r>
    </w:p>
  </w:footnote>
  <w:footnote w:id="3">
    <w:p w14:paraId="1872DD68" w14:textId="77777777" w:rsidR="00DA1440" w:rsidRDefault="00DA1440" w:rsidP="00DA1440">
      <w:pPr>
        <w:pStyle w:val="Voetnoottekst"/>
        <w:jc w:val="both"/>
      </w:pPr>
      <w:r>
        <w:rPr>
          <w:rStyle w:val="Voetnootmarkering"/>
        </w:rPr>
        <w:footnoteRef/>
      </w:r>
      <w:r>
        <w:t xml:space="preserve"> </w:t>
      </w:r>
      <w:r w:rsidRPr="0046545D">
        <w:t>Nierstrasz 2008, p. 4</w:t>
      </w:r>
      <w:r>
        <w:t>.</w:t>
      </w:r>
    </w:p>
  </w:footnote>
  <w:footnote w:id="4">
    <w:p w14:paraId="09A4B015" w14:textId="77777777" w:rsidR="00DA1440" w:rsidRDefault="00DA1440" w:rsidP="00DA1440">
      <w:pPr>
        <w:pStyle w:val="Voetnoottekst"/>
        <w:jc w:val="both"/>
      </w:pPr>
      <w:r>
        <w:rPr>
          <w:rStyle w:val="Voetnootmarkering"/>
        </w:rPr>
        <w:footnoteRef/>
      </w:r>
      <w:r>
        <w:t xml:space="preserve"> Rb. Rotterdam 12 juli 2016, ECLI:NL:RBROT:2016:5272 (Jos van Rey).</w:t>
      </w:r>
    </w:p>
  </w:footnote>
  <w:footnote w:id="5">
    <w:p w14:paraId="0E03CC2E" w14:textId="77777777" w:rsidR="00DA1440" w:rsidRPr="00BE034D" w:rsidRDefault="00DA1440" w:rsidP="00DA1440">
      <w:pPr>
        <w:pStyle w:val="Voetnoottekst"/>
        <w:jc w:val="both"/>
      </w:pPr>
      <w:r>
        <w:rPr>
          <w:rStyle w:val="Voetnootmarkering"/>
        </w:rPr>
        <w:footnoteRef/>
      </w:r>
      <w:r>
        <w:t xml:space="preserve"> Smidt III, p. 68.</w:t>
      </w:r>
    </w:p>
  </w:footnote>
  <w:footnote w:id="6">
    <w:p w14:paraId="42BCBD2E" w14:textId="77777777" w:rsidR="00DA1440" w:rsidRDefault="00DA1440" w:rsidP="00DA1440">
      <w:pPr>
        <w:pStyle w:val="Voetnoottekst"/>
        <w:jc w:val="both"/>
      </w:pPr>
      <w:r>
        <w:rPr>
          <w:rStyle w:val="Voetnootmarkering"/>
        </w:rPr>
        <w:footnoteRef/>
      </w:r>
      <w:r>
        <w:t xml:space="preserve"> </w:t>
      </w:r>
      <w:r w:rsidRPr="000707D7">
        <w:t xml:space="preserve">Laumans &amp; Vugts </w:t>
      </w:r>
      <w:r>
        <w:t>2025.</w:t>
      </w:r>
    </w:p>
  </w:footnote>
  <w:footnote w:id="7">
    <w:p w14:paraId="5DB25797" w14:textId="77777777" w:rsidR="00DA1440" w:rsidRPr="007B17CB" w:rsidRDefault="00DA1440" w:rsidP="00DA1440">
      <w:pPr>
        <w:pStyle w:val="Voetnoottekst"/>
        <w:jc w:val="both"/>
      </w:pPr>
      <w:r>
        <w:rPr>
          <w:rStyle w:val="Voetnootmarkering"/>
        </w:rPr>
        <w:footnoteRef/>
      </w:r>
      <w:r>
        <w:t xml:space="preserve"> Of, in de woorden van de minister van Justitie en Veiligheid: “De daling op deze index weerspiegelt dus een dalend vertrouwen van geraadpleegde experts in de politiek en eerlijke besluitvorming in Nederland.” Zie </w:t>
      </w:r>
      <w:r w:rsidRPr="00DB2F37">
        <w:rPr>
          <w:i/>
          <w:iCs/>
        </w:rPr>
        <w:t>Aanhangsel Handelingen</w:t>
      </w:r>
      <w:r w:rsidRPr="00F608F6">
        <w:rPr>
          <w:i/>
          <w:iCs/>
        </w:rPr>
        <w:t xml:space="preserve"> II</w:t>
      </w:r>
      <w:r w:rsidRPr="00DB2F37">
        <w:t xml:space="preserve"> 2025/26, nr. 374, p. 4.</w:t>
      </w:r>
      <w:r>
        <w:t xml:space="preserve"> </w:t>
      </w:r>
      <w:r>
        <w:rPr>
          <w:i/>
          <w:iCs/>
        </w:rPr>
        <w:t xml:space="preserve">Transparency International </w:t>
      </w:r>
      <w:r>
        <w:t>is een non-gouvernementele organisatie (ngo) die zich inzet voor de bestrijding van corruptie, blijkt uit ‘</w:t>
      </w:r>
      <w:r w:rsidRPr="00DB2F37">
        <w:t>Over Transparency International’, transparency.nl.</w:t>
      </w:r>
    </w:p>
  </w:footnote>
  <w:footnote w:id="8">
    <w:p w14:paraId="1DD71971" w14:textId="77777777" w:rsidR="00DA1440" w:rsidRPr="00765B20" w:rsidRDefault="00DA1440" w:rsidP="00DA1440">
      <w:pPr>
        <w:pStyle w:val="Voetnoottekst"/>
        <w:jc w:val="both"/>
      </w:pPr>
      <w:r>
        <w:rPr>
          <w:rStyle w:val="Voetnootmarkering"/>
        </w:rPr>
        <w:footnoteRef/>
      </w:r>
      <w:r w:rsidRPr="00765B20">
        <w:t xml:space="preserve"> ‘Gebrek aan politiek leiderschap verdiept wereldwijde corruptiecrisis</w:t>
      </w:r>
      <w:r>
        <w:t xml:space="preserve">’, transparency.nl. </w:t>
      </w:r>
    </w:p>
  </w:footnote>
  <w:footnote w:id="9">
    <w:p w14:paraId="5FF7D8DE" w14:textId="77777777" w:rsidR="00DA1440" w:rsidRDefault="00DA1440" w:rsidP="00DA1440">
      <w:pPr>
        <w:pStyle w:val="Voetnoottekst"/>
        <w:jc w:val="both"/>
      </w:pPr>
      <w:r>
        <w:rPr>
          <w:rStyle w:val="Voetnootmarkering"/>
        </w:rPr>
        <w:footnoteRef/>
      </w:r>
      <w:r>
        <w:t xml:space="preserve"> </w:t>
      </w:r>
      <w:r w:rsidRPr="00B4127D">
        <w:t xml:space="preserve">‘Nederland iets corrupter in 2024, slechtste score in twaalf jaar’ </w:t>
      </w:r>
      <w:r>
        <w:rPr>
          <w:i/>
          <w:iCs/>
        </w:rPr>
        <w:t>Het Financieele Dagblad</w:t>
      </w:r>
      <w:r w:rsidRPr="00B4127D">
        <w:t xml:space="preserve"> 11 februari 2025.</w:t>
      </w:r>
    </w:p>
  </w:footnote>
  <w:footnote w:id="10">
    <w:p w14:paraId="4247AE2A" w14:textId="77777777" w:rsidR="00DA1440" w:rsidRPr="00AE21BA" w:rsidRDefault="00DA1440" w:rsidP="00DA1440">
      <w:pPr>
        <w:pStyle w:val="Voetnoottekst"/>
        <w:jc w:val="both"/>
        <w:rPr>
          <w:lang w:val="en-GB"/>
        </w:rPr>
      </w:pPr>
      <w:r>
        <w:rPr>
          <w:rStyle w:val="Voetnootmarkering"/>
        </w:rPr>
        <w:footnoteRef/>
      </w:r>
      <w:r w:rsidRPr="00AE21BA">
        <w:rPr>
          <w:lang w:val="en-GB"/>
        </w:rPr>
        <w:t xml:space="preserve"> Hoekstra &amp; Kakebeeke 2026</w:t>
      </w:r>
      <w:r>
        <w:rPr>
          <w:lang w:val="en-GB"/>
        </w:rPr>
        <w:t xml:space="preserve">; </w:t>
      </w:r>
      <w:r w:rsidRPr="00366682">
        <w:rPr>
          <w:lang w:val="en-GB"/>
        </w:rPr>
        <w:t>‘Corruption Perceptions Index 2025: Europe must step up leadership in the fight against corruption</w:t>
      </w:r>
      <w:r>
        <w:rPr>
          <w:lang w:val="en-GB"/>
        </w:rPr>
        <w:t>’, transparency.org, 10 februari 2026.</w:t>
      </w:r>
    </w:p>
  </w:footnote>
  <w:footnote w:id="11">
    <w:p w14:paraId="52F16237" w14:textId="77777777" w:rsidR="00DA1440" w:rsidRDefault="00DA1440" w:rsidP="00DA1440">
      <w:pPr>
        <w:pStyle w:val="Voetnoottekst"/>
        <w:jc w:val="both"/>
      </w:pPr>
      <w:r>
        <w:rPr>
          <w:rStyle w:val="Voetnootmarkering"/>
        </w:rPr>
        <w:footnoteRef/>
      </w:r>
      <w:r>
        <w:t xml:space="preserve"> Het interne rapport is dankzij een Woo-verzoek in de openbaarheid gekomen; zie De Koning 2025; </w:t>
      </w:r>
      <w:r>
        <w:rPr>
          <w:i/>
          <w:iCs/>
        </w:rPr>
        <w:t xml:space="preserve">Is de Nederlandse overheid bestand tegen corruptie? </w:t>
      </w:r>
      <w:r>
        <w:t xml:space="preserve">2024, p. 62 e.v. </w:t>
      </w:r>
      <w:r w:rsidRPr="005D121A">
        <w:t xml:space="preserve">Het Ministerie van Justitie en Veiligheid heeft het rapport nooit in de openbaarheid willen brengen, omdat het – </w:t>
      </w:r>
      <w:r>
        <w:t>volgens</w:t>
      </w:r>
      <w:r w:rsidRPr="005D121A">
        <w:t xml:space="preserve"> het Afdelingshoofd directie Openbaarmaking – geen voldragen wetenschappelijk rapport is, maar een (op punten suggestieve) interne verslaglegging van gevoerde gesprekken, met </w:t>
      </w:r>
      <w:r>
        <w:t>“</w:t>
      </w:r>
      <w:r w:rsidRPr="005D121A">
        <w:t>een aanzienlijke mate van auteursgebonden perspectieven en interpretaties</w:t>
      </w:r>
      <w:r>
        <w:t>”</w:t>
      </w:r>
      <w:r w:rsidRPr="005D121A">
        <w:t>. Bovendien zou het document feitelijke onjuistheden bevatten</w:t>
      </w:r>
      <w:r>
        <w:t xml:space="preserve">. </w:t>
      </w:r>
      <w:r w:rsidRPr="00826792">
        <w:t>Zie ‘Besluit op uw Woo-verzoek inzake het document ‘Is de Nederlandse overheid bestand tegen corruptie’’, https://www.rijksoverheid.nl/documenten/wob-verzoeken/2025/08/27/besluit-op-woo-verzoek-over-het-document-is-de-nederlandse-overheid-bestand-tegen-corruptie, 27 augustus 2025.</w:t>
      </w:r>
      <w:r>
        <w:t xml:space="preserve"> De minister van Justitie en Veiligheid gaf aan dat de aanbevelingen en conclusies uit het rapport “zijn gebruikt als waardevolle input voor de recent gepresenteerde aanpak van corruptie”. Zie </w:t>
      </w:r>
      <w:r w:rsidRPr="0034324B">
        <w:rPr>
          <w:i/>
          <w:iCs/>
        </w:rPr>
        <w:t>Aanhangsel Handelingen</w:t>
      </w:r>
      <w:r w:rsidRPr="00F608F6">
        <w:rPr>
          <w:i/>
          <w:iCs/>
        </w:rPr>
        <w:t xml:space="preserve"> II</w:t>
      </w:r>
      <w:r w:rsidRPr="0034324B">
        <w:t xml:space="preserve"> 2025/26, nr. 374, p. 1.</w:t>
      </w:r>
    </w:p>
  </w:footnote>
  <w:footnote w:id="12">
    <w:p w14:paraId="1151B379" w14:textId="77777777" w:rsidR="00DA1440" w:rsidRPr="00212EFB" w:rsidRDefault="00DA1440" w:rsidP="00DA1440">
      <w:pPr>
        <w:pStyle w:val="Voetnoottekst"/>
        <w:jc w:val="both"/>
      </w:pPr>
      <w:r>
        <w:rPr>
          <w:rStyle w:val="Voetnootmarkering"/>
        </w:rPr>
        <w:footnoteRef/>
      </w:r>
      <w:r>
        <w:t xml:space="preserve"> Zie o.a. Kuijpers 2025. Kroes zou met haar lobbywerk voor taxidienst Uber, vlak nadat zij was gestopt als Eurocommissaris, mogelijk de corruptieregels hebben overtreden: ‘Europees anti-fraudebureau: Kroes overtrad geen regels met lobbywerk Uber’, nos.nl</w:t>
      </w:r>
      <w:r w:rsidRPr="00762CCE">
        <w:t xml:space="preserve">, </w:t>
      </w:r>
      <w:r>
        <w:t>22 december 2023. Sommige media haalden ook de zaak van de Haagse oud-wethouder Richard de Mos aan als voorbeeld van de ontoereikende strafwetgeving. De Mos is vrijgesproken van omkoping. Zie De Koning 2025. Hier deed Richard de Mos later aangifte tegen, wegens smaad en laster: ‘Richard de Mos doet aangifte tegen website Follow the Money’, dagblad070.nl, 19 september 2025.</w:t>
      </w:r>
    </w:p>
  </w:footnote>
  <w:footnote w:id="13">
    <w:p w14:paraId="065ED41F" w14:textId="77777777" w:rsidR="00DA1440" w:rsidRPr="00F608F6" w:rsidRDefault="00DA1440" w:rsidP="00DA1440">
      <w:pPr>
        <w:pStyle w:val="Voetnoottekst"/>
        <w:jc w:val="both"/>
        <w:rPr>
          <w:lang w:val="en-GB"/>
        </w:rPr>
      </w:pPr>
      <w:r>
        <w:rPr>
          <w:rStyle w:val="Voetnootmarkering"/>
        </w:rPr>
        <w:footnoteRef/>
      </w:r>
      <w:r>
        <w:t xml:space="preserve"> Rooijendijk 2024. Dit artikel is ook aangehaald in het eerder aangehaalde interne rapport </w:t>
      </w:r>
      <w:r w:rsidRPr="00D73E3E">
        <w:rPr>
          <w:i/>
          <w:iCs/>
        </w:rPr>
        <w:t xml:space="preserve">Is de Nederlandse overheid bestand tegen corruptie? </w:t>
      </w:r>
      <w:r w:rsidRPr="00D73E3E">
        <w:t>2024.</w:t>
      </w:r>
      <w:r>
        <w:t xml:space="preserve"> </w:t>
      </w:r>
      <w:r w:rsidRPr="00265146">
        <w:t>Overigens is de stell</w:t>
      </w:r>
      <w:r>
        <w:t>ing</w:t>
      </w:r>
      <w:r w:rsidRPr="00265146">
        <w:t xml:space="preserve"> dat “Nederland internationale anti-corruptieregels a</w:t>
      </w:r>
      <w:r>
        <w:t xml:space="preserve">an de laars lapt” ongenuanceerd, nu deze regels op moment van schrijven een expliciete strafbaarstelling van handel in invloed niet dwingend voorschrijven. Dat blijkt uit </w:t>
      </w:r>
      <w:r>
        <w:rPr>
          <w:i/>
          <w:iCs/>
        </w:rPr>
        <w:t xml:space="preserve">Kamerstukken II </w:t>
      </w:r>
      <w:r>
        <w:t xml:space="preserve">2000/01, 27 509 (R 1671), nr. 3, p. 18 en </w:t>
      </w:r>
      <w:r>
        <w:rPr>
          <w:i/>
          <w:iCs/>
        </w:rPr>
        <w:t xml:space="preserve">Kamerstukken II </w:t>
      </w:r>
      <w:r>
        <w:t xml:space="preserve">2008/09, 31 700 VI, nr. 101, p. 3. Zie ook art. 37, eerste lid, VTC, op grond waarvan het Nederland was toegestaan om partij te zijn bij het verdrag, maar desondanks niet over te gaan tot expliciete strafbaarstelling van handel in invloed. Overigens heeft het </w:t>
      </w:r>
      <w:r w:rsidRPr="002E11C6">
        <w:t xml:space="preserve">Netherlands Helsinki Committee </w:t>
      </w:r>
      <w:r>
        <w:t>–</w:t>
      </w:r>
      <w:r w:rsidRPr="002E11C6">
        <w:t xml:space="preserve"> </w:t>
      </w:r>
      <w:r>
        <w:t xml:space="preserve">een ngo die zich focust op onder andere mensenrechten en de rechtsstaat – geconcludeerd dat het niet strafbaarstellen van handel in invloed gezien kan worden als een “significant gat in de anti-corruptie regelgeving”. </w:t>
      </w:r>
      <w:r w:rsidRPr="005C612A">
        <w:rPr>
          <w:lang w:val="en-GB"/>
        </w:rPr>
        <w:t>Zie ‘Erosion of judicial independence, media freedom and civic space’</w:t>
      </w:r>
      <w:r>
        <w:rPr>
          <w:lang w:val="en-GB"/>
        </w:rPr>
        <w:t xml:space="preserve">, </w:t>
      </w:r>
      <w:r w:rsidRPr="005C612A">
        <w:rPr>
          <w:lang w:val="en-GB"/>
        </w:rPr>
        <w:t>nhc.nl, 8 april 2025.</w:t>
      </w:r>
      <w:r>
        <w:rPr>
          <w:lang w:val="en-GB"/>
        </w:rPr>
        <w:t xml:space="preserve"> </w:t>
      </w:r>
    </w:p>
  </w:footnote>
  <w:footnote w:id="14">
    <w:p w14:paraId="7EFC4E59" w14:textId="77777777" w:rsidR="00DA1440" w:rsidRDefault="00DA1440" w:rsidP="00DA1440">
      <w:pPr>
        <w:pStyle w:val="Voetnoottekst"/>
        <w:jc w:val="both"/>
      </w:pPr>
      <w:r>
        <w:rPr>
          <w:rStyle w:val="Voetnootmarkering"/>
        </w:rPr>
        <w:footnoteRef/>
      </w:r>
      <w:r>
        <w:t xml:space="preserve"> ‘Handel in invloed’ wordt ook wel ‘ongeoorloofde beïnvloeding’ genoemd; Bottse 2025, p. 113.</w:t>
      </w:r>
    </w:p>
  </w:footnote>
  <w:footnote w:id="15">
    <w:p w14:paraId="3056A92A" w14:textId="77777777" w:rsidR="00DA1440" w:rsidRPr="00501102" w:rsidRDefault="00DA1440" w:rsidP="00DA1440">
      <w:pPr>
        <w:pStyle w:val="Voetnoottekst"/>
        <w:jc w:val="both"/>
      </w:pPr>
      <w:r>
        <w:rPr>
          <w:rStyle w:val="Voetnootmarkering"/>
        </w:rPr>
        <w:footnoteRef/>
      </w:r>
      <w:r>
        <w:t xml:space="preserve"> Volgens de Europese Commissie in 23 lidstaten; zie de toelichting op het</w:t>
      </w:r>
      <w:r w:rsidRPr="001273C9">
        <w:t xml:space="preserve"> Voorstel voor een richtlijn van het Europees Parlement en de Raad betreffende de bestrijding van corruptie, ter vervanging van Kaderbesluit 2003/568/JBZ van de Raad en van de Overeenkomst ter bestrijding van corruptie waarbij ambtenaren van de Europese Gemeenschappen of van de lidstaten van de Europese Unie betrokken zijn en tot wijziging van Richtlijn (EU) 2017/1371 van het Europees Parlement en de Raad</w:t>
      </w:r>
      <w:r>
        <w:t>, p. 13 (v</w:t>
      </w:r>
      <w:r w:rsidRPr="001273C9">
        <w:t>oortaan: Voorstel voor een anti-corruptierichtlijn</w:t>
      </w:r>
      <w:r>
        <w:t>)</w:t>
      </w:r>
      <w:r w:rsidRPr="001273C9">
        <w:t>.</w:t>
      </w:r>
      <w:r>
        <w:t xml:space="preserve"> Dat is overigens een conclusie die later door de Commissie in de toelichting op haar eigen voorstel is genuanceerd (eveneens op pagina 13). De Commissie wees er namelijk op dat de definities van deze strafbaarstellingen soms sterk afwijken van de definitie zoals gehanteerd in het VTC. De minister van Justitie en Veiligheid heeft op deze nuancering gewezen in </w:t>
      </w:r>
      <w:r w:rsidRPr="00F608F6">
        <w:rPr>
          <w:i/>
          <w:iCs/>
        </w:rPr>
        <w:t>Aanhangsel Handelingen II</w:t>
      </w:r>
      <w:r>
        <w:t xml:space="preserve"> 2024/25, nr. 1472, p. 2.</w:t>
      </w:r>
    </w:p>
  </w:footnote>
  <w:footnote w:id="16">
    <w:p w14:paraId="07A47B6A" w14:textId="77777777" w:rsidR="00DA1440" w:rsidRPr="005225CC" w:rsidRDefault="00DA1440" w:rsidP="00DA1440">
      <w:pPr>
        <w:pStyle w:val="Voetnoottekst"/>
        <w:jc w:val="both"/>
        <w:rPr>
          <w:lang w:val="en-GB"/>
        </w:rPr>
      </w:pPr>
      <w:r>
        <w:rPr>
          <w:rStyle w:val="Voetnootmarkering"/>
        </w:rPr>
        <w:footnoteRef/>
      </w:r>
      <w:r>
        <w:t xml:space="preserve"> Bijvoorbeeld in het </w:t>
      </w:r>
      <w:r w:rsidRPr="00BA7265">
        <w:t>Verdrag van de Verenigde Naties tegen Corruptie</w:t>
      </w:r>
      <w:r>
        <w:t xml:space="preserve"> (VTC) en in het Corruptieverdrag van de Raad van Europa en door het GRECO (</w:t>
      </w:r>
      <w:r w:rsidRPr="00460187">
        <w:t>Group d’Etats contre la Corruption, oftewel de Groep van Staten tegen Corruptie, onderdeel van de Raad van Europa</w:t>
      </w:r>
      <w:r>
        <w:t xml:space="preserve">) in </w:t>
      </w:r>
      <w:r>
        <w:rPr>
          <w:i/>
          <w:iCs/>
        </w:rPr>
        <w:t xml:space="preserve">Third Evaluation Round. </w:t>
      </w:r>
      <w:r w:rsidRPr="00F608F6">
        <w:rPr>
          <w:i/>
          <w:iCs/>
          <w:lang w:val="en-GB"/>
        </w:rPr>
        <w:t xml:space="preserve">Evaluation Report on the Netherlands on Incriminations (ETS </w:t>
      </w:r>
      <w:r>
        <w:rPr>
          <w:i/>
          <w:iCs/>
          <w:lang w:val="en-GB"/>
        </w:rPr>
        <w:t>173 and 191, GPC 2)</w:t>
      </w:r>
      <w:r>
        <w:rPr>
          <w:lang w:val="en-GB"/>
        </w:rPr>
        <w:t xml:space="preserve"> 2008, p. 25.</w:t>
      </w:r>
    </w:p>
  </w:footnote>
  <w:footnote w:id="17">
    <w:p w14:paraId="4C1F4C1A" w14:textId="77777777" w:rsidR="00DA1440" w:rsidRDefault="00DA1440" w:rsidP="00DA1440">
      <w:pPr>
        <w:pStyle w:val="Voetnoottekst"/>
        <w:jc w:val="both"/>
      </w:pPr>
      <w:r>
        <w:rPr>
          <w:rStyle w:val="Voetnootmarkering"/>
        </w:rPr>
        <w:footnoteRef/>
      </w:r>
      <w:r>
        <w:t xml:space="preserve"> Rooijendijk 2024; </w:t>
      </w:r>
      <w:r w:rsidRPr="00F608F6">
        <w:rPr>
          <w:i/>
          <w:iCs/>
        </w:rPr>
        <w:t xml:space="preserve">Is de Nederlandse overheid bestand tegen corruptie? </w:t>
      </w:r>
      <w:r w:rsidRPr="00F608F6">
        <w:t>2024,</w:t>
      </w:r>
      <w:r>
        <w:t xml:space="preserve"> p. 62 e.v.; Kuijpers 2025.</w:t>
      </w:r>
    </w:p>
  </w:footnote>
  <w:footnote w:id="18">
    <w:p w14:paraId="67B75CEE" w14:textId="77777777" w:rsidR="00DA1440" w:rsidRDefault="00DA1440" w:rsidP="00DA1440">
      <w:pPr>
        <w:pStyle w:val="Voetnoottekst"/>
        <w:jc w:val="both"/>
      </w:pPr>
      <w:r>
        <w:rPr>
          <w:rStyle w:val="Voetnootmarkering"/>
        </w:rPr>
        <w:footnoteRef/>
      </w:r>
      <w:r>
        <w:t xml:space="preserve"> Zie hoofdstuk 2.1 voor het verschil tussen handel in invloed en de bestaande omkopingsbepalingen. Zie hoofdstuk 3 voor de discussie in Nederland omtrent strafbaarstelling van handel in invloed.</w:t>
      </w:r>
    </w:p>
  </w:footnote>
  <w:footnote w:id="19">
    <w:p w14:paraId="00750E5A" w14:textId="77777777" w:rsidR="00DA1440" w:rsidRDefault="00DA1440" w:rsidP="00DA1440">
      <w:pPr>
        <w:pStyle w:val="Voetnoottekst"/>
        <w:jc w:val="both"/>
      </w:pPr>
      <w:r>
        <w:rPr>
          <w:rStyle w:val="Voetnootmarkering"/>
        </w:rPr>
        <w:footnoteRef/>
      </w:r>
      <w:r>
        <w:t xml:space="preserve"> Zie o.a. Bottse 2025, p. 113, Van Duyne 1995, p. 117 e.v., Slingerland 2023, p. 403 e.v., Boggia 2026, p. 92.</w:t>
      </w:r>
    </w:p>
  </w:footnote>
  <w:footnote w:id="20">
    <w:p w14:paraId="25B437C9" w14:textId="77777777" w:rsidR="00DA1440" w:rsidRPr="00DB5166" w:rsidRDefault="00DA1440" w:rsidP="00DA1440">
      <w:pPr>
        <w:pStyle w:val="Voetnoottekst"/>
        <w:jc w:val="both"/>
      </w:pPr>
      <w:r>
        <w:rPr>
          <w:rStyle w:val="Voetnootmarkering"/>
        </w:rPr>
        <w:footnoteRef/>
      </w:r>
      <w:r>
        <w:t xml:space="preserve"> Bottse 2025, p. 113.</w:t>
      </w:r>
    </w:p>
  </w:footnote>
  <w:footnote w:id="21">
    <w:p w14:paraId="0DCCF07E" w14:textId="77777777" w:rsidR="00DA1440" w:rsidRDefault="00DA1440" w:rsidP="00DA1440">
      <w:pPr>
        <w:pStyle w:val="Voetnoottekst"/>
        <w:jc w:val="both"/>
      </w:pPr>
      <w:r>
        <w:rPr>
          <w:rStyle w:val="Voetnootmarkering"/>
        </w:rPr>
        <w:footnoteRef/>
      </w:r>
      <w:r>
        <w:t xml:space="preserve"> Van Noorloos, Ouwerkerk &amp; Verrest 2023, par. 2.2.3; Bisscheroux 2023; </w:t>
      </w:r>
      <w:r w:rsidRPr="001273C9">
        <w:t>Voorstel voor een anti-corruptierichtlijn</w:t>
      </w:r>
      <w:r>
        <w:t>.</w:t>
      </w:r>
    </w:p>
  </w:footnote>
  <w:footnote w:id="22">
    <w:p w14:paraId="0A32C1EB" w14:textId="77777777" w:rsidR="00DA1440" w:rsidRDefault="00DA1440" w:rsidP="00DA1440">
      <w:pPr>
        <w:pStyle w:val="Voetnoottekst"/>
        <w:jc w:val="both"/>
      </w:pPr>
      <w:r>
        <w:rPr>
          <w:rStyle w:val="Voetnootmarkering"/>
        </w:rPr>
        <w:footnoteRef/>
      </w:r>
      <w:r>
        <w:t xml:space="preserve"> Wel zal ik, als het gaat om handel in invloed, geen gebruikmaken van de term ‘omkopingsmiddel’, maar van ‘voordeel’, zoals dat in de literatuur en in de internationale instrumenten gebruikelijk is. Om dezelfde reden schrijf ik niet over de ‘omgekochte’, maar over de ‘ontvanger van het voordeel’. Hoewel ik schrijf over ‘de ontvanger van het voordeel’, is het van belang op te merken dat het daarbij mogelijk is dat dit voordeel feitelijk nog moet worden ontvangen. Zie Bottse 2025, p. 113.</w:t>
      </w:r>
    </w:p>
  </w:footnote>
  <w:footnote w:id="23">
    <w:p w14:paraId="58460FAD" w14:textId="77777777" w:rsidR="00DA1440" w:rsidRPr="00F608F6" w:rsidRDefault="00DA1440" w:rsidP="00DA1440">
      <w:pPr>
        <w:pStyle w:val="Voetnoottekst"/>
        <w:jc w:val="both"/>
      </w:pPr>
      <w:r>
        <w:rPr>
          <w:rStyle w:val="Voetnootmarkering"/>
        </w:rPr>
        <w:footnoteRef/>
      </w:r>
      <w:r w:rsidRPr="00B311BC">
        <w:t xml:space="preserve"> Zie bijv. </w:t>
      </w:r>
      <w:r w:rsidRPr="008E6836">
        <w:t xml:space="preserve">Bratvold </w:t>
      </w:r>
      <w:r w:rsidRPr="00F608F6">
        <w:t>2012, p. 3.</w:t>
      </w:r>
    </w:p>
  </w:footnote>
  <w:footnote w:id="24">
    <w:p w14:paraId="12D443FE" w14:textId="77777777" w:rsidR="00DA1440" w:rsidRDefault="00DA1440" w:rsidP="00DA1440">
      <w:pPr>
        <w:pStyle w:val="Voetnoottekst"/>
        <w:jc w:val="both"/>
      </w:pPr>
      <w:r>
        <w:rPr>
          <w:rStyle w:val="Voetnootmarkering"/>
        </w:rPr>
        <w:footnoteRef/>
      </w:r>
      <w:r>
        <w:t xml:space="preserve"> Een (inhoudelijk beter passende term) als ‘de belover, aanbieder of gever van voordeel’ maakt zinnen namelijk al snel dusdanig lang, dat ze minder goed leesbaar worden.</w:t>
      </w:r>
    </w:p>
  </w:footnote>
  <w:footnote w:id="25">
    <w:p w14:paraId="744124DD" w14:textId="77777777" w:rsidR="00DA1440" w:rsidRPr="007F1C2C" w:rsidRDefault="00DA1440" w:rsidP="00DA1440">
      <w:pPr>
        <w:pStyle w:val="Voetnoottekst"/>
        <w:jc w:val="both"/>
        <w:rPr>
          <w:lang w:val="en-GB"/>
        </w:rPr>
      </w:pPr>
      <w:r>
        <w:rPr>
          <w:rStyle w:val="Voetnootmarkering"/>
        </w:rPr>
        <w:footnoteRef/>
      </w:r>
      <w:r w:rsidRPr="007F1C2C">
        <w:rPr>
          <w:lang w:val="en-GB"/>
        </w:rPr>
        <w:t xml:space="preserve"> Het VTC is ook bekend onder de afkorting </w:t>
      </w:r>
      <w:r w:rsidRPr="007F1C2C">
        <w:rPr>
          <w:i/>
          <w:iCs/>
          <w:lang w:val="en-GB"/>
        </w:rPr>
        <w:t>UNCAC</w:t>
      </w:r>
      <w:r w:rsidRPr="007F1C2C">
        <w:rPr>
          <w:lang w:val="en-GB"/>
        </w:rPr>
        <w:t xml:space="preserve"> (United Nations Convention Against Corruption).</w:t>
      </w:r>
    </w:p>
  </w:footnote>
  <w:footnote w:id="26">
    <w:p w14:paraId="023017F8" w14:textId="77777777" w:rsidR="00DA1440" w:rsidRPr="00366EAD" w:rsidRDefault="00DA1440" w:rsidP="00DA1440">
      <w:pPr>
        <w:pStyle w:val="Voetnoottekst"/>
        <w:jc w:val="both"/>
        <w:rPr>
          <w:lang w:val="en-GB"/>
        </w:rPr>
      </w:pPr>
      <w:r>
        <w:rPr>
          <w:rStyle w:val="Voetnootmarkering"/>
        </w:rPr>
        <w:footnoteRef/>
      </w:r>
      <w:r w:rsidRPr="00366EAD">
        <w:rPr>
          <w:lang w:val="en-GB"/>
        </w:rPr>
        <w:t xml:space="preserve"> </w:t>
      </w:r>
      <w:r>
        <w:rPr>
          <w:lang w:val="en-GB"/>
        </w:rPr>
        <w:t xml:space="preserve">De Doelder &amp; Smid 2006; </w:t>
      </w:r>
      <w:r w:rsidRPr="00E11153">
        <w:rPr>
          <w:i/>
          <w:iCs/>
          <w:lang w:val="en-GB"/>
        </w:rPr>
        <w:t>Legislative guide for the implementation of the United Nations Convention against Corruption</w:t>
      </w:r>
      <w:r w:rsidRPr="00E11153">
        <w:rPr>
          <w:lang w:val="en-GB"/>
        </w:rPr>
        <w:t xml:space="preserve"> 2012, p. 98.</w:t>
      </w:r>
    </w:p>
  </w:footnote>
  <w:footnote w:id="27">
    <w:p w14:paraId="0A1424F1" w14:textId="77777777" w:rsidR="00DA1440" w:rsidRPr="00F25043" w:rsidRDefault="00DA1440" w:rsidP="00DA1440">
      <w:pPr>
        <w:pStyle w:val="Voetnoottekst"/>
        <w:jc w:val="both"/>
      </w:pPr>
      <w:r>
        <w:rPr>
          <w:rStyle w:val="Voetnootmarkering"/>
        </w:rPr>
        <w:footnoteRef/>
      </w:r>
      <w:r>
        <w:t xml:space="preserve"> </w:t>
      </w:r>
      <w:r>
        <w:rPr>
          <w:i/>
          <w:iCs/>
        </w:rPr>
        <w:t>Kamerstukken II</w:t>
      </w:r>
      <w:r>
        <w:t xml:space="preserve"> 2005/06, 30 808 (R18150), A en nr. 1, p. 16; Zie de Nederlandse vertaling van artikel 18 van het verdrag</w:t>
      </w:r>
      <w:r w:rsidRPr="00E12720">
        <w:t xml:space="preserve"> zoals gepubliceerd in </w:t>
      </w:r>
      <w:r w:rsidRPr="00E12720">
        <w:rPr>
          <w:i/>
          <w:iCs/>
        </w:rPr>
        <w:t>Trb</w:t>
      </w:r>
      <w:r w:rsidRPr="00E12720">
        <w:t>. 2005, 244, p. 14</w:t>
      </w:r>
      <w:r>
        <w:t>; Smid 2012, p. 138.</w:t>
      </w:r>
    </w:p>
  </w:footnote>
  <w:footnote w:id="28">
    <w:p w14:paraId="41D9EC99" w14:textId="77777777" w:rsidR="00DA1440" w:rsidRPr="00F608F6" w:rsidRDefault="00DA1440" w:rsidP="00DA1440">
      <w:pPr>
        <w:pStyle w:val="Voetnoottekst"/>
        <w:jc w:val="both"/>
      </w:pPr>
      <w:r>
        <w:rPr>
          <w:rStyle w:val="Voetnootmarkering"/>
        </w:rPr>
        <w:footnoteRef/>
      </w:r>
      <w:r w:rsidRPr="00A7428A">
        <w:t xml:space="preserve"> Zie de Nederlandse vertaling van het RvE-corruptieverdrag, </w:t>
      </w:r>
      <w:r w:rsidRPr="00A7428A">
        <w:rPr>
          <w:i/>
          <w:iCs/>
        </w:rPr>
        <w:t>Trb</w:t>
      </w:r>
      <w:r w:rsidRPr="00A7428A">
        <w:t xml:space="preserve">. 2000, 130, p. 43-44; </w:t>
      </w:r>
      <w:r w:rsidRPr="00F608F6">
        <w:rPr>
          <w:i/>
          <w:iCs/>
        </w:rPr>
        <w:t>Legislative guide for the implementation of the United Nations Convention against Corruption</w:t>
      </w:r>
      <w:r w:rsidRPr="00F608F6">
        <w:t xml:space="preserve"> 2012, p. 82 e.v.</w:t>
      </w:r>
      <w:r w:rsidRPr="00A7428A">
        <w:t xml:space="preserve"> </w:t>
      </w:r>
      <w:r w:rsidRPr="00F608F6">
        <w:t>Zie voorts Smid 2012</w:t>
      </w:r>
      <w:r>
        <w:t>, p. 128 e.v.</w:t>
      </w:r>
    </w:p>
  </w:footnote>
  <w:footnote w:id="29">
    <w:p w14:paraId="60567925" w14:textId="77777777" w:rsidR="00DA1440" w:rsidRPr="00B12486" w:rsidRDefault="00DA1440" w:rsidP="00DA1440">
      <w:pPr>
        <w:pStyle w:val="Voetnoottekst"/>
        <w:jc w:val="both"/>
        <w:rPr>
          <w:lang w:val="en-GB"/>
        </w:rPr>
      </w:pPr>
      <w:r>
        <w:rPr>
          <w:rStyle w:val="Voetnootmarkering"/>
        </w:rPr>
        <w:footnoteRef/>
      </w:r>
      <w:r w:rsidRPr="00B12486">
        <w:rPr>
          <w:lang w:val="en-GB"/>
        </w:rPr>
        <w:t xml:space="preserve"> </w:t>
      </w:r>
      <w:r w:rsidRPr="00F608F6">
        <w:rPr>
          <w:i/>
          <w:iCs/>
          <w:lang w:val="en-GB"/>
        </w:rPr>
        <w:t>Explanatory Report on the Convention on the fight against corruption involving officials of the European Communities or officials of Member States of the European Union</w:t>
      </w:r>
      <w:r>
        <w:rPr>
          <w:i/>
          <w:iCs/>
          <w:lang w:val="en-GB"/>
        </w:rPr>
        <w:t xml:space="preserve"> </w:t>
      </w:r>
      <w:r>
        <w:rPr>
          <w:lang w:val="en-GB"/>
        </w:rPr>
        <w:t>1998,</w:t>
      </w:r>
      <w:r>
        <w:rPr>
          <w:i/>
          <w:iCs/>
          <w:lang w:val="en-GB"/>
        </w:rPr>
        <w:t xml:space="preserve"> </w:t>
      </w:r>
      <w:r>
        <w:rPr>
          <w:lang w:val="en-GB"/>
        </w:rPr>
        <w:t>onder 3.2.</w:t>
      </w:r>
    </w:p>
  </w:footnote>
  <w:footnote w:id="30">
    <w:p w14:paraId="70726D9C" w14:textId="77777777" w:rsidR="00DA1440" w:rsidRDefault="00DA1440" w:rsidP="00DA1440">
      <w:pPr>
        <w:pStyle w:val="Voetnoottekst"/>
        <w:jc w:val="both"/>
      </w:pPr>
      <w:r>
        <w:rPr>
          <w:rStyle w:val="Voetnootmarkering"/>
        </w:rPr>
        <w:footnoteRef/>
      </w:r>
      <w:r>
        <w:t xml:space="preserve"> Zie bijvoorbeeld Smid 2012; Van Noorloos, Ouwerkerk &amp; Verrest 2023; Bottse 2025; Boggia 2026.</w:t>
      </w:r>
    </w:p>
  </w:footnote>
  <w:footnote w:id="31">
    <w:p w14:paraId="70E3EC76" w14:textId="77777777" w:rsidR="00DA1440" w:rsidRDefault="00DA1440" w:rsidP="00DA1440">
      <w:pPr>
        <w:pStyle w:val="Voetnoottekst"/>
        <w:jc w:val="both"/>
      </w:pPr>
      <w:r>
        <w:rPr>
          <w:rStyle w:val="Voetnootmarkering"/>
        </w:rPr>
        <w:footnoteRef/>
      </w:r>
      <w:r>
        <w:t>Zie bijvoorbeeld Mongillo 2023.</w:t>
      </w:r>
    </w:p>
  </w:footnote>
  <w:footnote w:id="32">
    <w:p w14:paraId="72F34F32" w14:textId="77777777" w:rsidR="00DA1440" w:rsidRDefault="00DA1440" w:rsidP="00DA1440">
      <w:pPr>
        <w:pStyle w:val="Voetnoottekst"/>
        <w:jc w:val="both"/>
      </w:pPr>
      <w:r>
        <w:rPr>
          <w:rStyle w:val="Voetnootmarkering"/>
        </w:rPr>
        <w:footnoteRef/>
      </w:r>
      <w:r>
        <w:t xml:space="preserve"> In bijvoorbeeld Bouman 2021 is de aanpak van corruptie, waaronder handel in invloed, in Frankrijk, Roemenië en Nederland met elkaar vergeleken, maar is daarbij geen aandacht besteed aan de gebruikte argumenten die ten grondslag lagen aan de verschillende aanpakken.</w:t>
      </w:r>
    </w:p>
  </w:footnote>
  <w:footnote w:id="33">
    <w:p w14:paraId="7B321364" w14:textId="77777777" w:rsidR="00DA1440" w:rsidRDefault="00DA1440" w:rsidP="00DA1440">
      <w:pPr>
        <w:pStyle w:val="Voetnoottekst"/>
        <w:jc w:val="both"/>
      </w:pPr>
      <w:r>
        <w:rPr>
          <w:rStyle w:val="Voetnootmarkering"/>
        </w:rPr>
        <w:footnoteRef/>
      </w:r>
      <w:r>
        <w:t xml:space="preserve"> Waarom de vergelijking wordt gemaakt met de Europese Commissie, de Franse wetgever en de Zweedse wetgever, licht ik toe in hoofdstuk 1.3.</w:t>
      </w:r>
    </w:p>
  </w:footnote>
  <w:footnote w:id="34">
    <w:p w14:paraId="4B1EE8A0" w14:textId="77777777" w:rsidR="00DA1440" w:rsidRDefault="00DA1440" w:rsidP="00DA1440">
      <w:pPr>
        <w:pStyle w:val="Voetnoottekst"/>
        <w:jc w:val="both"/>
      </w:pPr>
      <w:r>
        <w:rPr>
          <w:rStyle w:val="Voetnootmarkering"/>
        </w:rPr>
        <w:footnoteRef/>
      </w:r>
      <w:r>
        <w:t xml:space="preserve"> Buisman 2020, p. 64.</w:t>
      </w:r>
    </w:p>
  </w:footnote>
  <w:footnote w:id="35">
    <w:p w14:paraId="7BCF215B" w14:textId="77777777" w:rsidR="00DA1440" w:rsidRDefault="00DA1440" w:rsidP="00DA1440">
      <w:pPr>
        <w:pStyle w:val="Voetnoottekst"/>
        <w:jc w:val="both"/>
      </w:pPr>
      <w:r>
        <w:rPr>
          <w:rStyle w:val="Voetnootmarkering"/>
        </w:rPr>
        <w:footnoteRef/>
      </w:r>
      <w:r>
        <w:t xml:space="preserve"> De door de Commissie voorgestelde Corruptierichtlijn – specifiek artikel 10 – zal (bij ongewijzigde inwerkingtreding) ertoe leiden dat Nederland handel in invloed expliciet strafbaar moet stellen.</w:t>
      </w:r>
    </w:p>
  </w:footnote>
  <w:footnote w:id="36">
    <w:p w14:paraId="543F9B17" w14:textId="77777777" w:rsidR="00DA1440" w:rsidRDefault="00DA1440" w:rsidP="00DA1440">
      <w:pPr>
        <w:pStyle w:val="Voetnoottekst"/>
        <w:jc w:val="both"/>
      </w:pPr>
      <w:r>
        <w:rPr>
          <w:rStyle w:val="Voetnootmarkering"/>
        </w:rPr>
        <w:footnoteRef/>
      </w:r>
      <w:r>
        <w:t xml:space="preserve"> </w:t>
      </w:r>
      <w:r w:rsidRPr="00607E0B">
        <w:t>Zeiser 2012, p. 56.</w:t>
      </w:r>
    </w:p>
  </w:footnote>
  <w:footnote w:id="37">
    <w:p w14:paraId="272DA516" w14:textId="77777777" w:rsidR="00DA1440" w:rsidRDefault="00DA1440" w:rsidP="00DA1440">
      <w:pPr>
        <w:pStyle w:val="Voetnoottekst"/>
        <w:jc w:val="both"/>
      </w:pPr>
      <w:r>
        <w:rPr>
          <w:rStyle w:val="Voetnootmarkering"/>
        </w:rPr>
        <w:footnoteRef/>
      </w:r>
      <w:r>
        <w:t xml:space="preserve"> Bouman 2021, p. 25.</w:t>
      </w:r>
    </w:p>
  </w:footnote>
  <w:footnote w:id="38">
    <w:p w14:paraId="1D230DC4" w14:textId="77777777" w:rsidR="00DA1440" w:rsidRDefault="00DA1440" w:rsidP="00DA1440">
      <w:pPr>
        <w:pStyle w:val="Voetnoottekst"/>
        <w:jc w:val="both"/>
      </w:pPr>
      <w:r>
        <w:rPr>
          <w:rStyle w:val="Voetnootmarkering"/>
        </w:rPr>
        <w:footnoteRef/>
      </w:r>
      <w:r>
        <w:t xml:space="preserve"> Vols 2020, p. 168.</w:t>
      </w:r>
    </w:p>
  </w:footnote>
  <w:footnote w:id="39">
    <w:p w14:paraId="64D3EAB2" w14:textId="77777777" w:rsidR="00DA1440" w:rsidRPr="00C708E7" w:rsidRDefault="00DA1440" w:rsidP="00DA1440">
      <w:pPr>
        <w:pStyle w:val="Voetnoottekst"/>
        <w:jc w:val="both"/>
      </w:pPr>
      <w:r>
        <w:rPr>
          <w:rStyle w:val="Voetnootmarkering"/>
        </w:rPr>
        <w:footnoteRef/>
      </w:r>
      <w:r w:rsidRPr="00C708E7">
        <w:t xml:space="preserve"> Bouman</w:t>
      </w:r>
      <w:r>
        <w:t xml:space="preserve"> 2021,</w:t>
      </w:r>
      <w:r w:rsidRPr="00C708E7">
        <w:t xml:space="preserve"> p. 25; in de </w:t>
      </w:r>
      <w:r w:rsidRPr="00C708E7">
        <w:rPr>
          <w:i/>
          <w:iCs/>
        </w:rPr>
        <w:t xml:space="preserve">Corruption Perceptions Index </w:t>
      </w:r>
      <w:r w:rsidRPr="00C708E7">
        <w:t xml:space="preserve">van </w:t>
      </w:r>
      <w:r w:rsidRPr="00C708E7">
        <w:rPr>
          <w:i/>
          <w:iCs/>
        </w:rPr>
        <w:t xml:space="preserve">Transparency International </w:t>
      </w:r>
      <w:r w:rsidRPr="00C708E7">
        <w:t>staat Frankrijk op de 27</w:t>
      </w:r>
      <w:r w:rsidRPr="00F608F6">
        <w:rPr>
          <w:vertAlign w:val="superscript"/>
        </w:rPr>
        <w:t>e</w:t>
      </w:r>
      <w:r>
        <w:t xml:space="preserve"> </w:t>
      </w:r>
      <w:r w:rsidRPr="00C708E7">
        <w:t>pl</w:t>
      </w:r>
      <w:r>
        <w:t>aats</w:t>
      </w:r>
      <w:r w:rsidRPr="00C708E7">
        <w:t xml:space="preserve">, </w:t>
      </w:r>
      <w:r>
        <w:t>Nederland op de achtste plaats.</w:t>
      </w:r>
    </w:p>
  </w:footnote>
  <w:footnote w:id="40">
    <w:p w14:paraId="30DFAE58" w14:textId="77777777" w:rsidR="00DA1440" w:rsidRDefault="00DA1440" w:rsidP="00DA1440">
      <w:pPr>
        <w:pStyle w:val="Voetnoottekst"/>
        <w:jc w:val="both"/>
      </w:pPr>
      <w:r>
        <w:rPr>
          <w:rStyle w:val="Voetnootmarkering"/>
        </w:rPr>
        <w:footnoteRef/>
      </w:r>
      <w:r>
        <w:t xml:space="preserve"> Vgl. Bouman 2021, p. 24.</w:t>
      </w:r>
    </w:p>
  </w:footnote>
  <w:footnote w:id="41">
    <w:p w14:paraId="10302D3B" w14:textId="77777777" w:rsidR="00DA1440" w:rsidRDefault="00DA1440" w:rsidP="00DA1440">
      <w:pPr>
        <w:pStyle w:val="Voetnoottekst"/>
        <w:jc w:val="both"/>
      </w:pPr>
      <w:r>
        <w:rPr>
          <w:rStyle w:val="Voetnootmarkering"/>
        </w:rPr>
        <w:footnoteRef/>
      </w:r>
      <w:r>
        <w:t xml:space="preserve"> Zie hoofdstuk 6.</w:t>
      </w:r>
    </w:p>
  </w:footnote>
  <w:footnote w:id="42">
    <w:p w14:paraId="2343D9F2" w14:textId="77777777" w:rsidR="00DA1440" w:rsidRPr="00F608F6" w:rsidRDefault="00DA1440" w:rsidP="00DA1440">
      <w:pPr>
        <w:pStyle w:val="Voetnoottekst"/>
        <w:jc w:val="both"/>
        <w:rPr>
          <w:lang w:val="en-GB"/>
        </w:rPr>
      </w:pPr>
      <w:r>
        <w:rPr>
          <w:rStyle w:val="Voetnootmarkering"/>
        </w:rPr>
        <w:footnoteRef/>
      </w:r>
      <w:r w:rsidRPr="00F608F6">
        <w:rPr>
          <w:lang w:val="en-GB"/>
        </w:rPr>
        <w:t xml:space="preserve"> Zie de </w:t>
      </w:r>
      <w:r w:rsidRPr="00F608F6">
        <w:rPr>
          <w:i/>
          <w:iCs/>
          <w:lang w:val="en-GB"/>
        </w:rPr>
        <w:t xml:space="preserve">Corruption Perceptions Index </w:t>
      </w:r>
      <w:r w:rsidRPr="00F608F6">
        <w:rPr>
          <w:lang w:val="en-GB"/>
        </w:rPr>
        <w:t>2025</w:t>
      </w:r>
      <w:r w:rsidRPr="00F608F6">
        <w:rPr>
          <w:i/>
          <w:iCs/>
          <w:lang w:val="en-GB"/>
        </w:rPr>
        <w:t xml:space="preserve"> </w:t>
      </w:r>
      <w:r w:rsidRPr="00F608F6">
        <w:rPr>
          <w:lang w:val="en-GB"/>
        </w:rPr>
        <w:t xml:space="preserve">van </w:t>
      </w:r>
      <w:r w:rsidRPr="00F608F6">
        <w:rPr>
          <w:i/>
          <w:iCs/>
          <w:lang w:val="en-GB"/>
        </w:rPr>
        <w:t>Transparency International</w:t>
      </w:r>
      <w:r w:rsidRPr="00F608F6">
        <w:rPr>
          <w:lang w:val="en-GB"/>
        </w:rPr>
        <w:t>: ‘Corruption Perceptions Index 2025’, transparency.org.</w:t>
      </w:r>
    </w:p>
  </w:footnote>
  <w:footnote w:id="43">
    <w:p w14:paraId="7D0CE483" w14:textId="77777777" w:rsidR="00DA1440" w:rsidRPr="0097031D" w:rsidRDefault="00DA1440" w:rsidP="00DA1440">
      <w:pPr>
        <w:pStyle w:val="Voetnoottekst"/>
        <w:jc w:val="both"/>
      </w:pPr>
      <w:r>
        <w:rPr>
          <w:rStyle w:val="Voetnootmarkering"/>
        </w:rPr>
        <w:footnoteRef/>
      </w:r>
      <w:r>
        <w:t xml:space="preserve"> Zie hoofdstuk 2.2.</w:t>
      </w:r>
    </w:p>
  </w:footnote>
  <w:footnote w:id="44">
    <w:p w14:paraId="72A7805B" w14:textId="77777777" w:rsidR="00DA1440" w:rsidRDefault="00DA1440" w:rsidP="00DA1440">
      <w:pPr>
        <w:pStyle w:val="Voetnoottekst"/>
        <w:jc w:val="both"/>
      </w:pPr>
      <w:r>
        <w:rPr>
          <w:rStyle w:val="Voetnootmarkering"/>
        </w:rPr>
        <w:footnoteRef/>
      </w:r>
      <w:r>
        <w:t xml:space="preserve"> </w:t>
      </w:r>
      <w:r w:rsidRPr="002F5277">
        <w:t>De Nederlandse wetgever komt als eerst aan bod, omdat in de andere hoofdstukken telkens een vergelijking met de argumenten van de Nederlandse wetgever is gemaakt.</w:t>
      </w:r>
    </w:p>
  </w:footnote>
  <w:footnote w:id="45">
    <w:p w14:paraId="1EF40C2F" w14:textId="77777777" w:rsidR="00DA1440" w:rsidRDefault="00DA1440" w:rsidP="00DA1440">
      <w:pPr>
        <w:pStyle w:val="Voetnoottekst"/>
        <w:jc w:val="both"/>
      </w:pPr>
      <w:r>
        <w:rPr>
          <w:rStyle w:val="Voetnootmarkering"/>
        </w:rPr>
        <w:footnoteRef/>
      </w:r>
      <w:r>
        <w:t xml:space="preserve"> Vols 2020, p. 155.</w:t>
      </w:r>
    </w:p>
  </w:footnote>
  <w:footnote w:id="46">
    <w:p w14:paraId="13843AEC" w14:textId="77777777" w:rsidR="00DA1440" w:rsidRDefault="00DA1440" w:rsidP="00DA1440">
      <w:pPr>
        <w:pStyle w:val="Voetnoottekst"/>
        <w:jc w:val="both"/>
      </w:pPr>
      <w:r>
        <w:rPr>
          <w:rStyle w:val="Voetnootmarkering"/>
        </w:rPr>
        <w:footnoteRef/>
      </w:r>
      <w:r>
        <w:t xml:space="preserve"> Zie hoofdstuk 2.2 voor een inhoudelijke beschrijving van deze criteria.</w:t>
      </w:r>
    </w:p>
  </w:footnote>
  <w:footnote w:id="47">
    <w:p w14:paraId="52D52D06" w14:textId="77777777" w:rsidR="00DA1440" w:rsidRDefault="00DA1440" w:rsidP="00DA1440">
      <w:pPr>
        <w:pStyle w:val="Voetnoottekst"/>
        <w:jc w:val="both"/>
      </w:pPr>
      <w:r>
        <w:rPr>
          <w:rStyle w:val="Voetnootmarkering"/>
        </w:rPr>
        <w:footnoteRef/>
      </w:r>
      <w:r>
        <w:t xml:space="preserve"> De Hullu &amp; Van Kempen 2024, p. 17 e.v.</w:t>
      </w:r>
    </w:p>
  </w:footnote>
  <w:footnote w:id="48">
    <w:p w14:paraId="572D2F59" w14:textId="77777777" w:rsidR="00DA1440" w:rsidRDefault="00DA1440" w:rsidP="00DA1440">
      <w:pPr>
        <w:pStyle w:val="Voetnoottekst"/>
        <w:jc w:val="both"/>
      </w:pPr>
      <w:r>
        <w:rPr>
          <w:rStyle w:val="Voetnootmarkering"/>
        </w:rPr>
        <w:footnoteRef/>
      </w:r>
      <w:r>
        <w:t xml:space="preserve"> De Hullu &amp; Van Kempen 2024, p. 17; Hulsman 1972; De Roos 1987.</w:t>
      </w:r>
    </w:p>
  </w:footnote>
  <w:footnote w:id="49">
    <w:p w14:paraId="7B7E3FF2" w14:textId="77777777" w:rsidR="00DA1440" w:rsidRPr="004F3277" w:rsidRDefault="00DA1440" w:rsidP="00DA1440">
      <w:pPr>
        <w:pStyle w:val="Voetnoottekst"/>
        <w:jc w:val="both"/>
      </w:pPr>
      <w:r>
        <w:rPr>
          <w:rStyle w:val="Voetnootmarkering"/>
        </w:rPr>
        <w:footnoteRef/>
      </w:r>
      <w:r>
        <w:t xml:space="preserve"> Van Bemmelen 1973, p. 1 – 14; Haveman 1998; Meijer e.a. 2019, p. 16.</w:t>
      </w:r>
    </w:p>
  </w:footnote>
  <w:footnote w:id="50">
    <w:p w14:paraId="35682638" w14:textId="77777777" w:rsidR="00DA1440" w:rsidRDefault="00DA1440" w:rsidP="00DA1440">
      <w:pPr>
        <w:pStyle w:val="Voetnoottekst"/>
        <w:jc w:val="both"/>
      </w:pPr>
      <w:r>
        <w:rPr>
          <w:rStyle w:val="Voetnootmarkering"/>
        </w:rPr>
        <w:footnoteRef/>
      </w:r>
      <w:r>
        <w:t xml:space="preserve"> Het stuk van Hulsman komt uit 1972, dat van Van Bellemen uit 1973, dat van De Roos uit 1987 en dat van Haveman uit 1998.</w:t>
      </w:r>
    </w:p>
  </w:footnote>
  <w:footnote w:id="51">
    <w:p w14:paraId="778EFD32" w14:textId="77777777" w:rsidR="00DA1440" w:rsidRDefault="00DA1440" w:rsidP="00DA1440">
      <w:pPr>
        <w:pStyle w:val="Voetnoottekst"/>
        <w:jc w:val="both"/>
      </w:pPr>
      <w:r>
        <w:rPr>
          <w:rStyle w:val="Voetnootmarkering"/>
        </w:rPr>
        <w:footnoteRef/>
      </w:r>
      <w:r>
        <w:t xml:space="preserve"> Buisman 2020; ik heb dus gebruikgemaakt van de sneeuwbalmethode.</w:t>
      </w:r>
    </w:p>
  </w:footnote>
  <w:footnote w:id="52">
    <w:p w14:paraId="4394529D" w14:textId="77777777" w:rsidR="00DA1440" w:rsidRDefault="00DA1440" w:rsidP="00DA1440">
      <w:pPr>
        <w:pStyle w:val="Voetnoottekst"/>
        <w:jc w:val="both"/>
      </w:pPr>
      <w:r>
        <w:rPr>
          <w:rStyle w:val="Voetnootmarkering"/>
        </w:rPr>
        <w:footnoteRef/>
      </w:r>
      <w:r>
        <w:t xml:space="preserve"> Haenen 2014; Groenhuijsen en Ouwerkerk 2013. Deze werken zijn in de literatuur als gezaghebbend aangemerkt.</w:t>
      </w:r>
    </w:p>
  </w:footnote>
  <w:footnote w:id="53">
    <w:p w14:paraId="2C3216CC" w14:textId="77777777" w:rsidR="00DA1440" w:rsidRDefault="00DA1440" w:rsidP="00DA1440">
      <w:pPr>
        <w:pStyle w:val="Voetnoottekst"/>
        <w:jc w:val="both"/>
      </w:pPr>
      <w:r>
        <w:rPr>
          <w:rStyle w:val="Voetnootmarkering"/>
        </w:rPr>
        <w:footnoteRef/>
      </w:r>
      <w:r>
        <w:t xml:space="preserve"> Of, algemener, het voorkomen van een te brede strafbaarstelling, die ertoe zou leiden dat ook niet-strafwaardig gedrag strafbaar zou worden.</w:t>
      </w:r>
    </w:p>
  </w:footnote>
  <w:footnote w:id="54">
    <w:p w14:paraId="18A147B5" w14:textId="77777777" w:rsidR="00DA1440" w:rsidRDefault="00DA1440" w:rsidP="00DA1440">
      <w:pPr>
        <w:pStyle w:val="Voetnoottekst"/>
        <w:jc w:val="both"/>
      </w:pPr>
      <w:r>
        <w:rPr>
          <w:rStyle w:val="Voetnootmarkering"/>
        </w:rPr>
        <w:footnoteRef/>
      </w:r>
      <w:r>
        <w:t xml:space="preserve"> Het viel me op dat – in vergelijking met Nederland – er in het buitenland veel vaker kritische beschouwingen van de Corruptierichtlijn waren gepubliceerd.</w:t>
      </w:r>
    </w:p>
  </w:footnote>
  <w:footnote w:id="55">
    <w:p w14:paraId="7E48BC0C" w14:textId="77777777" w:rsidR="00DA1440" w:rsidRPr="005F18CE" w:rsidRDefault="00DA1440" w:rsidP="00DA1440">
      <w:pPr>
        <w:pStyle w:val="Voetnoottekst"/>
        <w:jc w:val="both"/>
      </w:pPr>
      <w:r>
        <w:rPr>
          <w:rStyle w:val="Voetnootmarkering"/>
        </w:rPr>
        <w:footnoteRef/>
      </w:r>
      <w:r>
        <w:t xml:space="preserve"> Hoewel rechtsvergelijking vaak ziet op vergelijkingen tussen nationale rechtsstelsels – en de Europese Commissie geen nationale wetgever is – ben ik van mening dat toch gesproken kan worden van rechtsvergelijking. Immers, het gaat om de vergelijking van twee verschillende </w:t>
      </w:r>
      <w:r>
        <w:rPr>
          <w:i/>
          <w:iCs/>
        </w:rPr>
        <w:t>legal systems</w:t>
      </w:r>
      <w:r>
        <w:t>: het Nederlandse recht en het EU-recht. Het EU-recht kan mijns inziens kwalificeren als rechtstelsel. Zie Dannemann 2006, p. 416 en De Serière 2019.</w:t>
      </w:r>
    </w:p>
  </w:footnote>
  <w:footnote w:id="56">
    <w:p w14:paraId="47631BA2" w14:textId="77777777" w:rsidR="00DA1440" w:rsidRDefault="00DA1440" w:rsidP="00DA1440">
      <w:pPr>
        <w:pStyle w:val="Voetnoottekst"/>
        <w:jc w:val="both"/>
      </w:pPr>
      <w:r>
        <w:rPr>
          <w:rStyle w:val="Voetnootmarkering"/>
        </w:rPr>
        <w:footnoteRef/>
      </w:r>
      <w:r>
        <w:t xml:space="preserve"> Bouman 2021, in het bijzonder p. 57 e.v.</w:t>
      </w:r>
    </w:p>
  </w:footnote>
  <w:footnote w:id="57">
    <w:p w14:paraId="4027F8AF" w14:textId="77777777" w:rsidR="00DA1440" w:rsidRPr="00B52071" w:rsidRDefault="00DA1440" w:rsidP="00DA1440">
      <w:pPr>
        <w:pStyle w:val="Voetnoottekst"/>
        <w:jc w:val="both"/>
      </w:pPr>
      <w:r>
        <w:rPr>
          <w:rStyle w:val="Voetnootmarkering"/>
        </w:rPr>
        <w:footnoteRef/>
      </w:r>
      <w:r>
        <w:t xml:space="preserve"> De </w:t>
      </w:r>
      <w:r>
        <w:rPr>
          <w:i/>
          <w:iCs/>
        </w:rPr>
        <w:t>Dalloz</w:t>
      </w:r>
      <w:r>
        <w:t xml:space="preserve">-reeks is vergelijkbaar met </w:t>
      </w:r>
      <w:r>
        <w:rPr>
          <w:i/>
          <w:iCs/>
        </w:rPr>
        <w:t>Tekst &amp; Commentaar</w:t>
      </w:r>
      <w:r>
        <w:t>.</w:t>
      </w:r>
    </w:p>
  </w:footnote>
  <w:footnote w:id="58">
    <w:p w14:paraId="587C1B74" w14:textId="77777777" w:rsidR="00DA1440" w:rsidRDefault="00DA1440" w:rsidP="00DA1440">
      <w:pPr>
        <w:pStyle w:val="Voetnoottekst"/>
        <w:jc w:val="both"/>
      </w:pPr>
      <w:r>
        <w:rPr>
          <w:rStyle w:val="Voetnootmarkering"/>
        </w:rPr>
        <w:footnoteRef/>
      </w:r>
      <w:r>
        <w:t xml:space="preserve"> </w:t>
      </w:r>
      <w:r w:rsidRPr="00E431E7">
        <w:t xml:space="preserve">De Franse bronnen heb ik – gelet op mijn beheersing van het Frans – nauwelijks hoeven te vertalen. Enkele woorden heb ik via </w:t>
      </w:r>
      <w:r w:rsidRPr="00AC7D60">
        <w:rPr>
          <w:i/>
          <w:iCs/>
        </w:rPr>
        <w:t>Google Translate</w:t>
      </w:r>
      <w:r w:rsidRPr="00E431E7">
        <w:t xml:space="preserve"> vertaald. Voor de zekerheid heb ik diezelfde </w:t>
      </w:r>
      <w:r>
        <w:t>woorden</w:t>
      </w:r>
      <w:r w:rsidRPr="00E431E7">
        <w:t xml:space="preserve"> vertaald via AI-toepassingen </w:t>
      </w:r>
      <w:r w:rsidRPr="00AC7D60">
        <w:rPr>
          <w:i/>
          <w:iCs/>
        </w:rPr>
        <w:t>ChatGPT</w:t>
      </w:r>
      <w:r w:rsidRPr="00E431E7">
        <w:t xml:space="preserve"> en </w:t>
      </w:r>
      <w:r w:rsidRPr="00AC7D60">
        <w:rPr>
          <w:i/>
          <w:iCs/>
        </w:rPr>
        <w:t>Co-Pilot</w:t>
      </w:r>
      <w:r w:rsidRPr="00E431E7">
        <w:t>, om de kans op vertaalfouten te verkleinen.</w:t>
      </w:r>
    </w:p>
  </w:footnote>
  <w:footnote w:id="59">
    <w:p w14:paraId="2C360EBA" w14:textId="77777777" w:rsidR="00DA1440" w:rsidRDefault="00DA1440" w:rsidP="00DA1440">
      <w:pPr>
        <w:pStyle w:val="Voetnoottekst"/>
        <w:jc w:val="both"/>
      </w:pPr>
      <w:r>
        <w:rPr>
          <w:rStyle w:val="Voetnootmarkering"/>
        </w:rPr>
        <w:footnoteRef/>
      </w:r>
      <w:r>
        <w:t xml:space="preserve"> De relevante stukken heb ik </w:t>
      </w:r>
      <w:r w:rsidRPr="00E431E7">
        <w:t xml:space="preserve">vertaald met behulp van </w:t>
      </w:r>
      <w:r w:rsidRPr="00AC7D60">
        <w:rPr>
          <w:i/>
          <w:iCs/>
        </w:rPr>
        <w:t>Google Translate</w:t>
      </w:r>
      <w:r w:rsidRPr="00E431E7">
        <w:t xml:space="preserve">. Voor de volledigheid heb ik dezelfde stukken ook vertaald met behulp van de vertaaltool van AI-toepassingen </w:t>
      </w:r>
      <w:r w:rsidRPr="00AC7D60">
        <w:rPr>
          <w:i/>
          <w:iCs/>
        </w:rPr>
        <w:t>ChatGPT</w:t>
      </w:r>
      <w:r w:rsidRPr="00E431E7">
        <w:t xml:space="preserve"> en </w:t>
      </w:r>
      <w:r w:rsidRPr="00AC7D60">
        <w:rPr>
          <w:i/>
          <w:iCs/>
        </w:rPr>
        <w:t>Co-Pilot</w:t>
      </w:r>
      <w:r w:rsidRPr="00E431E7">
        <w:t>. Door drie vertalingen naast elkaar te leggen, heb ik getracht de kans op vertaalfouten te minimaliseren.</w:t>
      </w:r>
    </w:p>
  </w:footnote>
  <w:footnote w:id="60">
    <w:p w14:paraId="30DFCA64" w14:textId="77777777" w:rsidR="00DA1440" w:rsidRDefault="00DA1440" w:rsidP="00DA1440">
      <w:pPr>
        <w:pStyle w:val="Voetnoottekst"/>
        <w:jc w:val="both"/>
      </w:pPr>
      <w:r>
        <w:rPr>
          <w:rStyle w:val="Voetnootmarkering"/>
        </w:rPr>
        <w:footnoteRef/>
      </w:r>
      <w:r>
        <w:t xml:space="preserve"> Zie met name de artikelen 177 en 363 Sr.</w:t>
      </w:r>
    </w:p>
  </w:footnote>
  <w:footnote w:id="61">
    <w:p w14:paraId="1464297C" w14:textId="77777777" w:rsidR="00DA1440" w:rsidRPr="00635476" w:rsidRDefault="00DA1440" w:rsidP="00DA1440">
      <w:pPr>
        <w:pStyle w:val="Voetnoottekst"/>
        <w:jc w:val="both"/>
      </w:pPr>
      <w:r>
        <w:rPr>
          <w:rStyle w:val="Voetnootmarkering"/>
        </w:rPr>
        <w:footnoteRef/>
      </w:r>
      <w:r w:rsidRPr="00635476">
        <w:t xml:space="preserve"> ‘Quid pro quo’ betekent ‘voor </w:t>
      </w:r>
      <w:r>
        <w:t>wat, hoort wat’.</w:t>
      </w:r>
    </w:p>
  </w:footnote>
  <w:footnote w:id="62">
    <w:p w14:paraId="619834A4" w14:textId="77777777" w:rsidR="00DA1440" w:rsidRPr="00DA1440" w:rsidRDefault="00DA1440" w:rsidP="00DA1440">
      <w:pPr>
        <w:pStyle w:val="Voetnoottekst"/>
        <w:jc w:val="both"/>
        <w:rPr>
          <w:lang w:val="en-GB"/>
        </w:rPr>
      </w:pPr>
      <w:r>
        <w:rPr>
          <w:rStyle w:val="Voetnootmarkering"/>
        </w:rPr>
        <w:footnoteRef/>
      </w:r>
      <w:r w:rsidRPr="00566213">
        <w:rPr>
          <w:lang w:val="en-GB"/>
        </w:rPr>
        <w:t xml:space="preserve"> </w:t>
      </w:r>
      <w:r w:rsidRPr="00566213">
        <w:rPr>
          <w:i/>
          <w:iCs/>
          <w:lang w:val="en-GB"/>
        </w:rPr>
        <w:t xml:space="preserve">Explanatory Report on the Convention on the fight against corruption involving officials of the European Communities or officials of Member States of the European Union </w:t>
      </w:r>
      <w:r w:rsidRPr="00566213">
        <w:rPr>
          <w:lang w:val="en-GB"/>
        </w:rPr>
        <w:t>1998</w:t>
      </w:r>
      <w:r w:rsidRPr="00F608F6">
        <w:rPr>
          <w:lang w:val="en-GB"/>
        </w:rPr>
        <w:t>.</w:t>
      </w:r>
      <w:r w:rsidRPr="00566213">
        <w:rPr>
          <w:lang w:val="en-GB"/>
        </w:rPr>
        <w:t xml:space="preserve"> </w:t>
      </w:r>
      <w:r>
        <w:t>D</w:t>
      </w:r>
      <w:r w:rsidRPr="00F608F6">
        <w:t xml:space="preserve">e ontvanger van </w:t>
      </w:r>
      <w:r>
        <w:t xml:space="preserve">het </w:t>
      </w:r>
      <w:r w:rsidRPr="00F608F6">
        <w:t xml:space="preserve">voordeel kan bijvoorbeeld invloed hebben vanuit zijn functie en positie ten opzichte van de </w:t>
      </w:r>
      <w:r>
        <w:t xml:space="preserve">beleidsmaker. </w:t>
      </w:r>
      <w:r w:rsidRPr="00DA1440">
        <w:rPr>
          <w:lang w:val="en-GB"/>
        </w:rPr>
        <w:t>Zie Slingerland 2023, p. 403 – 405.</w:t>
      </w:r>
    </w:p>
  </w:footnote>
  <w:footnote w:id="63">
    <w:p w14:paraId="27285311" w14:textId="77777777" w:rsidR="00DA1440" w:rsidRPr="00725627" w:rsidRDefault="00DA1440" w:rsidP="00DA1440">
      <w:pPr>
        <w:pStyle w:val="Voetnoottekst"/>
        <w:jc w:val="both"/>
        <w:rPr>
          <w:lang w:val="en-GB"/>
        </w:rPr>
      </w:pPr>
      <w:r>
        <w:rPr>
          <w:rStyle w:val="Voetnootmarkering"/>
        </w:rPr>
        <w:footnoteRef/>
      </w:r>
      <w:r w:rsidRPr="00725627">
        <w:rPr>
          <w:lang w:val="en-GB"/>
        </w:rPr>
        <w:t xml:space="preserve"> </w:t>
      </w:r>
      <w:r w:rsidRPr="001044A1">
        <w:rPr>
          <w:i/>
          <w:iCs/>
          <w:lang w:val="en-GB"/>
        </w:rPr>
        <w:t>Explanatory Report on the Convention on the fight against corruption involving officials of the European Communities or officials of Member States of the European Union</w:t>
      </w:r>
      <w:r>
        <w:rPr>
          <w:i/>
          <w:iCs/>
          <w:lang w:val="en-GB"/>
        </w:rPr>
        <w:t xml:space="preserve"> </w:t>
      </w:r>
      <w:r>
        <w:rPr>
          <w:lang w:val="en-GB"/>
        </w:rPr>
        <w:t>1998</w:t>
      </w:r>
      <w:r w:rsidRPr="00B776F3">
        <w:rPr>
          <w:lang w:val="en-GB"/>
        </w:rPr>
        <w:t>;</w:t>
      </w:r>
      <w:r>
        <w:rPr>
          <w:lang w:val="en-GB"/>
        </w:rPr>
        <w:t xml:space="preserve"> </w:t>
      </w:r>
      <w:r w:rsidRPr="00750A2A">
        <w:rPr>
          <w:lang w:val="en-GB"/>
        </w:rPr>
        <w:t>Slingerland</w:t>
      </w:r>
      <w:r>
        <w:rPr>
          <w:lang w:val="en-GB"/>
        </w:rPr>
        <w:t xml:space="preserve"> 2023, p. 403 – 405.</w:t>
      </w:r>
    </w:p>
  </w:footnote>
  <w:footnote w:id="64">
    <w:p w14:paraId="510784B2" w14:textId="77777777" w:rsidR="00DA1440" w:rsidRPr="00F608F6" w:rsidRDefault="00DA1440" w:rsidP="00DA1440">
      <w:pPr>
        <w:pStyle w:val="Voetnoottekst"/>
        <w:jc w:val="both"/>
        <w:rPr>
          <w:lang w:val="en-GB"/>
        </w:rPr>
      </w:pPr>
      <w:r>
        <w:rPr>
          <w:rStyle w:val="Voetnootmarkering"/>
        </w:rPr>
        <w:footnoteRef/>
      </w:r>
      <w:r w:rsidRPr="00F608F6">
        <w:rPr>
          <w:lang w:val="en-GB"/>
        </w:rPr>
        <w:t xml:space="preserve"> Llamzon 2019, p. 202 e.v.</w:t>
      </w:r>
    </w:p>
  </w:footnote>
  <w:footnote w:id="65">
    <w:p w14:paraId="287A927B" w14:textId="77777777" w:rsidR="00DA1440" w:rsidRPr="001044A1" w:rsidRDefault="00DA1440" w:rsidP="00DA1440">
      <w:pPr>
        <w:pStyle w:val="Voetnoottekst"/>
        <w:jc w:val="both"/>
        <w:rPr>
          <w:lang w:val="en-GB"/>
        </w:rPr>
      </w:pPr>
      <w:r>
        <w:rPr>
          <w:rStyle w:val="Voetnootmarkering"/>
        </w:rPr>
        <w:footnoteRef/>
      </w:r>
      <w:r w:rsidRPr="001044A1">
        <w:rPr>
          <w:lang w:val="en-GB"/>
        </w:rPr>
        <w:t xml:space="preserve"> Llamzon 2019, p. 202 e.v.</w:t>
      </w:r>
    </w:p>
  </w:footnote>
  <w:footnote w:id="66">
    <w:p w14:paraId="01524F28" w14:textId="77777777" w:rsidR="00DA1440" w:rsidRPr="00F608F6" w:rsidRDefault="00DA1440" w:rsidP="00DA1440">
      <w:pPr>
        <w:pStyle w:val="Voetnoottekst"/>
        <w:jc w:val="both"/>
        <w:rPr>
          <w:lang w:val="en-GB"/>
        </w:rPr>
      </w:pPr>
      <w:r>
        <w:rPr>
          <w:rStyle w:val="Voetnootmarkering"/>
        </w:rPr>
        <w:footnoteRef/>
      </w:r>
      <w:r w:rsidRPr="00F608F6">
        <w:rPr>
          <w:lang w:val="en-GB"/>
        </w:rPr>
        <w:t xml:space="preserve"> Llamzon 2019, p. 202 e.v.</w:t>
      </w:r>
    </w:p>
  </w:footnote>
  <w:footnote w:id="67">
    <w:p w14:paraId="4DB3562C" w14:textId="77777777" w:rsidR="00DA1440" w:rsidRPr="00F608F6" w:rsidRDefault="00DA1440" w:rsidP="00DA1440">
      <w:pPr>
        <w:pStyle w:val="Voetnoottekst"/>
        <w:jc w:val="both"/>
        <w:rPr>
          <w:lang w:val="en-GB"/>
        </w:rPr>
      </w:pPr>
      <w:r>
        <w:rPr>
          <w:rStyle w:val="Voetnootmarkering"/>
        </w:rPr>
        <w:footnoteRef/>
      </w:r>
      <w:r w:rsidRPr="00F608F6">
        <w:rPr>
          <w:lang w:val="en-GB"/>
        </w:rPr>
        <w:t xml:space="preserve"> Llamzon 2019, p. 202 e.v.</w:t>
      </w:r>
    </w:p>
  </w:footnote>
  <w:footnote w:id="68">
    <w:p w14:paraId="73FDA901" w14:textId="77777777" w:rsidR="00DA1440" w:rsidRDefault="00DA1440" w:rsidP="00DA1440">
      <w:pPr>
        <w:pStyle w:val="Voetnoottekst"/>
        <w:jc w:val="both"/>
      </w:pPr>
      <w:r>
        <w:rPr>
          <w:rStyle w:val="Voetnootmarkering"/>
        </w:rPr>
        <w:footnoteRef/>
      </w:r>
      <w:r>
        <w:t xml:space="preserve"> In werkelijkheid is hij dus ook geen ‘tussenpersoon’, maar veinst hij dat.</w:t>
      </w:r>
    </w:p>
  </w:footnote>
  <w:footnote w:id="69">
    <w:p w14:paraId="65497A8E" w14:textId="77777777" w:rsidR="00DA1440" w:rsidRDefault="00DA1440" w:rsidP="00DA1440">
      <w:pPr>
        <w:pStyle w:val="Voetnoottekst"/>
        <w:jc w:val="both"/>
      </w:pPr>
      <w:r>
        <w:rPr>
          <w:rStyle w:val="Voetnootmarkering"/>
        </w:rPr>
        <w:footnoteRef/>
      </w:r>
      <w:r>
        <w:t xml:space="preserve"> </w:t>
      </w:r>
      <w:r w:rsidRPr="00994834">
        <w:t xml:space="preserve">Roording </w:t>
      </w:r>
      <w:r>
        <w:t xml:space="preserve">2002, </w:t>
      </w:r>
      <w:r w:rsidRPr="00994834">
        <w:t>p.</w:t>
      </w:r>
      <w:r>
        <w:t xml:space="preserve"> </w:t>
      </w:r>
      <w:r w:rsidRPr="00994834">
        <w:t>123</w:t>
      </w:r>
      <w:r>
        <w:t xml:space="preserve">; </w:t>
      </w:r>
      <w:r w:rsidRPr="00994834">
        <w:t>Doornbos 1998, p.354</w:t>
      </w:r>
      <w:r>
        <w:t>; Rb. Rotterdam 23 januari 2014, ECLI:NL:RBROT:2014:354.</w:t>
      </w:r>
    </w:p>
  </w:footnote>
  <w:footnote w:id="70">
    <w:p w14:paraId="4EEF88B4" w14:textId="77777777" w:rsidR="00DA1440" w:rsidRPr="00F608F6" w:rsidRDefault="00DA1440" w:rsidP="00DA1440">
      <w:pPr>
        <w:pStyle w:val="Voetnoottekst"/>
        <w:jc w:val="both"/>
        <w:rPr>
          <w:lang w:val="en-GB"/>
        </w:rPr>
      </w:pPr>
      <w:r>
        <w:rPr>
          <w:rStyle w:val="Voetnootmarkering"/>
        </w:rPr>
        <w:footnoteRef/>
      </w:r>
      <w:r w:rsidRPr="00F608F6">
        <w:rPr>
          <w:lang w:val="en-GB"/>
        </w:rPr>
        <w:t xml:space="preserve"> Llamzon 2019, p. 202 e.v.</w:t>
      </w:r>
    </w:p>
  </w:footnote>
  <w:footnote w:id="71">
    <w:p w14:paraId="565C498A" w14:textId="77777777" w:rsidR="00DA1440" w:rsidRPr="001044A1" w:rsidRDefault="00DA1440" w:rsidP="00DA1440">
      <w:pPr>
        <w:pStyle w:val="Voetnoottekst"/>
        <w:jc w:val="both"/>
        <w:rPr>
          <w:lang w:val="en-GB"/>
        </w:rPr>
      </w:pPr>
      <w:r>
        <w:rPr>
          <w:rStyle w:val="Voetnootmarkering"/>
        </w:rPr>
        <w:footnoteRef/>
      </w:r>
      <w:r w:rsidRPr="001044A1">
        <w:rPr>
          <w:lang w:val="en-GB"/>
        </w:rPr>
        <w:t xml:space="preserve"> </w:t>
      </w:r>
      <w:r w:rsidRPr="001044A1">
        <w:rPr>
          <w:i/>
          <w:iCs/>
          <w:lang w:val="en-GB"/>
        </w:rPr>
        <w:t>Explanatory Report on the Convention on the fight against corruption involving officials of the European Communities or officials of Member States of the European Union</w:t>
      </w:r>
      <w:r>
        <w:rPr>
          <w:i/>
          <w:iCs/>
          <w:lang w:val="en-GB"/>
        </w:rPr>
        <w:t xml:space="preserve"> </w:t>
      </w:r>
      <w:r>
        <w:rPr>
          <w:lang w:val="en-GB"/>
        </w:rPr>
        <w:t>1998</w:t>
      </w:r>
      <w:r w:rsidRPr="001044A1">
        <w:rPr>
          <w:lang w:val="en-GB"/>
        </w:rPr>
        <w:t xml:space="preserve">; Slingerland 2023, p. 403 – 405; Bottse 2025, </w:t>
      </w:r>
      <w:r w:rsidRPr="00F608F6">
        <w:rPr>
          <w:lang w:val="en-GB"/>
        </w:rPr>
        <w:t>p. 117.</w:t>
      </w:r>
    </w:p>
  </w:footnote>
  <w:footnote w:id="72">
    <w:p w14:paraId="2D7E1F68" w14:textId="77777777" w:rsidR="00DA1440" w:rsidRDefault="00DA1440" w:rsidP="00DA1440">
      <w:pPr>
        <w:pStyle w:val="Voetnoottekst"/>
        <w:jc w:val="both"/>
      </w:pPr>
      <w:r>
        <w:rPr>
          <w:rStyle w:val="Voetnootmarkering"/>
        </w:rPr>
        <w:footnoteRef/>
      </w:r>
      <w:r>
        <w:t xml:space="preserve"> </w:t>
      </w:r>
      <w:r w:rsidRPr="00C43136">
        <w:rPr>
          <w:i/>
          <w:iCs/>
        </w:rPr>
        <w:t>Kamerstukken II</w:t>
      </w:r>
      <w:r w:rsidRPr="00C43136">
        <w:t xml:space="preserve"> 2000/01, 27 509</w:t>
      </w:r>
      <w:r>
        <w:t xml:space="preserve"> (R 1671)</w:t>
      </w:r>
      <w:r w:rsidRPr="00C43136">
        <w:t>, nr. 3, p. 18</w:t>
      </w:r>
      <w:r>
        <w:t xml:space="preserve">; </w:t>
      </w:r>
      <w:r w:rsidRPr="00994834">
        <w:t xml:space="preserve">Roording </w:t>
      </w:r>
      <w:r>
        <w:t>2002, p. 112 e.v.;</w:t>
      </w:r>
      <w:r w:rsidRPr="00994834">
        <w:t xml:space="preserve"> Doornbos</w:t>
      </w:r>
      <w:r>
        <w:t xml:space="preserve"> 1998, p. 354; Rb. Rotterdam 23 januari 2014, ECLI:NL:RBROT:2014:354.</w:t>
      </w:r>
    </w:p>
  </w:footnote>
  <w:footnote w:id="73">
    <w:p w14:paraId="5A879E50" w14:textId="77777777" w:rsidR="00DA1440" w:rsidRPr="0083629E" w:rsidRDefault="00DA1440" w:rsidP="00DA1440">
      <w:pPr>
        <w:pStyle w:val="Voetnoottekst"/>
        <w:jc w:val="both"/>
      </w:pPr>
      <w:r>
        <w:rPr>
          <w:rStyle w:val="Voetnootmarkering"/>
        </w:rPr>
        <w:footnoteRef/>
      </w:r>
      <w:r>
        <w:t xml:space="preserve"> </w:t>
      </w:r>
      <w:r>
        <w:rPr>
          <w:i/>
          <w:iCs/>
        </w:rPr>
        <w:t xml:space="preserve">Kamerstukken II </w:t>
      </w:r>
      <w:r>
        <w:t>2008/09, 31 700 VI, nr. 101, p. 3; Bottse 2025, p. 114 e.v.</w:t>
      </w:r>
    </w:p>
  </w:footnote>
  <w:footnote w:id="74">
    <w:p w14:paraId="1FD1527C" w14:textId="77777777" w:rsidR="00DA1440" w:rsidRDefault="00DA1440" w:rsidP="00DA1440">
      <w:pPr>
        <w:pStyle w:val="Voetnoottekst"/>
        <w:jc w:val="both"/>
      </w:pPr>
      <w:r>
        <w:rPr>
          <w:rStyle w:val="Voetnootmarkering"/>
        </w:rPr>
        <w:footnoteRef/>
      </w:r>
      <w:r>
        <w:t xml:space="preserve"> Indien de ontvanger van het voordeel bij handel in invloed wel een ambtenaar is, dan zou hij een ambtenaar kunnen zijn zonder dat hij een voor de omkoper gunstige beslissing kan nemen (vanwege een gebrek of macht aan positie), maar tegelijkertijd wel invloed kan hebben op een ambtenaar die dat wél kan. Dat hoeft echter niet zo te zijn; hij kan ook veinzen dat hij invloed heeft op deze ambtenaar. Indien de ambtenaar die het voordeel ontvangt wél een voor de omkoper welgevallig besluit kan nemen, is sprake van omkoping zonder een tussenpersoon.</w:t>
      </w:r>
    </w:p>
  </w:footnote>
  <w:footnote w:id="75">
    <w:p w14:paraId="3C561658" w14:textId="77777777" w:rsidR="00DA1440" w:rsidRDefault="00DA1440" w:rsidP="00DA1440">
      <w:pPr>
        <w:pStyle w:val="Voetnoottekst"/>
        <w:jc w:val="both"/>
      </w:pPr>
      <w:r>
        <w:rPr>
          <w:rStyle w:val="Voetnootmarkering"/>
        </w:rPr>
        <w:footnoteRef/>
      </w:r>
      <w:r>
        <w:t xml:space="preserve"> Indien de tussenpersoon </w:t>
      </w:r>
      <w:r>
        <w:rPr>
          <w:i/>
          <w:iCs/>
        </w:rPr>
        <w:t xml:space="preserve">geen </w:t>
      </w:r>
      <w:r>
        <w:t>ambtenaar is, kan hij niet voor passieve ambtelijke omkoping worden veroordeeld – en de omkoper niet voor actieve omkoping. Zie Smid 2012, p. 128 e.v.</w:t>
      </w:r>
    </w:p>
  </w:footnote>
  <w:footnote w:id="76">
    <w:p w14:paraId="4DA409C1" w14:textId="77777777" w:rsidR="00DA1440" w:rsidRDefault="00DA1440" w:rsidP="00DA1440">
      <w:pPr>
        <w:pStyle w:val="Voetnoottekst"/>
        <w:jc w:val="both"/>
      </w:pPr>
      <w:r>
        <w:rPr>
          <w:rStyle w:val="Voetnootmarkering"/>
        </w:rPr>
        <w:footnoteRef/>
      </w:r>
      <w:r>
        <w:t xml:space="preserve"> De Hullu &amp; Van Kempen 2024, p. 16.</w:t>
      </w:r>
    </w:p>
  </w:footnote>
  <w:footnote w:id="77">
    <w:p w14:paraId="29171E83" w14:textId="77777777" w:rsidR="00DA1440" w:rsidRDefault="00DA1440" w:rsidP="00DA1440">
      <w:pPr>
        <w:pStyle w:val="Voetnoottekst"/>
        <w:jc w:val="both"/>
      </w:pPr>
      <w:r>
        <w:rPr>
          <w:rStyle w:val="Voetnootmarkering"/>
        </w:rPr>
        <w:footnoteRef/>
      </w:r>
      <w:r>
        <w:t xml:space="preserve"> Buisman 2020, p. 64; Meijer e.a. 2019, p. 16.</w:t>
      </w:r>
    </w:p>
  </w:footnote>
  <w:footnote w:id="78">
    <w:p w14:paraId="76FA428E" w14:textId="77777777" w:rsidR="00DA1440" w:rsidRDefault="00DA1440" w:rsidP="00DA1440">
      <w:pPr>
        <w:pStyle w:val="Voetnoottekst"/>
        <w:jc w:val="both"/>
      </w:pPr>
      <w:r>
        <w:rPr>
          <w:rStyle w:val="Voetnootmarkering"/>
        </w:rPr>
        <w:footnoteRef/>
      </w:r>
      <w:r>
        <w:t xml:space="preserve"> De Hullu &amp; Van Kempen 2024, p. 17 e.v.</w:t>
      </w:r>
    </w:p>
  </w:footnote>
  <w:footnote w:id="79">
    <w:p w14:paraId="79D83FE9" w14:textId="77777777" w:rsidR="00DA1440" w:rsidRDefault="00DA1440" w:rsidP="00DA1440">
      <w:pPr>
        <w:pStyle w:val="Voetnoottekst"/>
        <w:jc w:val="both"/>
      </w:pPr>
      <w:r>
        <w:rPr>
          <w:rStyle w:val="Voetnootmarkering"/>
        </w:rPr>
        <w:footnoteRef/>
      </w:r>
      <w:r>
        <w:t xml:space="preserve"> Meijer e.a. 2019, p. 17.</w:t>
      </w:r>
    </w:p>
  </w:footnote>
  <w:footnote w:id="80">
    <w:p w14:paraId="7818D76F" w14:textId="77777777" w:rsidR="00DA1440" w:rsidRDefault="00DA1440" w:rsidP="00DA1440">
      <w:pPr>
        <w:pStyle w:val="Voetnoottekst"/>
        <w:jc w:val="both"/>
      </w:pPr>
      <w:r>
        <w:rPr>
          <w:rStyle w:val="Voetnootmarkering"/>
        </w:rPr>
        <w:footnoteRef/>
      </w:r>
      <w:r>
        <w:t xml:space="preserve"> </w:t>
      </w:r>
      <w:r w:rsidRPr="0029573F">
        <w:t>Voor een meer gedetailleerde beschrijving verwijs ik naar de literatuur die is aangehaald in de voetnoten.</w:t>
      </w:r>
    </w:p>
  </w:footnote>
  <w:footnote w:id="81">
    <w:p w14:paraId="6C0DBF06" w14:textId="77777777" w:rsidR="00DA1440" w:rsidRDefault="00DA1440" w:rsidP="00DA1440">
      <w:pPr>
        <w:pStyle w:val="Voetnoottekst"/>
        <w:jc w:val="both"/>
      </w:pPr>
      <w:r>
        <w:rPr>
          <w:rStyle w:val="Voetnootmarkering"/>
        </w:rPr>
        <w:footnoteRef/>
      </w:r>
      <w:r>
        <w:t xml:space="preserve"> Het meest expliciet </w:t>
      </w:r>
      <w:r w:rsidRPr="00173DB3">
        <w:t xml:space="preserve">Buisman 2020, </w:t>
      </w:r>
      <w:r w:rsidRPr="006512DA">
        <w:t xml:space="preserve">p. </w:t>
      </w:r>
      <w:r>
        <w:t xml:space="preserve">65, maar zie bijvoorbeeld ook </w:t>
      </w:r>
      <w:r w:rsidRPr="00BA3120">
        <w:t>De Roos 1987, p. 42-44.</w:t>
      </w:r>
    </w:p>
  </w:footnote>
  <w:footnote w:id="82">
    <w:p w14:paraId="66663334" w14:textId="77777777" w:rsidR="00DA1440" w:rsidRDefault="00DA1440" w:rsidP="00DA1440">
      <w:pPr>
        <w:pStyle w:val="Voetnoottekst"/>
        <w:jc w:val="both"/>
      </w:pPr>
      <w:r>
        <w:rPr>
          <w:rStyle w:val="Voetnootmarkering"/>
        </w:rPr>
        <w:footnoteRef/>
      </w:r>
      <w:r>
        <w:t xml:space="preserve"> Smidt I, p. 16.</w:t>
      </w:r>
    </w:p>
  </w:footnote>
  <w:footnote w:id="83">
    <w:p w14:paraId="79C72CA0" w14:textId="77777777" w:rsidR="00DA1440" w:rsidRDefault="00DA1440" w:rsidP="00DA1440">
      <w:pPr>
        <w:pStyle w:val="Voetnoottekst"/>
        <w:jc w:val="both"/>
      </w:pPr>
      <w:r>
        <w:rPr>
          <w:rStyle w:val="Voetnootmarkering"/>
        </w:rPr>
        <w:footnoteRef/>
      </w:r>
      <w:r>
        <w:t xml:space="preserve"> De Roos 1987, p. 54; het beginsel laat zich vertalen als ‘bij twijfel, kies voor de vrijheid’.</w:t>
      </w:r>
    </w:p>
  </w:footnote>
  <w:footnote w:id="84">
    <w:p w14:paraId="6907F50D" w14:textId="77777777" w:rsidR="00DA1440" w:rsidRDefault="00DA1440" w:rsidP="00DA1440">
      <w:pPr>
        <w:pStyle w:val="Voetnoottekst"/>
        <w:jc w:val="both"/>
      </w:pPr>
      <w:r>
        <w:rPr>
          <w:rStyle w:val="Voetnootmarkering"/>
        </w:rPr>
        <w:footnoteRef/>
      </w:r>
      <w:r>
        <w:t xml:space="preserve"> Vgl. Hulsman 1972, p. 90, die vindt dat het criterium van schadelijkheid lastig te operationaliseren is, omdat elk gedrag in zekere mate schadelijk of gevaarlijk is. </w:t>
      </w:r>
    </w:p>
  </w:footnote>
  <w:footnote w:id="85">
    <w:p w14:paraId="7150E888" w14:textId="77777777" w:rsidR="00DA1440" w:rsidRPr="00E03560" w:rsidRDefault="00DA1440" w:rsidP="00DA1440">
      <w:pPr>
        <w:pStyle w:val="Voetnoottekst"/>
        <w:jc w:val="both"/>
      </w:pPr>
      <w:r>
        <w:rPr>
          <w:rStyle w:val="Voetnootmarkering"/>
        </w:rPr>
        <w:footnoteRef/>
      </w:r>
      <w:r w:rsidRPr="00E03560">
        <w:t xml:space="preserve"> Buisman 2020</w:t>
      </w:r>
      <w:r>
        <w:t>, p. 65.</w:t>
      </w:r>
    </w:p>
  </w:footnote>
  <w:footnote w:id="86">
    <w:p w14:paraId="47F5B06D" w14:textId="77777777" w:rsidR="00DA1440" w:rsidRDefault="00DA1440" w:rsidP="00DA1440">
      <w:pPr>
        <w:pStyle w:val="Voetnoottekst"/>
        <w:jc w:val="both"/>
      </w:pPr>
      <w:r>
        <w:rPr>
          <w:rStyle w:val="Voetnootmarkering"/>
        </w:rPr>
        <w:footnoteRef/>
      </w:r>
      <w:r>
        <w:t xml:space="preserve"> Meijer e.a. 2019, p. 19.</w:t>
      </w:r>
    </w:p>
  </w:footnote>
  <w:footnote w:id="87">
    <w:p w14:paraId="377E2BBA" w14:textId="77777777" w:rsidR="00DA1440" w:rsidRPr="00CD45D1" w:rsidRDefault="00DA1440" w:rsidP="00DA1440">
      <w:pPr>
        <w:pStyle w:val="Voetnoottekst"/>
        <w:jc w:val="both"/>
      </w:pPr>
      <w:r>
        <w:rPr>
          <w:rStyle w:val="Voetnootmarkering"/>
        </w:rPr>
        <w:footnoteRef/>
      </w:r>
      <w:r w:rsidRPr="00CD45D1">
        <w:t xml:space="preserve"> </w:t>
      </w:r>
      <w:r>
        <w:t>Buisman 2020, p. 64 e.v.; De Hullu &amp; Van Kempen 2024, p. 16 e.v.</w:t>
      </w:r>
    </w:p>
  </w:footnote>
  <w:footnote w:id="88">
    <w:p w14:paraId="7E604825" w14:textId="77777777" w:rsidR="00DA1440" w:rsidRDefault="00DA1440" w:rsidP="00DA1440">
      <w:pPr>
        <w:pStyle w:val="Voetnoottekst"/>
        <w:jc w:val="both"/>
      </w:pPr>
      <w:r>
        <w:rPr>
          <w:rStyle w:val="Voetnootmarkering"/>
        </w:rPr>
        <w:footnoteRef/>
      </w:r>
      <w:r>
        <w:t xml:space="preserve"> Smidt I, p. 16.</w:t>
      </w:r>
    </w:p>
  </w:footnote>
  <w:footnote w:id="89">
    <w:p w14:paraId="4EBCC1E1" w14:textId="77777777" w:rsidR="00DA1440" w:rsidRDefault="00DA1440" w:rsidP="00DA1440">
      <w:pPr>
        <w:pStyle w:val="Voetnoottekst"/>
        <w:jc w:val="both"/>
      </w:pPr>
      <w:r>
        <w:rPr>
          <w:rStyle w:val="Voetnootmarkering"/>
        </w:rPr>
        <w:footnoteRef/>
      </w:r>
      <w:r>
        <w:t xml:space="preserve"> Meijer e.a. 2019, p. 20.</w:t>
      </w:r>
    </w:p>
  </w:footnote>
  <w:footnote w:id="90">
    <w:p w14:paraId="3A66BA1E" w14:textId="77777777" w:rsidR="00DA1440" w:rsidRPr="00F608F6" w:rsidRDefault="00DA1440" w:rsidP="00DA1440">
      <w:pPr>
        <w:pStyle w:val="Voetnoottekst"/>
        <w:jc w:val="both"/>
      </w:pPr>
      <w:r>
        <w:rPr>
          <w:rStyle w:val="Voetnootmarkering"/>
        </w:rPr>
        <w:footnoteRef/>
      </w:r>
      <w:r w:rsidRPr="00F608F6">
        <w:t xml:space="preserve"> De Roos 1987, p. 54 e.v.</w:t>
      </w:r>
    </w:p>
  </w:footnote>
  <w:footnote w:id="91">
    <w:p w14:paraId="11FEE186" w14:textId="77777777" w:rsidR="00DA1440" w:rsidRDefault="00DA1440" w:rsidP="00DA1440">
      <w:pPr>
        <w:pStyle w:val="Voetnoottekst"/>
        <w:jc w:val="both"/>
      </w:pPr>
      <w:r>
        <w:rPr>
          <w:rStyle w:val="Voetnootmarkering"/>
        </w:rPr>
        <w:footnoteRef/>
      </w:r>
      <w:r>
        <w:t xml:space="preserve"> Hulsman 1972, p. 92; Meijer e.a. 2019, p. 20.</w:t>
      </w:r>
    </w:p>
  </w:footnote>
  <w:footnote w:id="92">
    <w:p w14:paraId="7A1E963C" w14:textId="77777777" w:rsidR="00DA1440" w:rsidRDefault="00DA1440" w:rsidP="00DA1440">
      <w:pPr>
        <w:pStyle w:val="Voetnoottekst"/>
        <w:jc w:val="both"/>
      </w:pPr>
      <w:r>
        <w:rPr>
          <w:rStyle w:val="Voetnootmarkering"/>
        </w:rPr>
        <w:footnoteRef/>
      </w:r>
      <w:r>
        <w:t xml:space="preserve"> Meijer e.a. 2019, p. 20 – 21.</w:t>
      </w:r>
    </w:p>
  </w:footnote>
  <w:footnote w:id="93">
    <w:p w14:paraId="027683B9" w14:textId="77777777" w:rsidR="00DA1440" w:rsidRDefault="00DA1440" w:rsidP="00DA1440">
      <w:pPr>
        <w:pStyle w:val="Voetnoottekst"/>
        <w:jc w:val="both"/>
      </w:pPr>
      <w:r>
        <w:rPr>
          <w:rStyle w:val="Voetnootmarkering"/>
        </w:rPr>
        <w:footnoteRef/>
      </w:r>
      <w:r>
        <w:t xml:space="preserve"> Hieronder kunnen ook bewijsrechtelijke problemen vallen. Zie De Roos 1987, p. 54 e.v.; Meijer e.a. 2019, p. 20.</w:t>
      </w:r>
    </w:p>
  </w:footnote>
  <w:footnote w:id="94">
    <w:p w14:paraId="17A7F081" w14:textId="77777777" w:rsidR="00DA1440" w:rsidRDefault="00DA1440" w:rsidP="00DA1440">
      <w:pPr>
        <w:pStyle w:val="Voetnoottekst"/>
        <w:jc w:val="both"/>
      </w:pPr>
      <w:r>
        <w:rPr>
          <w:rStyle w:val="Voetnootmarkering"/>
        </w:rPr>
        <w:footnoteRef/>
      </w:r>
      <w:r>
        <w:t xml:space="preserve"> Art. 5, eerste en derde lid, Verdrag betreffende de Europese Unie.</w:t>
      </w:r>
    </w:p>
  </w:footnote>
  <w:footnote w:id="95">
    <w:p w14:paraId="20C2435C" w14:textId="77777777" w:rsidR="00DA1440" w:rsidRDefault="00DA1440" w:rsidP="00DA1440">
      <w:pPr>
        <w:pStyle w:val="Voetnoottekst"/>
        <w:jc w:val="both"/>
      </w:pPr>
      <w:r>
        <w:rPr>
          <w:rStyle w:val="Voetnootmarkering"/>
        </w:rPr>
        <w:footnoteRef/>
      </w:r>
      <w:r>
        <w:t xml:space="preserve"> Nu er verder geen noemenswaardige overwegingen hebben bestaan op dit punt, wordt daar in deze scriptie verder geen aandacht aan besteed. Zie hoofdstuk 4 en de toelichting op het </w:t>
      </w:r>
      <w:r w:rsidRPr="001273C9">
        <w:t>Voorstel voor een anti-corruptierichtlijn</w:t>
      </w:r>
      <w:r>
        <w:t>, p. 6.</w:t>
      </w:r>
    </w:p>
  </w:footnote>
  <w:footnote w:id="96">
    <w:p w14:paraId="579ED745" w14:textId="77777777" w:rsidR="00DA1440" w:rsidRPr="000F0610" w:rsidRDefault="00DA1440" w:rsidP="00DA1440">
      <w:pPr>
        <w:pStyle w:val="Voetnoottekst"/>
        <w:jc w:val="both"/>
      </w:pPr>
      <w:r>
        <w:rPr>
          <w:rStyle w:val="Voetnootmarkering"/>
        </w:rPr>
        <w:footnoteRef/>
      </w:r>
      <w:r>
        <w:t xml:space="preserve"> Groenhuijsen &amp; Ouwerkerk 2013, p. 249 e.v. De Nederlandse wetgever nam, ten aanzien van corruptiebestrijding, een vergelijkbare houding aan: het moet gaan om </w:t>
      </w:r>
      <w:r>
        <w:rPr>
          <w:i/>
          <w:iCs/>
        </w:rPr>
        <w:t xml:space="preserve">evidence-informed </w:t>
      </w:r>
      <w:r>
        <w:t xml:space="preserve">beleid. Zie </w:t>
      </w:r>
      <w:r>
        <w:rPr>
          <w:i/>
          <w:iCs/>
        </w:rPr>
        <w:t xml:space="preserve">Kamerstukken II </w:t>
      </w:r>
      <w:r>
        <w:t>2022/23, 22 112, nr. 3717, p. 7.</w:t>
      </w:r>
    </w:p>
  </w:footnote>
  <w:footnote w:id="97">
    <w:p w14:paraId="0DE5EF03" w14:textId="77777777" w:rsidR="00DA1440" w:rsidRPr="001044A1" w:rsidRDefault="00DA1440" w:rsidP="00DA1440">
      <w:pPr>
        <w:pStyle w:val="Voetnoottekst"/>
        <w:jc w:val="both"/>
      </w:pPr>
      <w:r>
        <w:rPr>
          <w:rStyle w:val="Voetnootmarkering"/>
        </w:rPr>
        <w:footnoteRef/>
      </w:r>
      <w:r w:rsidRPr="001044A1">
        <w:t xml:space="preserve"> Zie o.a. Downes &amp; Van Swaaningen</w:t>
      </w:r>
      <w:r>
        <w:t xml:space="preserve"> 2007, p. 65 – 66; Ouwerkerk 2012; Haenen 2014, p. 119. Zie ook Feenstra &amp; Tollenaar 2017, p. 351.</w:t>
      </w:r>
    </w:p>
  </w:footnote>
  <w:footnote w:id="98">
    <w:p w14:paraId="490F0CE6" w14:textId="77777777" w:rsidR="00DA1440" w:rsidRPr="00AB6DDE" w:rsidRDefault="00DA1440" w:rsidP="00DA1440">
      <w:pPr>
        <w:pStyle w:val="Voetnoottekst"/>
        <w:jc w:val="both"/>
      </w:pPr>
      <w:r>
        <w:rPr>
          <w:rStyle w:val="Voetnootmarkering"/>
        </w:rPr>
        <w:footnoteRef/>
      </w:r>
      <w:r>
        <w:t xml:space="preserve"> </w:t>
      </w:r>
      <w:r>
        <w:rPr>
          <w:i/>
          <w:iCs/>
        </w:rPr>
        <w:t xml:space="preserve">Kamerstukken II </w:t>
      </w:r>
      <w:r>
        <w:t>2000/01, 27 509 (R 1671), nr. 3, p. 17 en 18.</w:t>
      </w:r>
    </w:p>
  </w:footnote>
  <w:footnote w:id="99">
    <w:p w14:paraId="616E9FFB" w14:textId="77777777" w:rsidR="00DA1440" w:rsidRDefault="00DA1440" w:rsidP="00DA1440">
      <w:pPr>
        <w:pStyle w:val="Voetnoottekst"/>
        <w:jc w:val="both"/>
      </w:pPr>
      <w:r>
        <w:rPr>
          <w:rStyle w:val="Voetnootmarkering"/>
        </w:rPr>
        <w:footnoteRef/>
      </w:r>
      <w:r>
        <w:t xml:space="preserve"> </w:t>
      </w:r>
      <w:r>
        <w:rPr>
          <w:i/>
          <w:iCs/>
        </w:rPr>
        <w:t>Kamerstukken II</w:t>
      </w:r>
      <w:r>
        <w:t xml:space="preserve"> 2005/06, 30 808 (R 1815), nr. 1, p. 16 en 17.</w:t>
      </w:r>
    </w:p>
  </w:footnote>
  <w:footnote w:id="100">
    <w:p w14:paraId="6BFC4483" w14:textId="77777777" w:rsidR="00DA1440" w:rsidRPr="00EE2E84" w:rsidRDefault="00DA1440" w:rsidP="00DA1440">
      <w:pPr>
        <w:pStyle w:val="Voetnoottekst"/>
        <w:jc w:val="both"/>
      </w:pPr>
      <w:r>
        <w:rPr>
          <w:rStyle w:val="Voetnootmarkering"/>
        </w:rPr>
        <w:footnoteRef/>
      </w:r>
      <w:r>
        <w:t xml:space="preserve"> </w:t>
      </w:r>
      <w:r>
        <w:rPr>
          <w:i/>
          <w:iCs/>
        </w:rPr>
        <w:t>Kamerstukken II</w:t>
      </w:r>
      <w:r>
        <w:t xml:space="preserve"> 2005/06, 30 808 (R 1815), nr. 1, p. 16 en 17. Lobbyen, ook wel ‘belangenbehartiging genoemd’, draait om het invloed uitoefenen op (overheids)beleid, door – in opdracht van commerciële of maatschappelijke organisaties – contacten te leggen met bijvoorbeeld ministers en ambtenaren en op die manier specifieke belangen te behartigen; zie Timmermans 2018, p. 1. De term is afkomstig van de ‘romantische’ gedachte dat de belangenbehartigers rondhangen in de wandelgangen (lobby) en beleidmakers aanklampen om hun zaak te bepleiten; zie Bovend’Eert 2020, par. 2..</w:t>
      </w:r>
    </w:p>
  </w:footnote>
  <w:footnote w:id="101">
    <w:p w14:paraId="47DD37BF" w14:textId="77777777" w:rsidR="00DA1440" w:rsidRDefault="00DA1440" w:rsidP="00DA1440">
      <w:pPr>
        <w:pStyle w:val="Voetnoottekst"/>
        <w:jc w:val="both"/>
      </w:pPr>
      <w:r>
        <w:rPr>
          <w:rStyle w:val="Voetnootmarkering"/>
        </w:rPr>
        <w:footnoteRef/>
      </w:r>
      <w:r>
        <w:t xml:space="preserve"> Hulsman 1972, p. 90; dat dit (eerste) absolute criterium van Hulsman hier van toepassing is, volgt uit hetgeen Hulsman zelf ook al schreef: “Het gebruik van termen als ‘strafwaardig’ (…) kan een indicatie zijn dat men zich in een situatie bevindt waarin het kriterium van toepassing is.” In dit geval bevat de argumentatie van de wetgever veel van dit soort termen.</w:t>
      </w:r>
    </w:p>
  </w:footnote>
  <w:footnote w:id="102">
    <w:p w14:paraId="0CB0726E" w14:textId="77777777" w:rsidR="00DA1440" w:rsidRDefault="00DA1440" w:rsidP="00DA1440">
      <w:pPr>
        <w:pStyle w:val="Voetnoottekst"/>
        <w:jc w:val="both"/>
      </w:pPr>
      <w:r>
        <w:rPr>
          <w:rStyle w:val="Voetnootmarkering"/>
        </w:rPr>
        <w:footnoteRef/>
      </w:r>
      <w:r>
        <w:t xml:space="preserve"> Voor de geldigheid van dit argument, verwijs ik naar hoofdstuk 3.2. Ook Buruma &amp; De Bree 2025 gebruikten dit argument. Zie ook Bottse 2025, p. 117 e.v.</w:t>
      </w:r>
    </w:p>
  </w:footnote>
  <w:footnote w:id="103">
    <w:p w14:paraId="6822A9D8" w14:textId="77777777" w:rsidR="00DA1440" w:rsidRPr="00BB69F2" w:rsidRDefault="00DA1440" w:rsidP="00DA1440">
      <w:pPr>
        <w:pStyle w:val="Voetnoottekst"/>
        <w:jc w:val="both"/>
      </w:pPr>
      <w:r>
        <w:rPr>
          <w:rStyle w:val="Voetnootmarkering"/>
        </w:rPr>
        <w:footnoteRef/>
      </w:r>
      <w:r>
        <w:t xml:space="preserve"> </w:t>
      </w:r>
      <w:r w:rsidRPr="00B50C78">
        <w:rPr>
          <w:i/>
          <w:iCs/>
        </w:rPr>
        <w:t>Niet voor persoonlijk gebruik</w:t>
      </w:r>
      <w:r>
        <w:rPr>
          <w:i/>
          <w:iCs/>
        </w:rPr>
        <w:t>!</w:t>
      </w:r>
      <w:r w:rsidRPr="00B50C78">
        <w:rPr>
          <w:i/>
          <w:iCs/>
        </w:rPr>
        <w:t xml:space="preserve"> </w:t>
      </w:r>
      <w:r w:rsidRPr="00B50C78">
        <w:t>2010, p. 19.</w:t>
      </w:r>
    </w:p>
  </w:footnote>
  <w:footnote w:id="104">
    <w:p w14:paraId="14DAB30A" w14:textId="77777777" w:rsidR="00DA1440" w:rsidRPr="00506FD4" w:rsidRDefault="00DA1440" w:rsidP="00DA1440">
      <w:pPr>
        <w:pStyle w:val="Voetnoottekst"/>
        <w:jc w:val="both"/>
      </w:pPr>
      <w:r>
        <w:rPr>
          <w:rStyle w:val="Voetnootmarkering"/>
        </w:rPr>
        <w:footnoteRef/>
      </w:r>
      <w:r>
        <w:t xml:space="preserve"> </w:t>
      </w:r>
      <w:r>
        <w:rPr>
          <w:i/>
          <w:iCs/>
        </w:rPr>
        <w:t>Kamerstukken II</w:t>
      </w:r>
      <w:r>
        <w:t xml:space="preserve"> 2025/26, 29 911, nr. 488, p. 28.</w:t>
      </w:r>
    </w:p>
  </w:footnote>
  <w:footnote w:id="105">
    <w:p w14:paraId="25134BDE" w14:textId="77777777" w:rsidR="00DA1440" w:rsidRPr="002C03D7" w:rsidRDefault="00DA1440" w:rsidP="00DA1440">
      <w:pPr>
        <w:pStyle w:val="Voetnoottekst"/>
        <w:jc w:val="both"/>
      </w:pPr>
      <w:r>
        <w:rPr>
          <w:rStyle w:val="Voetnootmarkering"/>
        </w:rPr>
        <w:footnoteRef/>
      </w:r>
      <w:r>
        <w:t xml:space="preserve"> </w:t>
      </w:r>
      <w:r>
        <w:rPr>
          <w:i/>
          <w:iCs/>
        </w:rPr>
        <w:t>Kamerstukken II</w:t>
      </w:r>
      <w:r>
        <w:t>, 2008/09, 31 700 VI, nr. 101, p. 3.</w:t>
      </w:r>
    </w:p>
  </w:footnote>
  <w:footnote w:id="106">
    <w:p w14:paraId="70525731" w14:textId="77777777" w:rsidR="00DA1440" w:rsidRPr="00E60ACD" w:rsidRDefault="00DA1440" w:rsidP="00DA1440">
      <w:pPr>
        <w:pStyle w:val="Voetnoottekst"/>
        <w:jc w:val="both"/>
      </w:pPr>
      <w:r>
        <w:rPr>
          <w:rStyle w:val="Voetnootmarkering"/>
        </w:rPr>
        <w:footnoteRef/>
      </w:r>
      <w:r>
        <w:t xml:space="preserve"> </w:t>
      </w:r>
      <w:r w:rsidRPr="00B112A3">
        <w:t xml:space="preserve">Associatieovereenkomst tussen de Europese Unie en de Europese Gemeenschap voor Atoomenergie en hun lidstaten, enerzijds, en de Republiek Moldavië, anderzijds </w:t>
      </w:r>
      <w:r>
        <w:t>(</w:t>
      </w:r>
      <w:r w:rsidRPr="00B112A3">
        <w:rPr>
          <w:i/>
          <w:iCs/>
        </w:rPr>
        <w:t xml:space="preserve">Trb. </w:t>
      </w:r>
      <w:r w:rsidRPr="00B112A3">
        <w:t>2014, 207</w:t>
      </w:r>
      <w:r>
        <w:t>)</w:t>
      </w:r>
      <w:r w:rsidRPr="00B112A3">
        <w:t>.</w:t>
      </w:r>
    </w:p>
  </w:footnote>
  <w:footnote w:id="107">
    <w:p w14:paraId="21E7E0F3" w14:textId="77777777" w:rsidR="00DA1440" w:rsidRDefault="00DA1440" w:rsidP="00DA1440">
      <w:pPr>
        <w:pStyle w:val="Voetnoottekst"/>
        <w:jc w:val="both"/>
      </w:pPr>
      <w:r>
        <w:rPr>
          <w:rStyle w:val="Voetnootmarkering"/>
        </w:rPr>
        <w:footnoteRef/>
      </w:r>
      <w:r>
        <w:t xml:space="preserve"> Stenogram van het debat van 29 januari 2019 in de Eerste Kamer over Hoofdstuk XIIa (Reglement van Orde):</w:t>
      </w:r>
    </w:p>
    <w:p w14:paraId="57AD7E5A" w14:textId="77777777" w:rsidR="00DA1440" w:rsidRPr="002C72B6" w:rsidRDefault="00DA1440" w:rsidP="00DA1440">
      <w:pPr>
        <w:pStyle w:val="Voetnoottekst"/>
        <w:jc w:val="both"/>
      </w:pPr>
      <w:r>
        <w:t>Integriteit, EK 16-7, p. 1 en 36.</w:t>
      </w:r>
    </w:p>
  </w:footnote>
  <w:footnote w:id="108">
    <w:p w14:paraId="35D525C0" w14:textId="77777777" w:rsidR="00DA1440" w:rsidRPr="00292CBC" w:rsidRDefault="00DA1440" w:rsidP="00DA1440">
      <w:pPr>
        <w:pStyle w:val="Voetnoottekst"/>
        <w:jc w:val="both"/>
      </w:pPr>
      <w:r>
        <w:rPr>
          <w:rStyle w:val="Voetnootmarkering"/>
        </w:rPr>
        <w:footnoteRef/>
      </w:r>
      <w:r>
        <w:t xml:space="preserve"> </w:t>
      </w:r>
      <w:r>
        <w:rPr>
          <w:i/>
          <w:iCs/>
        </w:rPr>
        <w:t>Kamerstukken I</w:t>
      </w:r>
      <w:r>
        <w:t xml:space="preserve">, 2021/22, 35 295, AC, p. 10 en </w:t>
      </w:r>
      <w:r>
        <w:rPr>
          <w:i/>
          <w:iCs/>
        </w:rPr>
        <w:t>Kamerstukken II</w:t>
      </w:r>
      <w:r w:rsidRPr="00883F17">
        <w:t>, 2021</w:t>
      </w:r>
      <w:r>
        <w:t>/</w:t>
      </w:r>
      <w:r w:rsidRPr="00883F17">
        <w:t>22, 21 501-02, nr. 2534</w:t>
      </w:r>
      <w:r>
        <w:t>, p. 10.</w:t>
      </w:r>
    </w:p>
  </w:footnote>
  <w:footnote w:id="109">
    <w:p w14:paraId="4D161589" w14:textId="77777777" w:rsidR="00DA1440" w:rsidRPr="00F608F6" w:rsidRDefault="00DA1440" w:rsidP="00DA1440">
      <w:pPr>
        <w:pStyle w:val="Voetnoottekst"/>
        <w:jc w:val="both"/>
      </w:pPr>
      <w:r>
        <w:rPr>
          <w:rStyle w:val="Voetnootmarkering"/>
        </w:rPr>
        <w:footnoteRef/>
      </w:r>
      <w:r w:rsidRPr="00F608F6">
        <w:t xml:space="preserve"> </w:t>
      </w:r>
      <w:r w:rsidRPr="00F608F6">
        <w:rPr>
          <w:i/>
          <w:iCs/>
        </w:rPr>
        <w:t>Kamerstukken II</w:t>
      </w:r>
      <w:r w:rsidRPr="00F608F6">
        <w:t>, 2022/23, 22 112, nr. 3717, p. 9.</w:t>
      </w:r>
    </w:p>
  </w:footnote>
  <w:footnote w:id="110">
    <w:p w14:paraId="6344F9FD" w14:textId="77777777" w:rsidR="00DA1440" w:rsidRDefault="00DA1440" w:rsidP="00DA1440">
      <w:pPr>
        <w:pStyle w:val="Voetnoottekst"/>
        <w:jc w:val="both"/>
      </w:pPr>
      <w:r>
        <w:rPr>
          <w:rStyle w:val="Voetnootmarkering"/>
        </w:rPr>
        <w:footnoteRef/>
      </w:r>
      <w:r>
        <w:t xml:space="preserve"> In de literatuur is in het kader van de (interne) subsidiariteit voorts gewezen op de mogelijkheid om – zoals in het Verenigd Koninkrijk, Italië en Frankrijk – strafrechtelijke aansprakelijkheid in te voeren voor bedrijven bij het onvoldoende nemen van maatregelen ter voorkoming van corruptie. Daarmee wordt de groep van potentiële verdachten en veroordeelden kleiner en is de strafrechtelijke dwang minder groot. Zie Van Noorloos, Ouwerkerk &amp; Verrest 2023, par 2.2.3; zie (over interne subsidiariteit) </w:t>
      </w:r>
      <w:r w:rsidRPr="00BC73CE">
        <w:t>De Hullu</w:t>
      </w:r>
      <w:r>
        <w:t xml:space="preserve"> &amp; Van Kempen</w:t>
      </w:r>
      <w:r w:rsidRPr="00BC73CE">
        <w:t xml:space="preserve"> </w:t>
      </w:r>
      <w:r>
        <w:t>2024</w:t>
      </w:r>
      <w:r w:rsidRPr="00BC73CE">
        <w:t>, p. 1</w:t>
      </w:r>
      <w:r>
        <w:t>6 e.v</w:t>
      </w:r>
      <w:r w:rsidRPr="00BC73CE">
        <w:t>.</w:t>
      </w:r>
      <w:r>
        <w:t>;</w:t>
      </w:r>
      <w:r w:rsidRPr="00BC73CE">
        <w:t xml:space="preserve"> Haenen 2014, p. 127</w:t>
      </w:r>
      <w:r>
        <w:t>;</w:t>
      </w:r>
      <w:r w:rsidRPr="00E06525">
        <w:t xml:space="preserve"> Buisman 2020</w:t>
      </w:r>
      <w:r>
        <w:t>. Bottse sloot zich aan bij Van Noorloos, Ouwerkerk &amp; Verrest 2023 en vond zelfs dat sprake was van strijd met het ultimum remedium-beginsel, indien handel in invloed strafbaar zou worden gesteld. Volgens haar kan het effectiever zijn om eerst te werken aan (niet-strafrechtelijke) regulering van lobbyactiviteiten. Zie Bottse 2025.</w:t>
      </w:r>
    </w:p>
  </w:footnote>
  <w:footnote w:id="111">
    <w:p w14:paraId="68375B37" w14:textId="77777777" w:rsidR="00DA1440" w:rsidRPr="00E870EB" w:rsidRDefault="00DA1440" w:rsidP="00DA1440">
      <w:pPr>
        <w:pStyle w:val="Voetnoottekst"/>
        <w:jc w:val="both"/>
      </w:pPr>
      <w:r>
        <w:rPr>
          <w:rStyle w:val="Voetnootmarkering"/>
        </w:rPr>
        <w:footnoteRef/>
      </w:r>
      <w:r>
        <w:t xml:space="preserve"> </w:t>
      </w:r>
      <w:r>
        <w:rPr>
          <w:i/>
          <w:iCs/>
        </w:rPr>
        <w:t>Kamerstukken II</w:t>
      </w:r>
      <w:r>
        <w:t>, 2022/23, 22 112, nr. 3717, p. 7 en 9.</w:t>
      </w:r>
    </w:p>
  </w:footnote>
  <w:footnote w:id="112">
    <w:p w14:paraId="2EB333EF" w14:textId="77777777" w:rsidR="00DA1440" w:rsidRPr="00992151" w:rsidRDefault="00DA1440" w:rsidP="00DA1440">
      <w:pPr>
        <w:pStyle w:val="Voetnoottekst"/>
        <w:jc w:val="both"/>
      </w:pPr>
      <w:r>
        <w:rPr>
          <w:rStyle w:val="Voetnootmarkering"/>
        </w:rPr>
        <w:footnoteRef/>
      </w:r>
      <w:r>
        <w:t xml:space="preserve"> Trapman 2024, par. 13.3.1 en 13.9.2. Een bekend voorbeeld is de donatie van 1,2 miljoen euro van Hans van der Wind aan het CDA in 2021. Zie ‘Donatie van 1,2 miljoen aan CDA door ondernemer Van der Wind roept vragen op’, nos.nl, 15 juni 2021.</w:t>
      </w:r>
    </w:p>
  </w:footnote>
  <w:footnote w:id="113">
    <w:p w14:paraId="2BDC2155" w14:textId="77777777" w:rsidR="00DA1440" w:rsidRDefault="00DA1440" w:rsidP="00DA1440">
      <w:pPr>
        <w:pStyle w:val="Voetnoottekst"/>
        <w:jc w:val="both"/>
      </w:pPr>
      <w:r>
        <w:rPr>
          <w:rStyle w:val="Voetnootmarkering"/>
        </w:rPr>
        <w:footnoteRef/>
      </w:r>
      <w:r>
        <w:t xml:space="preserve"> </w:t>
      </w:r>
      <w:r w:rsidRPr="00135E06">
        <w:t>Vervolgonderzoek is nodig om vast te stellen of de politiek inderdaad negatiever is gaan kijken naar lobbyen en in hoeverre dat gevolgen heeft gehad voor de vraag of handel in invloed strafbaar moet worden gesteld.</w:t>
      </w:r>
    </w:p>
  </w:footnote>
  <w:footnote w:id="114">
    <w:p w14:paraId="36F774A0" w14:textId="77777777" w:rsidR="00DA1440" w:rsidRPr="004C4A7C" w:rsidRDefault="00DA1440" w:rsidP="00DA1440">
      <w:pPr>
        <w:pStyle w:val="Voetnoottekst"/>
        <w:jc w:val="both"/>
        <w:rPr>
          <w:i/>
          <w:iCs/>
        </w:rPr>
      </w:pPr>
      <w:r>
        <w:rPr>
          <w:rStyle w:val="Voetnootmarkering"/>
        </w:rPr>
        <w:footnoteRef/>
      </w:r>
      <w:r>
        <w:t xml:space="preserve"> Kuijpers 2025. Ook </w:t>
      </w:r>
      <w:r>
        <w:rPr>
          <w:i/>
          <w:iCs/>
        </w:rPr>
        <w:t>Trouw</w:t>
      </w:r>
      <w:r>
        <w:t xml:space="preserve">, </w:t>
      </w:r>
      <w:r>
        <w:rPr>
          <w:i/>
          <w:iCs/>
        </w:rPr>
        <w:t>Het Financieele Dagblad</w:t>
      </w:r>
      <w:r>
        <w:t xml:space="preserve">, </w:t>
      </w:r>
      <w:r>
        <w:rPr>
          <w:i/>
          <w:iCs/>
        </w:rPr>
        <w:t xml:space="preserve">De Groene Amsterdammer </w:t>
      </w:r>
      <w:r>
        <w:t xml:space="preserve">en onderzoeksplatform </w:t>
      </w:r>
      <w:r>
        <w:rPr>
          <w:i/>
          <w:iCs/>
        </w:rPr>
        <w:t xml:space="preserve">Investico </w:t>
      </w:r>
      <w:r>
        <w:t>publiceerden een artikel, waaruit zou blijken dat het OM en de Rijksrecherche vinden dat handel in invloed expliciet strafbaar moet worden gesteld. Zie Waterval &amp; Roessingh 2025; De Groot &amp; Leupen 2025; Van der Burgh &amp; Van der Pol 2025; Van der Burgh &amp; Van der Pol 2025.</w:t>
      </w:r>
    </w:p>
  </w:footnote>
  <w:footnote w:id="115">
    <w:p w14:paraId="4E41E12F" w14:textId="77777777" w:rsidR="00DA1440" w:rsidRPr="007B406B" w:rsidRDefault="00DA1440" w:rsidP="00DA1440">
      <w:pPr>
        <w:pStyle w:val="Voetnoottekst"/>
        <w:jc w:val="both"/>
      </w:pPr>
      <w:r>
        <w:rPr>
          <w:rStyle w:val="Voetnootmarkering"/>
        </w:rPr>
        <w:footnoteRef/>
      </w:r>
      <w:r>
        <w:t xml:space="preserve"> </w:t>
      </w:r>
      <w:r>
        <w:rPr>
          <w:i/>
          <w:iCs/>
        </w:rPr>
        <w:t xml:space="preserve">Aanhangsel Handelingen II </w:t>
      </w:r>
      <w:r>
        <w:t xml:space="preserve">2024/25, nr. 1472, p. 2. </w:t>
      </w:r>
    </w:p>
  </w:footnote>
  <w:footnote w:id="116">
    <w:p w14:paraId="5068B7B7" w14:textId="77777777" w:rsidR="00DA1440" w:rsidRPr="00A12CA4" w:rsidRDefault="00DA1440" w:rsidP="00DA1440">
      <w:pPr>
        <w:pStyle w:val="Voetnoottekst"/>
        <w:jc w:val="both"/>
      </w:pPr>
      <w:r>
        <w:rPr>
          <w:rStyle w:val="Voetnootmarkering"/>
        </w:rPr>
        <w:footnoteRef/>
      </w:r>
      <w:r>
        <w:t xml:space="preserve"> </w:t>
      </w:r>
      <w:r>
        <w:rPr>
          <w:i/>
          <w:iCs/>
        </w:rPr>
        <w:t xml:space="preserve">Aanhangsel Handelingen II </w:t>
      </w:r>
      <w:r>
        <w:t>2024/25, nr. 1472, p. 2 e.v. Bottse sloot zich hier bij aan: Bottse 2025, p. 118.</w:t>
      </w:r>
    </w:p>
  </w:footnote>
  <w:footnote w:id="117">
    <w:p w14:paraId="5C5CDA0B" w14:textId="77777777" w:rsidR="00DA1440" w:rsidRDefault="00DA1440" w:rsidP="00DA1440">
      <w:pPr>
        <w:pStyle w:val="Voetnoottekst"/>
        <w:jc w:val="both"/>
      </w:pPr>
      <w:r>
        <w:rPr>
          <w:rStyle w:val="Voetnootmarkering"/>
        </w:rPr>
        <w:footnoteRef/>
      </w:r>
      <w:r>
        <w:t xml:space="preserve"> Hulsman 1972, p. 91. Hulsman plaatste dat standpunt in het licht van de capaciteit van het apparaat, maar dit is mijns inziens ook van toepassing bij bewijsrechtelijke problemen.</w:t>
      </w:r>
    </w:p>
  </w:footnote>
  <w:footnote w:id="118">
    <w:p w14:paraId="7125CDC8" w14:textId="77777777" w:rsidR="00DA1440" w:rsidRDefault="00DA1440" w:rsidP="00DA1440">
      <w:pPr>
        <w:pStyle w:val="Voetnoottekst"/>
        <w:jc w:val="both"/>
      </w:pPr>
      <w:r>
        <w:rPr>
          <w:rStyle w:val="Voetnootmarkering"/>
        </w:rPr>
        <w:footnoteRef/>
      </w:r>
      <w:r>
        <w:t xml:space="preserve"> Dit hoeft op zichzelf overigens nog geen reden zijn om niet over te gaan tot strafbaarstelling, nu ook symbolische wetgeving legitiem kan zijn. Zie Cleiren 2012, p. 5; zie ook De Doelder &amp; Smid 2006, die van mening zijn dat expliciete strafbaarstelling nuttig kan zijn, “met het oog op de wenselijke vergroting van de kenbaarheid van corruptie als strafbaar feit”.</w:t>
      </w:r>
    </w:p>
  </w:footnote>
  <w:footnote w:id="119">
    <w:p w14:paraId="5254602D" w14:textId="77777777" w:rsidR="00DA1440" w:rsidRDefault="00DA1440" w:rsidP="00DA1440">
      <w:pPr>
        <w:pStyle w:val="Voetnoottekst"/>
        <w:jc w:val="both"/>
      </w:pPr>
      <w:r>
        <w:rPr>
          <w:rStyle w:val="Voetnootmarkering"/>
        </w:rPr>
        <w:footnoteRef/>
      </w:r>
      <w:r>
        <w:t xml:space="preserve"> Zie hoofdstuk 4 voor een bespreking van het voorstel voor deze richtlijn.</w:t>
      </w:r>
    </w:p>
  </w:footnote>
  <w:footnote w:id="120">
    <w:p w14:paraId="09FA7531" w14:textId="77777777" w:rsidR="00DA1440" w:rsidRPr="001804BB" w:rsidRDefault="00DA1440" w:rsidP="00DA1440">
      <w:pPr>
        <w:pStyle w:val="Geenafstand"/>
      </w:pPr>
      <w:r>
        <w:rPr>
          <w:rStyle w:val="Voetnootmarkering"/>
        </w:rPr>
        <w:footnoteRef/>
      </w:r>
      <w:r>
        <w:t xml:space="preserve"> </w:t>
      </w:r>
      <w:r w:rsidRPr="00921BDD">
        <w:rPr>
          <w:i/>
          <w:iCs/>
          <w:sz w:val="20"/>
          <w:szCs w:val="20"/>
        </w:rPr>
        <w:t xml:space="preserve">Aanhangsel Handelingen </w:t>
      </w:r>
      <w:r w:rsidRPr="00F608F6">
        <w:rPr>
          <w:i/>
          <w:iCs/>
          <w:sz w:val="20"/>
          <w:szCs w:val="20"/>
        </w:rPr>
        <w:t xml:space="preserve">II </w:t>
      </w:r>
      <w:r w:rsidRPr="00921BDD">
        <w:rPr>
          <w:sz w:val="20"/>
          <w:szCs w:val="20"/>
        </w:rPr>
        <w:t xml:space="preserve">2024/25, </w:t>
      </w:r>
      <w:r>
        <w:rPr>
          <w:sz w:val="20"/>
          <w:szCs w:val="20"/>
        </w:rPr>
        <w:t xml:space="preserve">nr. </w:t>
      </w:r>
      <w:r w:rsidRPr="00921BDD">
        <w:rPr>
          <w:sz w:val="20"/>
          <w:szCs w:val="20"/>
        </w:rPr>
        <w:t>1472</w:t>
      </w:r>
      <w:r>
        <w:rPr>
          <w:sz w:val="20"/>
          <w:szCs w:val="20"/>
        </w:rPr>
        <w:t>, p. 2. e.v.</w:t>
      </w:r>
      <w:r w:rsidRPr="00921BDD">
        <w:rPr>
          <w:sz w:val="20"/>
          <w:szCs w:val="20"/>
        </w:rPr>
        <w:t xml:space="preserve"> </w:t>
      </w:r>
      <w:r>
        <w:rPr>
          <w:sz w:val="20"/>
          <w:szCs w:val="20"/>
        </w:rPr>
        <w:t>D</w:t>
      </w:r>
      <w:r w:rsidRPr="00921BDD">
        <w:rPr>
          <w:sz w:val="20"/>
          <w:szCs w:val="20"/>
        </w:rPr>
        <w:t xml:space="preserve">e minister verwees naar </w:t>
      </w:r>
      <w:r w:rsidRPr="00921BDD">
        <w:rPr>
          <w:i/>
          <w:iCs/>
          <w:sz w:val="20"/>
          <w:szCs w:val="20"/>
        </w:rPr>
        <w:t>Kamerstukken II</w:t>
      </w:r>
      <w:r w:rsidRPr="00921BDD">
        <w:rPr>
          <w:sz w:val="20"/>
          <w:szCs w:val="20"/>
        </w:rPr>
        <w:t>, 2022/23, 22 112, nr. 3717, p. 9. Ook in de literatuur en de media is gewezen op het risico van een te uitgebreide strafbaarstelling. Volgens Buruma en De Bree zou dat ertoe kunnen leiden dat ook niet-strafwaardig</w:t>
      </w:r>
      <w:r>
        <w:rPr>
          <w:sz w:val="20"/>
          <w:szCs w:val="20"/>
        </w:rPr>
        <w:t>, schadeloos en rechtmatig</w:t>
      </w:r>
      <w:r w:rsidRPr="00921BDD">
        <w:rPr>
          <w:sz w:val="20"/>
          <w:szCs w:val="20"/>
        </w:rPr>
        <w:t xml:space="preserve"> gedrag strafbaar wordt gesteld en lobbyisten en non-gouvernementele organisaties voortaan hun werk met veel voorzichtigheid moeten doen. Zie Buruma &amp; De Bree 2025</w:t>
      </w:r>
      <w:r>
        <w:rPr>
          <w:sz w:val="20"/>
          <w:szCs w:val="20"/>
        </w:rPr>
        <w:t>. O</w:t>
      </w:r>
      <w:r w:rsidRPr="00921BDD">
        <w:rPr>
          <w:sz w:val="20"/>
          <w:szCs w:val="20"/>
        </w:rPr>
        <w:t>ok</w:t>
      </w:r>
      <w:r>
        <w:rPr>
          <w:sz w:val="20"/>
          <w:szCs w:val="20"/>
        </w:rPr>
        <w:t xml:space="preserve"> Bottse wijst hierop:</w:t>
      </w:r>
      <w:r w:rsidRPr="00921BDD">
        <w:rPr>
          <w:sz w:val="20"/>
          <w:szCs w:val="20"/>
        </w:rPr>
        <w:t xml:space="preserve"> Bottse 2025, p. 117 e.v. </w:t>
      </w:r>
      <w:r>
        <w:rPr>
          <w:sz w:val="20"/>
          <w:szCs w:val="20"/>
        </w:rPr>
        <w:t>Met dit standpunt</w:t>
      </w:r>
      <w:r w:rsidRPr="00921BDD">
        <w:rPr>
          <w:sz w:val="20"/>
          <w:szCs w:val="20"/>
        </w:rPr>
        <w:t xml:space="preserve"> wordt geappelleerd aan het criterium voor strafbaarstelling dat ziet op schade en onrecht(matigheid).</w:t>
      </w:r>
    </w:p>
  </w:footnote>
  <w:footnote w:id="121">
    <w:p w14:paraId="686EA048" w14:textId="77777777" w:rsidR="00DA1440" w:rsidRDefault="00DA1440" w:rsidP="00DA1440">
      <w:pPr>
        <w:pStyle w:val="Voetnoottekst"/>
        <w:jc w:val="both"/>
      </w:pPr>
      <w:r>
        <w:rPr>
          <w:rStyle w:val="Voetnootmarkering"/>
        </w:rPr>
        <w:footnoteRef/>
      </w:r>
      <w:r>
        <w:t xml:space="preserve"> Hulsman 1972, p. 117. Ook in Bottse 2025, p. 117 e.v. is dit als argument gebruikt tegen strafbaarstelling van handel in invloed.</w:t>
      </w:r>
    </w:p>
  </w:footnote>
  <w:footnote w:id="122">
    <w:p w14:paraId="7707CEEF" w14:textId="77777777" w:rsidR="00DA1440" w:rsidRDefault="00DA1440" w:rsidP="00DA1440">
      <w:pPr>
        <w:pStyle w:val="Voetnoottekst"/>
        <w:jc w:val="both"/>
      </w:pPr>
      <w:r>
        <w:rPr>
          <w:rStyle w:val="Voetnootmarkering"/>
        </w:rPr>
        <w:footnoteRef/>
      </w:r>
      <w:r>
        <w:t xml:space="preserve"> Dit gaf hij aan in antwoorden op vragen van de Tweede Kamerleden Mutluer en Bikker. Mutluer vroeg zich af wat de minister doet met het signaal dat het OM onvoldoende wettelijke mogelijkheden zou hebben om corrupte ambtenaren en andere sleutelspeler effectief te vervolgen. Bikker vroeg of de minister bereid was het strafrecht op het punt van handel in invloed uit te breiden. Overigens was op het moment van deze vragen al bekend dat het OM geen signaal had gegeven dat de wettelijke mogelijkheden onvoldoende zijn. Zie </w:t>
      </w:r>
      <w:r w:rsidRPr="00F608F6">
        <w:rPr>
          <w:i/>
          <w:iCs/>
        </w:rPr>
        <w:t>Kamerstukken II</w:t>
      </w:r>
      <w:r w:rsidRPr="00646298">
        <w:t xml:space="preserve"> 2024/25, 29 911, nr. 466, p. 2</w:t>
      </w:r>
      <w:r>
        <w:t xml:space="preserve"> en p. 10 en </w:t>
      </w:r>
      <w:r>
        <w:rPr>
          <w:i/>
          <w:iCs/>
        </w:rPr>
        <w:t xml:space="preserve">Aanhangsel Handelingen II </w:t>
      </w:r>
      <w:r>
        <w:t>2024/25, nr. 1472, p. 2. e.v.</w:t>
      </w:r>
    </w:p>
  </w:footnote>
  <w:footnote w:id="123">
    <w:p w14:paraId="019A8C6E" w14:textId="77777777" w:rsidR="00DA1440" w:rsidRDefault="00DA1440" w:rsidP="00DA1440">
      <w:pPr>
        <w:pStyle w:val="Voetnoottekst"/>
        <w:jc w:val="both"/>
      </w:pPr>
      <w:r>
        <w:rPr>
          <w:rStyle w:val="Voetnootmarkering"/>
        </w:rPr>
        <w:footnoteRef/>
      </w:r>
      <w:r>
        <w:t xml:space="preserve"> </w:t>
      </w:r>
      <w:r>
        <w:rPr>
          <w:i/>
          <w:iCs/>
        </w:rPr>
        <w:t>Kamerstukken II</w:t>
      </w:r>
      <w:r>
        <w:t xml:space="preserve"> 2024/25, 29 911, nr. 466, p. 31.</w:t>
      </w:r>
    </w:p>
  </w:footnote>
  <w:footnote w:id="124">
    <w:p w14:paraId="210A1721" w14:textId="77777777" w:rsidR="00DA1440" w:rsidRPr="003262D3" w:rsidRDefault="00DA1440" w:rsidP="00DA1440">
      <w:pPr>
        <w:pStyle w:val="Voetnoottekst"/>
        <w:jc w:val="both"/>
      </w:pPr>
      <w:r>
        <w:rPr>
          <w:rStyle w:val="Voetnootmarkering"/>
        </w:rPr>
        <w:footnoteRef/>
      </w:r>
      <w:r>
        <w:t xml:space="preserve"> </w:t>
      </w:r>
      <w:r>
        <w:rPr>
          <w:i/>
          <w:iCs/>
        </w:rPr>
        <w:t>Kamerstukken II</w:t>
      </w:r>
      <w:r>
        <w:t xml:space="preserve"> 2024/25, 28 844, nr. 291.</w:t>
      </w:r>
    </w:p>
  </w:footnote>
  <w:footnote w:id="125">
    <w:p w14:paraId="1B260530" w14:textId="77777777" w:rsidR="00DA1440" w:rsidRDefault="00DA1440" w:rsidP="00DA1440">
      <w:pPr>
        <w:pStyle w:val="Voetnoottekst"/>
        <w:jc w:val="both"/>
      </w:pPr>
      <w:r>
        <w:rPr>
          <w:rStyle w:val="Voetnootmarkering"/>
        </w:rPr>
        <w:footnoteRef/>
      </w:r>
      <w:r>
        <w:t xml:space="preserve"> </w:t>
      </w:r>
      <w:r w:rsidRPr="008824E9">
        <w:t>Stenogram van</w:t>
      </w:r>
      <w:r>
        <w:t xml:space="preserve"> het debat van 12 juni 2025 in de Tweede Kamer over</w:t>
      </w:r>
      <w:r w:rsidRPr="008824E9">
        <w:t xml:space="preserve"> Integriteit openbaar bestuur, TK 95-5, p. 4.</w:t>
      </w:r>
    </w:p>
  </w:footnote>
  <w:footnote w:id="126">
    <w:p w14:paraId="1CA1CA42" w14:textId="77777777" w:rsidR="00DA1440" w:rsidRPr="00905A7C" w:rsidRDefault="00DA1440" w:rsidP="00DA1440">
      <w:pPr>
        <w:pStyle w:val="Voetnoottekst"/>
        <w:jc w:val="both"/>
      </w:pPr>
      <w:r>
        <w:rPr>
          <w:rStyle w:val="Voetnootmarkering"/>
        </w:rPr>
        <w:footnoteRef/>
      </w:r>
      <w:r>
        <w:t xml:space="preserve"> Rooijendijk 2025. </w:t>
      </w:r>
    </w:p>
  </w:footnote>
  <w:footnote w:id="127">
    <w:p w14:paraId="05D91092" w14:textId="77777777" w:rsidR="00DA1440" w:rsidRPr="00A4700E" w:rsidRDefault="00DA1440" w:rsidP="00DA1440">
      <w:pPr>
        <w:pStyle w:val="Voetnoottekst"/>
        <w:jc w:val="both"/>
      </w:pPr>
      <w:r>
        <w:rPr>
          <w:rStyle w:val="Voetnootmarkering"/>
        </w:rPr>
        <w:footnoteRef/>
      </w:r>
      <w:r>
        <w:t xml:space="preserve"> </w:t>
      </w:r>
      <w:r>
        <w:rPr>
          <w:i/>
          <w:iCs/>
        </w:rPr>
        <w:t>Kamerstukken II</w:t>
      </w:r>
      <w:r>
        <w:t xml:space="preserve"> 2024/25, 28 844, nr. 295; overigens zag de appreciatie van de minister op de motie met nr. 292, welke later is vervangen door die met nr. 295. Tussen beide motieteksten zitten twee verschillen: de zin “overwegende dat de Nederlandse wet te weinig mogelijkheden biedt om corruptie te bestrijden” is geschrapt. Voorts is toegevoegd dat wordt verzocht in de brede definitie van ongeoorloofde beïnvloeding in het voorstel van de Commissie “expliciet de </w:t>
      </w:r>
      <w:r w:rsidRPr="004F30E8">
        <w:t>«misbruik van functie»</w:t>
      </w:r>
      <w:r>
        <w:t xml:space="preserve"> mee te nemen”. </w:t>
      </w:r>
      <w:r w:rsidRPr="008824E9">
        <w:t xml:space="preserve">Zie stenogram van </w:t>
      </w:r>
      <w:r>
        <w:t xml:space="preserve">de </w:t>
      </w:r>
      <w:r w:rsidRPr="008824E9">
        <w:t>stemmingen</w:t>
      </w:r>
      <w:r>
        <w:t xml:space="preserve"> van 17 juni 2025 over</w:t>
      </w:r>
      <w:r w:rsidRPr="008824E9">
        <w:t xml:space="preserve"> moties Integriteit openbaar bestuur, TK 96-24, p. 1.</w:t>
      </w:r>
    </w:p>
  </w:footnote>
  <w:footnote w:id="128">
    <w:p w14:paraId="735D70EA" w14:textId="77777777" w:rsidR="00DA1440" w:rsidRPr="006B0045" w:rsidRDefault="00DA1440" w:rsidP="00DA1440">
      <w:pPr>
        <w:pStyle w:val="Voetnoottekst"/>
        <w:jc w:val="both"/>
      </w:pPr>
      <w:r w:rsidRPr="006B0045">
        <w:rPr>
          <w:rStyle w:val="Voetnootmarkering"/>
        </w:rPr>
        <w:footnoteRef/>
      </w:r>
      <w:r w:rsidRPr="006B0045">
        <w:t xml:space="preserve"> </w:t>
      </w:r>
      <w:r w:rsidRPr="00EA440B">
        <w:t>Stenogram van het debat van 12 juni 2025 in de Tweede Kamer over Integriteit openbaar bestuur, TK 95-5</w:t>
      </w:r>
      <w:r w:rsidRPr="006B0045">
        <w:t>, p. 4 en 5.</w:t>
      </w:r>
    </w:p>
  </w:footnote>
  <w:footnote w:id="129">
    <w:p w14:paraId="62C1A838" w14:textId="77777777" w:rsidR="00DA1440" w:rsidRPr="006B0045" w:rsidRDefault="00DA1440" w:rsidP="00DA1440">
      <w:pPr>
        <w:pStyle w:val="Voetnoottekst"/>
        <w:jc w:val="both"/>
      </w:pPr>
      <w:r w:rsidRPr="006B0045">
        <w:rPr>
          <w:rStyle w:val="Voetnootmarkering"/>
        </w:rPr>
        <w:footnoteRef/>
      </w:r>
      <w:r>
        <w:t xml:space="preserve"> </w:t>
      </w:r>
      <w:r w:rsidRPr="00844F1A">
        <w:t>Stenogram van het debat van 12 juni 2025 in de Tweede Kamer over Integriteit openbaar bestuur, TK 95-5</w:t>
      </w:r>
      <w:r>
        <w:t>, p. 1.</w:t>
      </w:r>
    </w:p>
  </w:footnote>
  <w:footnote w:id="130">
    <w:p w14:paraId="3A5F6175" w14:textId="77777777" w:rsidR="00DA1440" w:rsidRDefault="00DA1440" w:rsidP="00DA1440">
      <w:pPr>
        <w:pStyle w:val="Voetnoottekst"/>
        <w:jc w:val="both"/>
      </w:pPr>
      <w:r w:rsidRPr="007C2BB0">
        <w:rPr>
          <w:rStyle w:val="Voetnootmarkering"/>
        </w:rPr>
        <w:footnoteRef/>
      </w:r>
      <w:r w:rsidRPr="007C2BB0">
        <w:t xml:space="preserve"> </w:t>
      </w:r>
      <w:r w:rsidRPr="00F608F6">
        <w:rPr>
          <w:i/>
          <w:iCs/>
        </w:rPr>
        <w:t>Aanhangsel Handelingen II</w:t>
      </w:r>
      <w:r w:rsidRPr="007C2BB0">
        <w:t xml:space="preserve"> 2025/26, nr. 374</w:t>
      </w:r>
      <w:r>
        <w:t>, p. 4</w:t>
      </w:r>
      <w:r w:rsidRPr="007C2BB0">
        <w:t>.</w:t>
      </w:r>
    </w:p>
  </w:footnote>
  <w:footnote w:id="131">
    <w:p w14:paraId="782A9BAB" w14:textId="77777777" w:rsidR="00DA1440" w:rsidRPr="00DB39FC" w:rsidRDefault="00DA1440" w:rsidP="00DA1440">
      <w:pPr>
        <w:pStyle w:val="Voetnoottekst"/>
        <w:jc w:val="both"/>
      </w:pPr>
      <w:r>
        <w:rPr>
          <w:rStyle w:val="Voetnootmarkering"/>
        </w:rPr>
        <w:footnoteRef/>
      </w:r>
      <w:r>
        <w:t xml:space="preserve"> De inhoud van dit antwoord is in maart 2026 herhaald: </w:t>
      </w:r>
      <w:r>
        <w:rPr>
          <w:i/>
          <w:iCs/>
        </w:rPr>
        <w:t xml:space="preserve">Kamerstukken II </w:t>
      </w:r>
      <w:r>
        <w:t>2025/26, 32 317, nr. 999, p. 3.</w:t>
      </w:r>
    </w:p>
  </w:footnote>
  <w:footnote w:id="132">
    <w:p w14:paraId="15A2EAFB" w14:textId="77777777" w:rsidR="00DA1440" w:rsidRPr="0019673C" w:rsidRDefault="00DA1440" w:rsidP="00DA1440">
      <w:pPr>
        <w:pStyle w:val="Voetnoottekst"/>
        <w:jc w:val="both"/>
      </w:pPr>
      <w:r>
        <w:rPr>
          <w:rStyle w:val="Voetnootmarkering"/>
        </w:rPr>
        <w:footnoteRef/>
      </w:r>
      <w:r>
        <w:t xml:space="preserve"> </w:t>
      </w:r>
      <w:r>
        <w:rPr>
          <w:i/>
          <w:iCs/>
        </w:rPr>
        <w:t xml:space="preserve">Aanhangsel Handelingen II </w:t>
      </w:r>
      <w:r>
        <w:t xml:space="preserve">2025/26, nr. 374, p. 4 en 5. </w:t>
      </w:r>
    </w:p>
  </w:footnote>
  <w:footnote w:id="133">
    <w:p w14:paraId="261D5C67" w14:textId="77777777" w:rsidR="00DA1440" w:rsidRPr="001804BB" w:rsidRDefault="00DA1440" w:rsidP="00DA1440">
      <w:pPr>
        <w:pStyle w:val="Voetnoottekst"/>
        <w:jc w:val="both"/>
      </w:pPr>
      <w:r>
        <w:rPr>
          <w:rStyle w:val="Voetnootmarkering"/>
        </w:rPr>
        <w:footnoteRef/>
      </w:r>
      <w:r>
        <w:t xml:space="preserve"> </w:t>
      </w:r>
      <w:r>
        <w:rPr>
          <w:i/>
          <w:iCs/>
        </w:rPr>
        <w:t>Kamerstukken II</w:t>
      </w:r>
      <w:r>
        <w:t xml:space="preserve"> 2022/23, 22 112, nr. 3717, p. 9.</w:t>
      </w:r>
    </w:p>
  </w:footnote>
  <w:footnote w:id="134">
    <w:p w14:paraId="4F6E9E41" w14:textId="77777777" w:rsidR="00DA1440" w:rsidRDefault="00DA1440" w:rsidP="00DA1440">
      <w:pPr>
        <w:pStyle w:val="Voetnoottekst"/>
        <w:jc w:val="both"/>
      </w:pPr>
      <w:r>
        <w:rPr>
          <w:rStyle w:val="Voetnootmarkering"/>
        </w:rPr>
        <w:footnoteRef/>
      </w:r>
      <w:r>
        <w:t xml:space="preserve"> In deze tijdlijn staat RvE voor Raad van Europa.</w:t>
      </w:r>
    </w:p>
  </w:footnote>
  <w:footnote w:id="135">
    <w:p w14:paraId="61B9FE5A" w14:textId="77777777" w:rsidR="00DA1440" w:rsidRDefault="00DA1440" w:rsidP="00DA1440">
      <w:pPr>
        <w:pStyle w:val="Voetnoottekst"/>
        <w:jc w:val="both"/>
      </w:pPr>
      <w:r>
        <w:rPr>
          <w:rStyle w:val="Voetnootmarkering"/>
        </w:rPr>
        <w:footnoteRef/>
      </w:r>
      <w:r>
        <w:t xml:space="preserve"> De Hullu &amp; Van Kempen 2024, p. 16 e.v.</w:t>
      </w:r>
    </w:p>
  </w:footnote>
  <w:footnote w:id="136">
    <w:p w14:paraId="375F9B43" w14:textId="77777777" w:rsidR="00DA1440" w:rsidRDefault="00DA1440" w:rsidP="00DA1440">
      <w:pPr>
        <w:pStyle w:val="Voetnoottekst"/>
        <w:jc w:val="both"/>
      </w:pPr>
      <w:r>
        <w:rPr>
          <w:rStyle w:val="Voetnootmarkering"/>
        </w:rPr>
        <w:footnoteRef/>
      </w:r>
      <w:r>
        <w:t xml:space="preserve"> Zo is wel opgemerkt dat lobbyen de “belangen van mensen bij de politiek” brengt. Zie </w:t>
      </w:r>
      <w:r>
        <w:rPr>
          <w:i/>
          <w:iCs/>
        </w:rPr>
        <w:t>Kamerstukken II</w:t>
      </w:r>
      <w:r>
        <w:t xml:space="preserve"> 2015/16, 34 376, nr. 2, p. 1 en 3. Bovendien is in de literatuur opgemerkt dat lobbyen ten goede van de kwaliteit van wetgeving kan komen, dankzij de externe inbreng (van buiten hetgeen de ‘Haagse kaasstolp’ is genoemd). Zie Eijlander 2017.</w:t>
      </w:r>
    </w:p>
  </w:footnote>
  <w:footnote w:id="137">
    <w:p w14:paraId="69D427A3" w14:textId="77777777" w:rsidR="00DA1440" w:rsidRPr="00A83667" w:rsidRDefault="00DA1440" w:rsidP="00DA1440">
      <w:pPr>
        <w:pStyle w:val="Voetnoottekst"/>
        <w:jc w:val="both"/>
      </w:pPr>
      <w:r>
        <w:rPr>
          <w:rStyle w:val="Voetnootmarkering"/>
        </w:rPr>
        <w:footnoteRef/>
      </w:r>
      <w:r w:rsidRPr="00A83667">
        <w:t xml:space="preserve"> Bouman 2021, p. 204.</w:t>
      </w:r>
    </w:p>
  </w:footnote>
  <w:footnote w:id="138">
    <w:p w14:paraId="0B01914D" w14:textId="77777777" w:rsidR="00DA1440" w:rsidRDefault="00DA1440" w:rsidP="00DA1440">
      <w:pPr>
        <w:pStyle w:val="Voetnoottekst"/>
        <w:jc w:val="both"/>
      </w:pPr>
      <w:r w:rsidRPr="00CC4143">
        <w:rPr>
          <w:rStyle w:val="Voetnootmarkering"/>
        </w:rPr>
        <w:footnoteRef/>
      </w:r>
      <w:r w:rsidRPr="00A83667">
        <w:t xml:space="preserve"> </w:t>
      </w:r>
      <w:r w:rsidRPr="00A83667">
        <w:rPr>
          <w:i/>
          <w:iCs/>
        </w:rPr>
        <w:t xml:space="preserve">Third Evaluation Round. </w:t>
      </w:r>
      <w:r w:rsidRPr="00F608F6">
        <w:rPr>
          <w:i/>
          <w:iCs/>
        </w:rPr>
        <w:t>Evaluation Report on the Netherlands on Incriminations (ETS 173 and 191, GPC 2)</w:t>
      </w:r>
      <w:r w:rsidRPr="00F608F6">
        <w:t xml:space="preserve"> 2008, p. 25 e.v.</w:t>
      </w:r>
      <w:r>
        <w:t xml:space="preserve"> </w:t>
      </w:r>
      <w:r w:rsidRPr="00CC4143">
        <w:t>We zien de ‘</w:t>
      </w:r>
      <w:r w:rsidRPr="00CC4143">
        <w:rPr>
          <w:i/>
          <w:iCs/>
        </w:rPr>
        <w:t>improper</w:t>
      </w:r>
      <w:r w:rsidRPr="00CC4143">
        <w:t>-eis’ terug in het Zweedse wetsvoorstel uit 2025 (zie hoofdstuk 6.2).</w:t>
      </w:r>
    </w:p>
  </w:footnote>
  <w:footnote w:id="139">
    <w:p w14:paraId="562FFED4" w14:textId="77777777" w:rsidR="00DA1440" w:rsidRPr="00F608F6" w:rsidRDefault="00DA1440" w:rsidP="00DA1440">
      <w:pPr>
        <w:pStyle w:val="Voetnoottekst"/>
        <w:jc w:val="both"/>
      </w:pPr>
      <w:r>
        <w:rPr>
          <w:rStyle w:val="Voetnootmarkering"/>
        </w:rPr>
        <w:footnoteRef/>
      </w:r>
      <w:r w:rsidRPr="00F608F6">
        <w:t xml:space="preserve"> Slingerland 2018, p. 53.</w:t>
      </w:r>
    </w:p>
  </w:footnote>
  <w:footnote w:id="140">
    <w:p w14:paraId="0A4FEC47" w14:textId="77777777" w:rsidR="00DA1440" w:rsidRPr="00F608F6" w:rsidRDefault="00DA1440" w:rsidP="00DA1440">
      <w:pPr>
        <w:pStyle w:val="Voetnoottekst"/>
        <w:jc w:val="both"/>
      </w:pPr>
      <w:r>
        <w:rPr>
          <w:rStyle w:val="Voetnootmarkering"/>
        </w:rPr>
        <w:footnoteRef/>
      </w:r>
      <w:r w:rsidRPr="00F608F6">
        <w:t xml:space="preserve"> Bouman 2021, p. 204.</w:t>
      </w:r>
    </w:p>
  </w:footnote>
  <w:footnote w:id="141">
    <w:p w14:paraId="37280A6E" w14:textId="77777777" w:rsidR="00DA1440" w:rsidRPr="00F608F6" w:rsidRDefault="00DA1440" w:rsidP="00DA1440">
      <w:pPr>
        <w:pStyle w:val="Voetnoottekst"/>
        <w:jc w:val="both"/>
      </w:pPr>
      <w:r>
        <w:rPr>
          <w:rStyle w:val="Voetnootmarkering"/>
        </w:rPr>
        <w:footnoteRef/>
      </w:r>
      <w:r w:rsidRPr="00F608F6">
        <w:t xml:space="preserve"> Slingerland 2018, p. 163 e.v.</w:t>
      </w:r>
    </w:p>
  </w:footnote>
  <w:footnote w:id="142">
    <w:p w14:paraId="1624DF00" w14:textId="77777777" w:rsidR="00DA1440" w:rsidRPr="00514183" w:rsidRDefault="00DA1440" w:rsidP="00DA1440">
      <w:pPr>
        <w:pStyle w:val="Voetnoottekst"/>
        <w:jc w:val="both"/>
      </w:pPr>
      <w:r>
        <w:rPr>
          <w:rStyle w:val="Voetnootmarkering"/>
        </w:rPr>
        <w:footnoteRef/>
      </w:r>
      <w:r w:rsidRPr="00F608F6">
        <w:t xml:space="preserve"> Slingerland 2018</w:t>
      </w:r>
      <w:r w:rsidRPr="00514183">
        <w:t>, p. 163.</w:t>
      </w:r>
    </w:p>
  </w:footnote>
  <w:footnote w:id="143">
    <w:p w14:paraId="1F8BCFF4" w14:textId="77777777" w:rsidR="00DA1440" w:rsidRPr="00087843" w:rsidRDefault="00DA1440" w:rsidP="00DA1440">
      <w:pPr>
        <w:pStyle w:val="Voetnoottekst"/>
        <w:jc w:val="both"/>
      </w:pPr>
      <w:r>
        <w:rPr>
          <w:rStyle w:val="Voetnootmarkering"/>
        </w:rPr>
        <w:footnoteRef/>
      </w:r>
      <w:r w:rsidRPr="002E407E">
        <w:t xml:space="preserve"> </w:t>
      </w:r>
      <w:r>
        <w:t>De Ruyver e.a. 2009, p. 168; Huberts 1992, p. 3 e.v.</w:t>
      </w:r>
    </w:p>
  </w:footnote>
  <w:footnote w:id="144">
    <w:p w14:paraId="51B58C05" w14:textId="77777777" w:rsidR="00DA1440" w:rsidRDefault="00DA1440" w:rsidP="00DA1440">
      <w:pPr>
        <w:pStyle w:val="Voetnoottekst"/>
        <w:jc w:val="both"/>
      </w:pPr>
      <w:r>
        <w:rPr>
          <w:rStyle w:val="Voetnootmarkering"/>
        </w:rPr>
        <w:footnoteRef/>
      </w:r>
      <w:r>
        <w:t xml:space="preserve"> In hoofdstuk 6 zal dat aan bod komen, met betrekking tot Zweden.</w:t>
      </w:r>
    </w:p>
  </w:footnote>
  <w:footnote w:id="145">
    <w:p w14:paraId="3CC9877D" w14:textId="77777777" w:rsidR="00DA1440" w:rsidRDefault="00DA1440" w:rsidP="00DA1440">
      <w:pPr>
        <w:pStyle w:val="Voetnoottekst"/>
        <w:jc w:val="both"/>
      </w:pPr>
      <w:r>
        <w:rPr>
          <w:rStyle w:val="Voetnootmarkering"/>
        </w:rPr>
        <w:footnoteRef/>
      </w:r>
      <w:r>
        <w:t xml:space="preserve"> </w:t>
      </w:r>
      <w:r w:rsidRPr="001273C9">
        <w:t>Voluit: Voorstel voor een richtlijn van het Europees Parlement en de Raad betreffende de bestrijding van corruptie, ter vervanging van Kaderbesluit 2003/568/JBZ van de Raad en van de Overeenkomst ter bestrijding van corruptie waarbij ambtenaren van de Europese Gemeenschappen of van de lidstaten van de Europese Unie betrokken zijn en tot wijziging van Richtlijn (EU) 2017/1371 van het Europees Parlement en de Raad.</w:t>
      </w:r>
      <w:r>
        <w:t xml:space="preserve"> Dit wordt in deze scriptie aangeduid als </w:t>
      </w:r>
      <w:r w:rsidRPr="001273C9">
        <w:t>Voorstel voor een anti-corruptierichtlijn</w:t>
      </w:r>
      <w:r>
        <w:t>.</w:t>
      </w:r>
    </w:p>
  </w:footnote>
  <w:footnote w:id="146">
    <w:p w14:paraId="1A5FA0ED" w14:textId="77777777" w:rsidR="00DA1440" w:rsidRPr="005D32C6" w:rsidRDefault="00DA1440" w:rsidP="00DA1440">
      <w:pPr>
        <w:pStyle w:val="Voetnoottekst"/>
        <w:jc w:val="both"/>
      </w:pPr>
      <w:r>
        <w:rPr>
          <w:rStyle w:val="Voetnootmarkering"/>
        </w:rPr>
        <w:footnoteRef/>
      </w:r>
      <w:r>
        <w:t xml:space="preserve"> Hoff &amp; Schelhaas 2024.</w:t>
      </w:r>
    </w:p>
  </w:footnote>
  <w:footnote w:id="147">
    <w:p w14:paraId="61AD67C2" w14:textId="77777777" w:rsidR="00DA1440" w:rsidRPr="00A57CE0" w:rsidRDefault="00DA1440" w:rsidP="00DA1440">
      <w:pPr>
        <w:pStyle w:val="Voetnoottekst"/>
        <w:jc w:val="both"/>
      </w:pPr>
      <w:r>
        <w:rPr>
          <w:rStyle w:val="Voetnootmarkering"/>
        </w:rPr>
        <w:footnoteRef/>
      </w:r>
      <w:r>
        <w:t xml:space="preserve"> Toelichting op </w:t>
      </w:r>
      <w:r w:rsidRPr="001273C9">
        <w:t>Voorstel voor een anti-corruptierichtlijn</w:t>
      </w:r>
      <w:r>
        <w:t>, p. 2.</w:t>
      </w:r>
    </w:p>
  </w:footnote>
  <w:footnote w:id="148">
    <w:p w14:paraId="54725824" w14:textId="77777777" w:rsidR="00DA1440" w:rsidRDefault="00DA1440" w:rsidP="00DA1440">
      <w:pPr>
        <w:pStyle w:val="Voetnoottekst"/>
        <w:jc w:val="both"/>
      </w:pPr>
      <w:r w:rsidRPr="00656082">
        <w:rPr>
          <w:rStyle w:val="Voetnootmarkering"/>
        </w:rPr>
        <w:footnoteRef/>
      </w:r>
      <w:r w:rsidRPr="00656082">
        <w:t xml:space="preserve"> Toelichting op Voorstel voor een anti-corruptierichtlijn, p. 1.</w:t>
      </w:r>
    </w:p>
  </w:footnote>
  <w:footnote w:id="149">
    <w:p w14:paraId="41AC2EAD" w14:textId="77777777" w:rsidR="00DA1440" w:rsidRPr="003D4D6A" w:rsidRDefault="00DA1440" w:rsidP="00DA1440">
      <w:pPr>
        <w:pStyle w:val="Voetnoottekst"/>
        <w:jc w:val="both"/>
      </w:pPr>
      <w:r>
        <w:rPr>
          <w:rStyle w:val="Voetnootmarkering"/>
        </w:rPr>
        <w:footnoteRef/>
      </w:r>
      <w:r w:rsidRPr="003D4D6A">
        <w:t xml:space="preserve"> Buisman 2020, p. </w:t>
      </w:r>
      <w:r w:rsidRPr="00F608F6">
        <w:t>65 e.v.</w:t>
      </w:r>
      <w:r w:rsidRPr="003D4D6A">
        <w:t xml:space="preserve">; Cleiren 2012, p. </w:t>
      </w:r>
      <w:r w:rsidRPr="00F608F6">
        <w:t>4 e</w:t>
      </w:r>
      <w:r w:rsidRPr="003D4D6A">
        <w:t>.</w:t>
      </w:r>
      <w:r w:rsidRPr="00F608F6">
        <w:t>v.</w:t>
      </w:r>
    </w:p>
  </w:footnote>
  <w:footnote w:id="150">
    <w:p w14:paraId="05877546" w14:textId="77777777" w:rsidR="00DA1440" w:rsidRPr="00E472C1" w:rsidRDefault="00DA1440" w:rsidP="00DA1440">
      <w:pPr>
        <w:pStyle w:val="Voetnoottekst"/>
        <w:jc w:val="both"/>
        <w:rPr>
          <w:lang w:val="en-GB"/>
        </w:rPr>
      </w:pPr>
      <w:r>
        <w:rPr>
          <w:rStyle w:val="Voetnootmarkering"/>
        </w:rPr>
        <w:footnoteRef/>
      </w:r>
      <w:r w:rsidRPr="00BC2BCF">
        <w:rPr>
          <w:lang w:val="en-GB"/>
        </w:rPr>
        <w:t xml:space="preserve"> </w:t>
      </w:r>
      <w:r>
        <w:rPr>
          <w:lang w:val="en-GB"/>
        </w:rPr>
        <w:t>‘2022 State of the Union Address by President von der Leyen’, ec.europa.eu, 14 september 2022, p. 11.</w:t>
      </w:r>
    </w:p>
  </w:footnote>
  <w:footnote w:id="151">
    <w:p w14:paraId="38AAAA6A" w14:textId="77777777" w:rsidR="00DA1440" w:rsidRPr="00A83667" w:rsidRDefault="00DA1440" w:rsidP="00DA1440">
      <w:pPr>
        <w:pStyle w:val="Voetnoottekst"/>
        <w:jc w:val="both"/>
        <w:rPr>
          <w:highlight w:val="yellow"/>
        </w:rPr>
      </w:pPr>
      <w:r w:rsidRPr="009A7745">
        <w:rPr>
          <w:rStyle w:val="Voetnootmarkering"/>
        </w:rPr>
        <w:footnoteRef/>
      </w:r>
      <w:r w:rsidRPr="009A7745">
        <w:t xml:space="preserve"> </w:t>
      </w:r>
      <w:r w:rsidRPr="00656082">
        <w:t xml:space="preserve">Toelichting op Voorstel voor een anti-corruptierichtlijn, </w:t>
      </w:r>
      <w:r>
        <w:t>p.</w:t>
      </w:r>
      <w:r w:rsidRPr="009A7745">
        <w:t xml:space="preserve"> </w:t>
      </w:r>
      <w:r w:rsidRPr="00A83667">
        <w:t>25 en 26.</w:t>
      </w:r>
    </w:p>
  </w:footnote>
  <w:footnote w:id="152">
    <w:p w14:paraId="06586FE4" w14:textId="77777777" w:rsidR="00DA1440" w:rsidRPr="00F608F6" w:rsidRDefault="00DA1440" w:rsidP="00DA1440">
      <w:pPr>
        <w:pStyle w:val="Voetnoottekst"/>
        <w:jc w:val="both"/>
        <w:rPr>
          <w:highlight w:val="yellow"/>
          <w:lang w:val="en-GB"/>
        </w:rPr>
      </w:pPr>
      <w:r w:rsidRPr="00A07283">
        <w:rPr>
          <w:rStyle w:val="Voetnootmarkering"/>
        </w:rPr>
        <w:footnoteRef/>
      </w:r>
      <w:r w:rsidRPr="00A07283">
        <w:rPr>
          <w:lang w:val="en-GB"/>
        </w:rPr>
        <w:t xml:space="preserve"> </w:t>
      </w:r>
      <w:r w:rsidRPr="00A07283">
        <w:rPr>
          <w:i/>
          <w:iCs/>
          <w:lang w:val="en-GB"/>
        </w:rPr>
        <w:t>Resolution adopted by the General Assembly on 2 June 2021</w:t>
      </w:r>
      <w:r w:rsidRPr="00A07283">
        <w:rPr>
          <w:lang w:val="en-GB"/>
        </w:rPr>
        <w:t xml:space="preserve">, S-32/1, te vinden op </w:t>
      </w:r>
      <w:r>
        <w:rPr>
          <w:lang w:val="en-GB"/>
        </w:rPr>
        <w:t>ungass.2021.unodc.org.</w:t>
      </w:r>
    </w:p>
  </w:footnote>
  <w:footnote w:id="153">
    <w:p w14:paraId="09C926F8" w14:textId="77777777" w:rsidR="00DA1440" w:rsidRPr="00691DF0" w:rsidRDefault="00DA1440" w:rsidP="00DA1440">
      <w:pPr>
        <w:pStyle w:val="Voetnoottekst"/>
        <w:jc w:val="both"/>
      </w:pPr>
      <w:r w:rsidRPr="004E4BBA">
        <w:rPr>
          <w:rStyle w:val="Voetnootmarkering"/>
        </w:rPr>
        <w:footnoteRef/>
      </w:r>
      <w:r w:rsidRPr="004E4BBA">
        <w:t xml:space="preserve"> Artikel 18 </w:t>
      </w:r>
      <w:r>
        <w:t>VTC.</w:t>
      </w:r>
    </w:p>
  </w:footnote>
  <w:footnote w:id="154">
    <w:p w14:paraId="04E8A0DC" w14:textId="77777777" w:rsidR="00DA1440" w:rsidRPr="005E795E" w:rsidRDefault="00DA1440" w:rsidP="00DA1440">
      <w:pPr>
        <w:pStyle w:val="Voetnoottekst"/>
        <w:jc w:val="both"/>
      </w:pPr>
      <w:r>
        <w:rPr>
          <w:rStyle w:val="Voetnootmarkering"/>
        </w:rPr>
        <w:footnoteRef/>
      </w:r>
      <w:r>
        <w:t xml:space="preserve"> Bottse 2025, p. 113</w:t>
      </w:r>
      <w:r w:rsidRPr="00CB3E19">
        <w:t>.</w:t>
      </w:r>
    </w:p>
  </w:footnote>
  <w:footnote w:id="155">
    <w:p w14:paraId="6B6FC434" w14:textId="77777777" w:rsidR="00DA1440" w:rsidRPr="00F608F6" w:rsidRDefault="00DA1440" w:rsidP="00DA1440">
      <w:pPr>
        <w:pStyle w:val="Voetnoottekst"/>
        <w:jc w:val="both"/>
      </w:pPr>
      <w:r>
        <w:rPr>
          <w:rStyle w:val="Voetnootmarkering"/>
        </w:rPr>
        <w:footnoteRef/>
      </w:r>
      <w:r>
        <w:t xml:space="preserve"> Toelichting op </w:t>
      </w:r>
      <w:r w:rsidRPr="001273C9">
        <w:t>Voorstel voor een anti-corruptierichtlijn</w:t>
      </w:r>
      <w:r w:rsidRPr="00A65CF0">
        <w:t>, p. 13</w:t>
      </w:r>
      <w:r>
        <w:t xml:space="preserve">. Overigens gaf de minister van Justitie en Veiligheid in antwoord op Kamervragen, waarin hij werd geconfronteerd met deze constatering van de Commissie, aan dat Nederland waarschijnlijk onder die twee staten is geschaard, maar dat dit niet wil zeggen dat het onrechtmatig bevoordelen van partijen niet bestraft kan worden. Zie </w:t>
      </w:r>
      <w:r>
        <w:rPr>
          <w:i/>
          <w:iCs/>
        </w:rPr>
        <w:t xml:space="preserve">Aanhangsel Handelingen II </w:t>
      </w:r>
      <w:r>
        <w:t>2024/25, nr. 1472, p. 2 en 3. Overigens zijn de wetgevingen van Denemarken en Bulgarije niet meegenomen bij de presentatie van deze cijfers. Zie Gaglio e.a. 2022, p. 11.</w:t>
      </w:r>
      <w:r w:rsidRPr="002A4DFD">
        <w:t xml:space="preserve"> </w:t>
      </w:r>
    </w:p>
  </w:footnote>
  <w:footnote w:id="156">
    <w:p w14:paraId="39C6E624" w14:textId="77777777" w:rsidR="00DA1440" w:rsidRPr="00F608F6" w:rsidRDefault="00DA1440" w:rsidP="00DA1440">
      <w:pPr>
        <w:pStyle w:val="Voetnoottekst"/>
        <w:jc w:val="both"/>
        <w:rPr>
          <w:lang w:val="en-GB"/>
        </w:rPr>
      </w:pPr>
      <w:r>
        <w:rPr>
          <w:rStyle w:val="Voetnootmarkering"/>
        </w:rPr>
        <w:footnoteRef/>
      </w:r>
      <w:r>
        <w:t xml:space="preserve"> Van Noorloos, Ouwerkerk &amp; Verrest 2025; Duitsland, Italië, Luxemburg en Nederland trokken gezamenlijk ten strijde tegen de verplichte harmonisatie van definities en sancties voor strafbare feiten die samenhangen met misbruik van de functie. Dit leidde er zelfs toe dat Italië de nationale variant van een van de voorgestelde strafbaarstellingen introk en dit delict daarmee legaliseerde. </w:t>
      </w:r>
      <w:r w:rsidRPr="00F608F6">
        <w:rPr>
          <w:lang w:val="en-GB"/>
        </w:rPr>
        <w:t xml:space="preserve">Zie </w:t>
      </w:r>
      <w:r w:rsidRPr="003210AF">
        <w:rPr>
          <w:lang w:val="en-GB"/>
        </w:rPr>
        <w:t>Carlson</w:t>
      </w:r>
      <w:r>
        <w:rPr>
          <w:lang w:val="en-GB"/>
        </w:rPr>
        <w:t xml:space="preserve"> </w:t>
      </w:r>
      <w:r w:rsidRPr="003210AF">
        <w:rPr>
          <w:lang w:val="en-GB"/>
        </w:rPr>
        <w:t>2025</w:t>
      </w:r>
      <w:r>
        <w:rPr>
          <w:lang w:val="en-GB"/>
        </w:rPr>
        <w:t xml:space="preserve">; </w:t>
      </w:r>
      <w:r w:rsidRPr="008F16ED">
        <w:rPr>
          <w:lang w:val="en-GB"/>
        </w:rPr>
        <w:t xml:space="preserve">Allum </w:t>
      </w:r>
      <w:r>
        <w:rPr>
          <w:lang w:val="en-GB"/>
        </w:rPr>
        <w:t xml:space="preserve">2024; </w:t>
      </w:r>
      <w:r w:rsidRPr="007B4E5D">
        <w:rPr>
          <w:lang w:val="en-GB"/>
        </w:rPr>
        <w:t xml:space="preserve">‘Italy scraps abuse of office crime as opposition calls foul’, </w:t>
      </w:r>
      <w:r w:rsidRPr="00F608F6">
        <w:rPr>
          <w:i/>
          <w:iCs/>
          <w:lang w:val="en-GB"/>
        </w:rPr>
        <w:t>Courthouse News Service</w:t>
      </w:r>
      <w:r w:rsidRPr="007B4E5D">
        <w:rPr>
          <w:lang w:val="en-GB"/>
        </w:rPr>
        <w:t xml:space="preserve"> 11 juli 2024</w:t>
      </w:r>
      <w:r>
        <w:rPr>
          <w:lang w:val="en-GB"/>
        </w:rPr>
        <w:t>; Van der Laan 2025.</w:t>
      </w:r>
    </w:p>
  </w:footnote>
  <w:footnote w:id="157">
    <w:p w14:paraId="1E77D89C" w14:textId="77777777" w:rsidR="00DA1440" w:rsidRDefault="00DA1440" w:rsidP="00DA1440">
      <w:pPr>
        <w:pStyle w:val="Voetnoottekst"/>
        <w:jc w:val="both"/>
      </w:pPr>
      <w:r>
        <w:rPr>
          <w:rStyle w:val="Voetnootmarkering"/>
        </w:rPr>
        <w:footnoteRef/>
      </w:r>
      <w:r>
        <w:t xml:space="preserve"> García Hermida-van der Walle 2025.</w:t>
      </w:r>
    </w:p>
  </w:footnote>
  <w:footnote w:id="158">
    <w:p w14:paraId="76BD90DD" w14:textId="77777777" w:rsidR="00DA1440" w:rsidRDefault="00DA1440" w:rsidP="00DA1440">
      <w:pPr>
        <w:pStyle w:val="Voetnoottekst"/>
        <w:jc w:val="both"/>
      </w:pPr>
      <w:r>
        <w:rPr>
          <w:rStyle w:val="Voetnootmarkering"/>
        </w:rPr>
        <w:footnoteRef/>
      </w:r>
      <w:r>
        <w:t xml:space="preserve"> ‘Raad en Parlement bereiken akkoord over nieuwe EU-wetgeving om corruptie beter te bestrijden’, consilium.europa.eu, 2 december 2025.</w:t>
      </w:r>
    </w:p>
  </w:footnote>
  <w:footnote w:id="159">
    <w:p w14:paraId="616B7754" w14:textId="77777777" w:rsidR="00DA1440" w:rsidRDefault="00DA1440" w:rsidP="00DA1440">
      <w:pPr>
        <w:pStyle w:val="Voetnoottekst"/>
      </w:pPr>
      <w:r>
        <w:rPr>
          <w:rStyle w:val="Voetnootmarkering"/>
        </w:rPr>
        <w:footnoteRef/>
      </w:r>
      <w:r>
        <w:t xml:space="preserve"> Zie hoofdstuk 2.2.</w:t>
      </w:r>
    </w:p>
  </w:footnote>
  <w:footnote w:id="160">
    <w:p w14:paraId="72CDB3E5" w14:textId="77777777" w:rsidR="00DA1440" w:rsidRDefault="00DA1440" w:rsidP="00DA1440">
      <w:pPr>
        <w:pStyle w:val="Voetnoottekst"/>
        <w:jc w:val="both"/>
      </w:pPr>
      <w:r>
        <w:rPr>
          <w:rStyle w:val="Voetnootmarkering"/>
        </w:rPr>
        <w:footnoteRef/>
      </w:r>
      <w:r>
        <w:t xml:space="preserve"> </w:t>
      </w:r>
      <w:r w:rsidRPr="00656082">
        <w:t xml:space="preserve">Toelichting op Voorstel voor een anti-corruptierichtlijn, </w:t>
      </w:r>
      <w:r>
        <w:t>p. 9.</w:t>
      </w:r>
    </w:p>
  </w:footnote>
  <w:footnote w:id="161">
    <w:p w14:paraId="587B44FC" w14:textId="77777777" w:rsidR="00DA1440" w:rsidRPr="00F8614B" w:rsidRDefault="00DA1440" w:rsidP="00DA1440">
      <w:pPr>
        <w:pStyle w:val="Voetnoottekst"/>
        <w:jc w:val="both"/>
      </w:pPr>
      <w:r>
        <w:rPr>
          <w:rStyle w:val="Voetnootmarkering"/>
        </w:rPr>
        <w:footnoteRef/>
      </w:r>
      <w:r w:rsidRPr="00F8614B">
        <w:t xml:space="preserve"> </w:t>
      </w:r>
      <w:r>
        <w:t xml:space="preserve">Tweede verslag van de Commissie over de uitvoering van Richtlijn (EU) 2017/1371 van het Europees Parlement en de Raad van 5 juli 2017 betreffende de strafrechtelijke bestrijding van fraude die de financiële belangen van de Unie schaadt; </w:t>
      </w:r>
      <w:r w:rsidRPr="00656082">
        <w:t>Toelichting op Voorstel voor een anti-corruptierichtlijn</w:t>
      </w:r>
      <w:r w:rsidRPr="00F8614B">
        <w:t>, p. 10.</w:t>
      </w:r>
    </w:p>
  </w:footnote>
  <w:footnote w:id="162">
    <w:p w14:paraId="0C126DDD" w14:textId="77777777" w:rsidR="00DA1440" w:rsidRPr="00743941" w:rsidRDefault="00DA1440" w:rsidP="00DA1440">
      <w:pPr>
        <w:pStyle w:val="Voetnoottekst"/>
        <w:jc w:val="both"/>
        <w:rPr>
          <w:lang w:val="en-GB"/>
        </w:rPr>
      </w:pPr>
      <w:r>
        <w:rPr>
          <w:rStyle w:val="Voetnootmarkering"/>
        </w:rPr>
        <w:footnoteRef/>
      </w:r>
      <w:r w:rsidRPr="00B16E8C">
        <w:rPr>
          <w:lang w:val="en-GB"/>
        </w:rPr>
        <w:t xml:space="preserve"> </w:t>
      </w:r>
      <w:r>
        <w:rPr>
          <w:lang w:val="en-GB"/>
        </w:rPr>
        <w:t>‘Directive on combating corruption’, europarl.europa.eu, 23 september 2024, p. 5.</w:t>
      </w:r>
    </w:p>
  </w:footnote>
  <w:footnote w:id="163">
    <w:p w14:paraId="3A0D637E" w14:textId="77777777" w:rsidR="00DA1440" w:rsidRDefault="00DA1440" w:rsidP="00DA1440">
      <w:pPr>
        <w:pStyle w:val="Voetnoottekst"/>
      </w:pPr>
      <w:r>
        <w:rPr>
          <w:rStyle w:val="Voetnootmarkering"/>
        </w:rPr>
        <w:footnoteRef/>
      </w:r>
      <w:r>
        <w:t xml:space="preserve"> Zie </w:t>
      </w:r>
      <w:r>
        <w:rPr>
          <w:i/>
          <w:iCs/>
        </w:rPr>
        <w:t xml:space="preserve">Kamerstukken II </w:t>
      </w:r>
      <w:r>
        <w:t xml:space="preserve">2000/01, 27 509 (R 1671), nr. 3, p. 18 en </w:t>
      </w:r>
      <w:r>
        <w:rPr>
          <w:i/>
          <w:iCs/>
        </w:rPr>
        <w:t xml:space="preserve">Kamerstukken II </w:t>
      </w:r>
      <w:r>
        <w:t>2008/09, 31 700 VI, nr. 101, p. 3; zie ook art. 37, eerste lid, VTC, op grond waarvan het Nederland was toegestaan om partij te zijn bij het verdrag, maar desondanks niet over te gaan tot expliciete strafbaarstelling van handel in invloed.</w:t>
      </w:r>
    </w:p>
  </w:footnote>
  <w:footnote w:id="164">
    <w:p w14:paraId="2EAEB90F" w14:textId="77777777" w:rsidR="00DA1440" w:rsidRPr="00F608F6" w:rsidRDefault="00DA1440" w:rsidP="00DA1440">
      <w:pPr>
        <w:pStyle w:val="Voetnoottekst"/>
        <w:jc w:val="both"/>
      </w:pPr>
      <w:r>
        <w:rPr>
          <w:rStyle w:val="Voetnootmarkering"/>
        </w:rPr>
        <w:footnoteRef/>
      </w:r>
      <w:r w:rsidRPr="00F608F6">
        <w:t xml:space="preserve"> </w:t>
      </w:r>
      <w:r w:rsidRPr="00656082">
        <w:t>Toelichting op Voorstel voor een anti-corruptierichtlijn</w:t>
      </w:r>
      <w:r w:rsidRPr="00F608F6">
        <w:t>, p. 8.</w:t>
      </w:r>
    </w:p>
  </w:footnote>
  <w:footnote w:id="165">
    <w:p w14:paraId="7FFE3795" w14:textId="77777777" w:rsidR="00DA1440" w:rsidRPr="00F608F6" w:rsidRDefault="00DA1440" w:rsidP="00DA1440">
      <w:pPr>
        <w:pStyle w:val="Voetnoottekst"/>
        <w:jc w:val="both"/>
      </w:pPr>
      <w:r>
        <w:rPr>
          <w:rStyle w:val="Voetnootmarkering"/>
        </w:rPr>
        <w:footnoteRef/>
      </w:r>
      <w:r w:rsidRPr="00F608F6">
        <w:t xml:space="preserve"> </w:t>
      </w:r>
      <w:r w:rsidRPr="00656082">
        <w:t>Toelichting op Voorstel voor een anti-corruptierichtlijn</w:t>
      </w:r>
      <w:r w:rsidRPr="00F608F6">
        <w:t>, p. 8 e.v. (in het bijzonder p. 16).</w:t>
      </w:r>
    </w:p>
  </w:footnote>
  <w:footnote w:id="166">
    <w:p w14:paraId="56A745BD" w14:textId="77777777" w:rsidR="00DA1440" w:rsidRPr="00F608F6" w:rsidRDefault="00DA1440" w:rsidP="00DA1440">
      <w:pPr>
        <w:pStyle w:val="Voetnoottekst"/>
        <w:jc w:val="both"/>
      </w:pPr>
      <w:r>
        <w:rPr>
          <w:rStyle w:val="Voetnootmarkering"/>
        </w:rPr>
        <w:footnoteRef/>
      </w:r>
      <w:r w:rsidRPr="00F608F6">
        <w:t xml:space="preserve"> </w:t>
      </w:r>
      <w:r w:rsidRPr="00656082">
        <w:t>Toelichting op Voorstel voor een anti-corruptierichtlijn</w:t>
      </w:r>
      <w:r w:rsidRPr="00F608F6">
        <w:t>, p. 2, 8 en 36.</w:t>
      </w:r>
    </w:p>
  </w:footnote>
  <w:footnote w:id="167">
    <w:p w14:paraId="6A2B522D" w14:textId="77777777" w:rsidR="00DA1440" w:rsidRDefault="00DA1440" w:rsidP="00DA1440">
      <w:pPr>
        <w:pStyle w:val="Voetnoottekst"/>
        <w:jc w:val="both"/>
      </w:pPr>
      <w:r>
        <w:rPr>
          <w:rStyle w:val="Voetnootmarkering"/>
        </w:rPr>
        <w:footnoteRef/>
      </w:r>
      <w:r>
        <w:t xml:space="preserve"> Groenhuijsen &amp; Ouwerkerk 2013, p. 259.</w:t>
      </w:r>
    </w:p>
  </w:footnote>
  <w:footnote w:id="168">
    <w:p w14:paraId="1AFC857B" w14:textId="77777777" w:rsidR="00DA1440" w:rsidRDefault="00DA1440" w:rsidP="00DA1440">
      <w:pPr>
        <w:pStyle w:val="Voetnoottekst"/>
        <w:jc w:val="both"/>
      </w:pPr>
      <w:r>
        <w:rPr>
          <w:rStyle w:val="Voetnootmarkering"/>
        </w:rPr>
        <w:footnoteRef/>
      </w:r>
      <w:r>
        <w:t xml:space="preserve"> De regulatie die er is, ziet voornamelijk op het functioneren van de instellingen van de EU. Zie voor een overzicht ‘EU legislation on anti-corruption’, commission.europa.eu.</w:t>
      </w:r>
    </w:p>
  </w:footnote>
  <w:footnote w:id="169">
    <w:p w14:paraId="64998032" w14:textId="77777777" w:rsidR="00DA1440" w:rsidRDefault="00DA1440" w:rsidP="00DA1440">
      <w:pPr>
        <w:pStyle w:val="Voetnoottekst"/>
        <w:jc w:val="both"/>
      </w:pPr>
      <w:r>
        <w:rPr>
          <w:rStyle w:val="Voetnootmarkering"/>
        </w:rPr>
        <w:footnoteRef/>
      </w:r>
      <w:r>
        <w:t xml:space="preserve"> Ook in Bottse 2025, p. 117 e.v. is gewezen op de legaliteit en rechtszekerheid. Volgens Bottse is de voorgestelde bepaling onduidelijk en onvoorspelbaar, omdat deze zo veelomvattend is. </w:t>
      </w:r>
      <w:r w:rsidRPr="00CB01DA">
        <w:t>Zo is een quid-pro-quo-relatie niet vereist en hoeft de invloed niet daadwerkelijk te bestaan. Er is daarmee veel ruimte voor de vraag wat invloed, niet-gerechtvaardigd voordeel, enzovoorts precies betekenen. Dit kan volgens Bottse daarom in strijd zijn met de artikelen 1 Sr en art. 7 EVRM. Zij sluit hiermee aan bij het criterium van Hulsman, die  van oordeel is dat strafbaarstelling niet opportuun is, wanneer het gedrag betreft dat moeilijk enigszins nauwkeurig kan worden omschreven</w:t>
      </w:r>
      <w:r>
        <w:t>. Zie Hulsman 1972, p. 92.</w:t>
      </w:r>
    </w:p>
  </w:footnote>
  <w:footnote w:id="170">
    <w:p w14:paraId="6FD7E710" w14:textId="77777777" w:rsidR="00DA1440" w:rsidRPr="00F608F6" w:rsidRDefault="00DA1440" w:rsidP="00DA1440">
      <w:pPr>
        <w:pStyle w:val="Voetnoottekst"/>
        <w:jc w:val="both"/>
      </w:pPr>
      <w:r>
        <w:rPr>
          <w:rStyle w:val="Voetnootmarkering"/>
        </w:rPr>
        <w:footnoteRef/>
      </w:r>
      <w:r w:rsidRPr="00F608F6">
        <w:t xml:space="preserve"> Zie bijvoorbeeld, vanuit Duits perspectief</w:t>
      </w:r>
      <w:r>
        <w:t>,</w:t>
      </w:r>
      <w:r w:rsidRPr="00F608F6">
        <w:t xml:space="preserve"> Zimmermann</w:t>
      </w:r>
      <w:r>
        <w:t xml:space="preserve"> </w:t>
      </w:r>
      <w:r w:rsidRPr="00F608F6">
        <w:t>2024.</w:t>
      </w:r>
    </w:p>
  </w:footnote>
  <w:footnote w:id="171">
    <w:p w14:paraId="48C8360A" w14:textId="77777777" w:rsidR="00DA1440" w:rsidRPr="00F608F6" w:rsidRDefault="00DA1440" w:rsidP="00DA1440">
      <w:pPr>
        <w:pStyle w:val="Voetnoottekst"/>
        <w:jc w:val="both"/>
      </w:pPr>
      <w:r>
        <w:rPr>
          <w:rStyle w:val="Voetnootmarkering"/>
        </w:rPr>
        <w:footnoteRef/>
      </w:r>
      <w:r w:rsidRPr="00F608F6">
        <w:t xml:space="preserve"> Mongillo 2023. Zie ook de kritiek van Bottse op dit punt: Bottse 2025, p. 118 e.v.</w:t>
      </w:r>
    </w:p>
  </w:footnote>
  <w:footnote w:id="172">
    <w:p w14:paraId="43CE06C2" w14:textId="77777777" w:rsidR="00DA1440" w:rsidRPr="00CD4CF4" w:rsidRDefault="00DA1440" w:rsidP="00DA1440">
      <w:pPr>
        <w:pStyle w:val="Voetnoottekst"/>
        <w:jc w:val="both"/>
      </w:pPr>
      <w:r>
        <w:rPr>
          <w:rStyle w:val="Voetnootmarkering"/>
        </w:rPr>
        <w:footnoteRef/>
      </w:r>
      <w:r>
        <w:t xml:space="preserve"> </w:t>
      </w:r>
      <w:r w:rsidRPr="002856B2">
        <w:t>Van Noorloos, Ouwerkerk &amp; Verrest 2023</w:t>
      </w:r>
      <w:r>
        <w:t>.</w:t>
      </w:r>
    </w:p>
  </w:footnote>
  <w:footnote w:id="173">
    <w:p w14:paraId="51E6143F" w14:textId="77777777" w:rsidR="00DA1440" w:rsidRPr="00FA1E25" w:rsidRDefault="00DA1440" w:rsidP="00DA1440">
      <w:pPr>
        <w:pStyle w:val="Voetnoottekst"/>
        <w:jc w:val="both"/>
      </w:pPr>
      <w:r>
        <w:rPr>
          <w:rStyle w:val="Voetnootmarkering"/>
        </w:rPr>
        <w:footnoteRef/>
      </w:r>
      <w:r>
        <w:t xml:space="preserve"> </w:t>
      </w:r>
      <w:r w:rsidRPr="00656082">
        <w:t>Toelichting op Voorstel voor een anti-corruptierichtlijn</w:t>
      </w:r>
      <w:r w:rsidRPr="00DC2EFD">
        <w:t xml:space="preserve">, p. </w:t>
      </w:r>
      <w:r>
        <w:t xml:space="preserve">1; </w:t>
      </w:r>
      <w:r w:rsidRPr="002856B2">
        <w:t>Van Noorloos, Ouwerkerk &amp; Verrest 2023</w:t>
      </w:r>
      <w:r>
        <w:t>.</w:t>
      </w:r>
    </w:p>
  </w:footnote>
  <w:footnote w:id="174">
    <w:p w14:paraId="02A39194" w14:textId="77777777" w:rsidR="00DA1440" w:rsidRPr="00CF7E4F" w:rsidRDefault="00DA1440" w:rsidP="00DA1440">
      <w:pPr>
        <w:pStyle w:val="Voetnoottekst"/>
        <w:jc w:val="both"/>
      </w:pPr>
      <w:r>
        <w:rPr>
          <w:rStyle w:val="Voetnootmarkering"/>
        </w:rPr>
        <w:footnoteRef/>
      </w:r>
      <w:r w:rsidRPr="00CF7E4F">
        <w:t xml:space="preserve"> Te weten </w:t>
      </w:r>
      <w:r w:rsidRPr="00CF7E4F">
        <w:rPr>
          <w:i/>
          <w:iCs/>
        </w:rPr>
        <w:t>Eurojust Casework on Corruption: 2016-2021 Insights</w:t>
      </w:r>
      <w:r>
        <w:t xml:space="preserve"> </w:t>
      </w:r>
      <w:r w:rsidRPr="00CF7E4F">
        <w:t xml:space="preserve">2022; </w:t>
      </w:r>
      <w:r w:rsidRPr="00656082">
        <w:t>Toelichting op Voorstel voor een anti-corruptierichtlijn</w:t>
      </w:r>
      <w:r>
        <w:t>, p. 7.</w:t>
      </w:r>
    </w:p>
  </w:footnote>
  <w:footnote w:id="175">
    <w:p w14:paraId="58148254" w14:textId="77777777" w:rsidR="00DA1440" w:rsidRPr="002D026A" w:rsidRDefault="00DA1440" w:rsidP="00DA1440">
      <w:pPr>
        <w:pStyle w:val="Voetnoottekst"/>
        <w:jc w:val="both"/>
        <w:rPr>
          <w:lang w:val="en-GB"/>
        </w:rPr>
      </w:pPr>
      <w:r>
        <w:rPr>
          <w:rStyle w:val="Voetnootmarkering"/>
        </w:rPr>
        <w:footnoteRef/>
      </w:r>
      <w:r w:rsidRPr="002D026A">
        <w:rPr>
          <w:lang w:val="en-GB"/>
        </w:rPr>
        <w:t xml:space="preserve"> </w:t>
      </w:r>
      <w:r w:rsidRPr="002D026A">
        <w:rPr>
          <w:i/>
          <w:iCs/>
          <w:lang w:val="en-GB"/>
        </w:rPr>
        <w:t>Annual Report 2015</w:t>
      </w:r>
      <w:r>
        <w:rPr>
          <w:lang w:val="en-GB"/>
        </w:rPr>
        <w:t xml:space="preserve"> 2016, p. 39.</w:t>
      </w:r>
    </w:p>
  </w:footnote>
  <w:footnote w:id="176">
    <w:p w14:paraId="25D8A6C3" w14:textId="77777777" w:rsidR="00DA1440" w:rsidRPr="00F608F6" w:rsidRDefault="00DA1440" w:rsidP="00DA1440">
      <w:pPr>
        <w:pStyle w:val="Voetnoottekst"/>
        <w:jc w:val="both"/>
        <w:rPr>
          <w:lang w:val="en-GB"/>
        </w:rPr>
      </w:pPr>
      <w:r>
        <w:rPr>
          <w:rStyle w:val="Voetnootmarkering"/>
        </w:rPr>
        <w:footnoteRef/>
      </w:r>
      <w:r w:rsidRPr="00F608F6">
        <w:rPr>
          <w:lang w:val="en-GB"/>
        </w:rPr>
        <w:t xml:space="preserve"> </w:t>
      </w:r>
      <w:r w:rsidRPr="00F608F6">
        <w:rPr>
          <w:i/>
          <w:iCs/>
          <w:lang w:val="en-GB"/>
        </w:rPr>
        <w:t xml:space="preserve">Annual report 2022 </w:t>
      </w:r>
      <w:r w:rsidRPr="00F608F6">
        <w:rPr>
          <w:lang w:val="en-GB"/>
        </w:rPr>
        <w:t>2023, p. 25.</w:t>
      </w:r>
    </w:p>
  </w:footnote>
  <w:footnote w:id="177">
    <w:p w14:paraId="038253F2" w14:textId="77777777" w:rsidR="00DA1440" w:rsidRPr="007B6B92" w:rsidRDefault="00DA1440" w:rsidP="00DA1440">
      <w:pPr>
        <w:pStyle w:val="Voetnoottekst"/>
        <w:jc w:val="both"/>
        <w:rPr>
          <w:lang w:val="en-GB"/>
        </w:rPr>
      </w:pPr>
      <w:r>
        <w:rPr>
          <w:rStyle w:val="Voetnootmarkering"/>
        </w:rPr>
        <w:footnoteRef/>
      </w:r>
      <w:r w:rsidRPr="007B6B92">
        <w:rPr>
          <w:lang w:val="en-GB"/>
        </w:rPr>
        <w:t xml:space="preserve"> </w:t>
      </w:r>
      <w:r w:rsidRPr="00F608F6">
        <w:rPr>
          <w:i/>
          <w:iCs/>
          <w:lang w:val="en-GB"/>
        </w:rPr>
        <w:t>Eurojust Casework on Corruption: 2016-2021 Insights</w:t>
      </w:r>
      <w:r w:rsidRPr="00F608F6">
        <w:rPr>
          <w:lang w:val="en-GB"/>
        </w:rPr>
        <w:t xml:space="preserve"> 2022</w:t>
      </w:r>
      <w:r>
        <w:rPr>
          <w:lang w:val="en-GB"/>
        </w:rPr>
        <w:t>, p. 5.</w:t>
      </w:r>
    </w:p>
  </w:footnote>
  <w:footnote w:id="178">
    <w:p w14:paraId="39DB1ADE" w14:textId="77777777" w:rsidR="00DA1440" w:rsidRDefault="00DA1440" w:rsidP="00DA1440">
      <w:pPr>
        <w:pStyle w:val="Voetnoottekst"/>
        <w:jc w:val="both"/>
      </w:pPr>
      <w:r>
        <w:rPr>
          <w:rStyle w:val="Voetnootmarkering"/>
        </w:rPr>
        <w:footnoteRef/>
      </w:r>
      <w:r>
        <w:t xml:space="preserve"> </w:t>
      </w:r>
      <w:r w:rsidRPr="00656082">
        <w:t>Toelichting op Voorstel voor een anti-corruptierichtlijn</w:t>
      </w:r>
      <w:r w:rsidRPr="00E14235">
        <w:t>, p. 7.</w:t>
      </w:r>
    </w:p>
  </w:footnote>
  <w:footnote w:id="179">
    <w:p w14:paraId="25A29A15" w14:textId="77777777" w:rsidR="00DA1440" w:rsidRPr="00F608F6" w:rsidRDefault="00DA1440" w:rsidP="00DA1440">
      <w:pPr>
        <w:pStyle w:val="Voetnoottekst"/>
        <w:jc w:val="both"/>
      </w:pPr>
      <w:r>
        <w:rPr>
          <w:rStyle w:val="Voetnootmarkering"/>
        </w:rPr>
        <w:footnoteRef/>
      </w:r>
      <w:r w:rsidRPr="00F608F6">
        <w:t xml:space="preserve"> Gaglio e.a. 2022, p. 22.</w:t>
      </w:r>
    </w:p>
  </w:footnote>
  <w:footnote w:id="180">
    <w:p w14:paraId="69FDCC87" w14:textId="77777777" w:rsidR="00DA1440" w:rsidRDefault="00DA1440" w:rsidP="00DA1440">
      <w:pPr>
        <w:pStyle w:val="Voetnoottekst"/>
        <w:jc w:val="both"/>
      </w:pPr>
      <w:r>
        <w:rPr>
          <w:rStyle w:val="Voetnootmarkering"/>
        </w:rPr>
        <w:footnoteRef/>
      </w:r>
      <w:r>
        <w:t xml:space="preserve"> </w:t>
      </w:r>
      <w:r w:rsidRPr="00656082">
        <w:t>Toelichting op Voorstel voor een anti-corruptierichtlijn</w:t>
      </w:r>
      <w:r>
        <w:t>.</w:t>
      </w:r>
    </w:p>
  </w:footnote>
  <w:footnote w:id="181">
    <w:p w14:paraId="489C3A06" w14:textId="77777777" w:rsidR="00DA1440" w:rsidRPr="00E94DAA" w:rsidRDefault="00DA1440" w:rsidP="00DA1440">
      <w:pPr>
        <w:pStyle w:val="Voetnoottekst"/>
        <w:jc w:val="both"/>
        <w:rPr>
          <w:lang w:val="en-GB"/>
        </w:rPr>
      </w:pPr>
      <w:r>
        <w:rPr>
          <w:rStyle w:val="Voetnootmarkering"/>
        </w:rPr>
        <w:footnoteRef/>
      </w:r>
      <w:r w:rsidRPr="00E94DAA">
        <w:rPr>
          <w:lang w:val="en-GB"/>
        </w:rPr>
        <w:t xml:space="preserve"> Bottse 2025</w:t>
      </w:r>
      <w:r>
        <w:rPr>
          <w:lang w:val="en-GB"/>
        </w:rPr>
        <w:t>, p. 113 e.v</w:t>
      </w:r>
      <w:r w:rsidRPr="00E94DAA">
        <w:rPr>
          <w:lang w:val="en-GB"/>
        </w:rPr>
        <w:t>.</w:t>
      </w:r>
    </w:p>
  </w:footnote>
  <w:footnote w:id="182">
    <w:p w14:paraId="2C6ACFFF" w14:textId="77777777" w:rsidR="00DA1440" w:rsidRPr="00F608F6" w:rsidRDefault="00DA1440" w:rsidP="00DA1440">
      <w:pPr>
        <w:pStyle w:val="Voetnoottekst"/>
        <w:jc w:val="both"/>
      </w:pPr>
      <w:r>
        <w:rPr>
          <w:rStyle w:val="Voetnootmarkering"/>
        </w:rPr>
        <w:footnoteRef/>
      </w:r>
      <w:r w:rsidRPr="008E4E70">
        <w:rPr>
          <w:lang w:val="en-GB"/>
        </w:rPr>
        <w:t xml:space="preserve"> </w:t>
      </w:r>
      <w:r>
        <w:rPr>
          <w:lang w:val="en-GB"/>
        </w:rPr>
        <w:t xml:space="preserve">Kergueno 2024, p. 3 e.v.; </w:t>
      </w:r>
      <w:r w:rsidRPr="00CE7CDF">
        <w:rPr>
          <w:lang w:val="en-GB"/>
        </w:rPr>
        <w:t>Carlson 2025</w:t>
      </w:r>
      <w:r>
        <w:rPr>
          <w:lang w:val="en-GB"/>
        </w:rPr>
        <w:t xml:space="preserve">: “EU lawmakers are furious at countries for trying down the bill, especially amidst corruption probes in Brussels and other countries.” </w:t>
      </w:r>
      <w:r w:rsidRPr="00F608F6">
        <w:t>Zie ook Hoxhaj 2025.</w:t>
      </w:r>
    </w:p>
  </w:footnote>
  <w:footnote w:id="183">
    <w:p w14:paraId="18BA3EFC" w14:textId="77777777" w:rsidR="00DA1440" w:rsidRPr="00E02FD1" w:rsidRDefault="00DA1440" w:rsidP="00DA1440">
      <w:pPr>
        <w:pStyle w:val="Voetnoottekst"/>
        <w:jc w:val="both"/>
      </w:pPr>
      <w:r>
        <w:rPr>
          <w:rStyle w:val="Voetnootmarkering"/>
        </w:rPr>
        <w:footnoteRef/>
      </w:r>
      <w:r>
        <w:t xml:space="preserve"> Van der Laan 2025; B. de Koning e.a. 2024. </w:t>
      </w:r>
    </w:p>
  </w:footnote>
  <w:footnote w:id="184">
    <w:p w14:paraId="3C0EF8C1" w14:textId="77777777" w:rsidR="00DA1440" w:rsidRPr="006464C3" w:rsidRDefault="00DA1440" w:rsidP="00DA1440">
      <w:pPr>
        <w:pStyle w:val="Voetnoottekst"/>
        <w:jc w:val="both"/>
        <w:rPr>
          <w:lang w:val="en-GB"/>
        </w:rPr>
      </w:pPr>
      <w:r>
        <w:rPr>
          <w:rStyle w:val="Voetnootmarkering"/>
        </w:rPr>
        <w:footnoteRef/>
      </w:r>
      <w:r w:rsidRPr="006464C3">
        <w:rPr>
          <w:lang w:val="en-GB"/>
        </w:rPr>
        <w:t xml:space="preserve"> ‘One year after Qatargate, Ombudsman highlights remaining concerns about Parliament’s new ethics framework</w:t>
      </w:r>
      <w:r>
        <w:rPr>
          <w:lang w:val="en-GB"/>
        </w:rPr>
        <w:t>’, ombudsman.europa.eu, 11 december 2023.</w:t>
      </w:r>
    </w:p>
  </w:footnote>
  <w:footnote w:id="185">
    <w:p w14:paraId="2569C83A" w14:textId="77777777" w:rsidR="00DA1440" w:rsidRPr="00F608F6" w:rsidRDefault="00DA1440" w:rsidP="00DA1440">
      <w:pPr>
        <w:pStyle w:val="Voetnoottekst"/>
        <w:jc w:val="both"/>
      </w:pPr>
      <w:r>
        <w:rPr>
          <w:rStyle w:val="Voetnootmarkering"/>
        </w:rPr>
        <w:footnoteRef/>
      </w:r>
      <w:r w:rsidRPr="00F608F6">
        <w:t xml:space="preserve"> Sanchez Salgado &amp; Gürkan 2026.</w:t>
      </w:r>
    </w:p>
  </w:footnote>
  <w:footnote w:id="186">
    <w:p w14:paraId="663310D1" w14:textId="77777777" w:rsidR="00DA1440" w:rsidRPr="00040AD8" w:rsidRDefault="00DA1440" w:rsidP="00DA1440">
      <w:pPr>
        <w:pStyle w:val="Voetnoottekst"/>
        <w:jc w:val="both"/>
      </w:pPr>
      <w:r>
        <w:rPr>
          <w:rStyle w:val="Voetnootmarkering"/>
        </w:rPr>
        <w:footnoteRef/>
      </w:r>
      <w:r>
        <w:t xml:space="preserve"> Blijkt uit het onderzoek </w:t>
      </w:r>
      <w:r w:rsidRPr="005C3BF6">
        <w:rPr>
          <w:i/>
          <w:iCs/>
        </w:rPr>
        <w:t>EU Misconduct Investigation</w:t>
      </w:r>
      <w:r>
        <w:t xml:space="preserve">, een onderzoek van journalisten uit heel Europa, onder andere van </w:t>
      </w:r>
      <w:r w:rsidRPr="00040AD8">
        <w:rPr>
          <w:i/>
          <w:iCs/>
        </w:rPr>
        <w:t>Follow the Money</w:t>
      </w:r>
      <w:r>
        <w:t xml:space="preserve">, </w:t>
      </w:r>
      <w:r>
        <w:rPr>
          <w:i/>
          <w:iCs/>
        </w:rPr>
        <w:t xml:space="preserve">Le Monde </w:t>
      </w:r>
      <w:r>
        <w:t xml:space="preserve">en </w:t>
      </w:r>
      <w:r>
        <w:rPr>
          <w:i/>
          <w:iCs/>
        </w:rPr>
        <w:t>Welt</w:t>
      </w:r>
      <w:r>
        <w:t>. Zie B. de Koning e.a. 2024.</w:t>
      </w:r>
    </w:p>
  </w:footnote>
  <w:footnote w:id="187">
    <w:p w14:paraId="50190129" w14:textId="77777777" w:rsidR="00DA1440" w:rsidRDefault="00DA1440" w:rsidP="00DA1440">
      <w:pPr>
        <w:pStyle w:val="Voetnoottekst"/>
      </w:pPr>
      <w:r>
        <w:rPr>
          <w:rStyle w:val="Voetnootmarkering"/>
        </w:rPr>
        <w:footnoteRef/>
      </w:r>
      <w:r>
        <w:t xml:space="preserve"> Zie ook de kritiek op het punt van legaliteit, beschreven in het begin van hoofdstuk 4.3.</w:t>
      </w:r>
    </w:p>
  </w:footnote>
  <w:footnote w:id="188">
    <w:p w14:paraId="6A4E5690" w14:textId="77777777" w:rsidR="00DA1440" w:rsidRPr="00F608F6" w:rsidRDefault="00DA1440" w:rsidP="00DA1440">
      <w:pPr>
        <w:pStyle w:val="Voetnoottekst"/>
        <w:jc w:val="both"/>
      </w:pPr>
      <w:r>
        <w:rPr>
          <w:rStyle w:val="Voetnootmarkering"/>
        </w:rPr>
        <w:footnoteRef/>
      </w:r>
      <w:r>
        <w:t xml:space="preserve"> De regulatie die er is, ziet voornamelijk op het functioneren van de instellingen van de EU. </w:t>
      </w:r>
      <w:r w:rsidRPr="00F608F6">
        <w:t xml:space="preserve">Zie voor een overzicht </w:t>
      </w:r>
      <w:r>
        <w:t>‘EU legislation on anti-corruption’, commission.europa.eu.</w:t>
      </w:r>
      <w:r w:rsidRPr="00F608F6">
        <w:t xml:space="preserve"> Zie verder Mongillo</w:t>
      </w:r>
      <w:r w:rsidRPr="00F608F6">
        <w:rPr>
          <w:i/>
          <w:iCs/>
        </w:rPr>
        <w:t xml:space="preserve"> </w:t>
      </w:r>
      <w:r w:rsidRPr="00F608F6">
        <w:t>2023; Bovend’Eert 2020.</w:t>
      </w:r>
    </w:p>
  </w:footnote>
  <w:footnote w:id="189">
    <w:p w14:paraId="5A5BB5E4" w14:textId="77777777" w:rsidR="00DA1440" w:rsidRPr="008336B5" w:rsidRDefault="00DA1440" w:rsidP="00DA1440">
      <w:pPr>
        <w:pStyle w:val="Voetnoottekst"/>
        <w:jc w:val="both"/>
      </w:pPr>
      <w:r>
        <w:rPr>
          <w:rStyle w:val="Voetnootmarkering"/>
        </w:rPr>
        <w:footnoteRef/>
      </w:r>
      <w:r w:rsidRPr="006009B1">
        <w:t xml:space="preserve"> </w:t>
      </w:r>
      <w:r>
        <w:t xml:space="preserve">Factual evidence: Groenhuijsen &amp; Ouwerkerk 2013, p. 251 e.v.; </w:t>
      </w:r>
      <w:r w:rsidRPr="0053189C">
        <w:t>Evidence based beleid</w:t>
      </w:r>
      <w:r w:rsidRPr="008336B5">
        <w:t xml:space="preserve">: </w:t>
      </w:r>
      <w:r>
        <w:rPr>
          <w:i/>
          <w:iCs/>
        </w:rPr>
        <w:t xml:space="preserve">Kamerstukken II </w:t>
      </w:r>
      <w:r>
        <w:t>2022/23, 22 112, nr. 3717, p. 7.</w:t>
      </w:r>
    </w:p>
  </w:footnote>
  <w:footnote w:id="190">
    <w:p w14:paraId="550C8079" w14:textId="77777777" w:rsidR="00DA1440" w:rsidRDefault="00DA1440" w:rsidP="00DA1440">
      <w:pPr>
        <w:pStyle w:val="Voetnoottekst"/>
      </w:pPr>
      <w:r>
        <w:rPr>
          <w:rStyle w:val="Voetnootmarkering"/>
        </w:rPr>
        <w:footnoteRef/>
      </w:r>
      <w:r>
        <w:t xml:space="preserve"> </w:t>
      </w:r>
      <w:r w:rsidRPr="00205010">
        <w:t>In Frankrijk is passieve ambtelijke corruptie, waaronder handel in invloed, sinds 1994 expliciet strafbaar gesteld in artikel 432-11 van de Code Pénal (CP)</w:t>
      </w:r>
      <w:r>
        <w:t>.</w:t>
      </w:r>
      <w:r w:rsidRPr="002E71A5">
        <w:t xml:space="preserve"> </w:t>
      </w:r>
      <w:r>
        <w:t>In artikel 435-2 van de Code Pénal is handel in invloed ook strafbaar gesteld ten aanzien van personen, belast met een overheidsfunctie of publieke dienstverlening of met een mandaat van de kiezer in een buitenlandse staat of binnen een internationale organisatie. Handel in invloed was ook vóór 1994 (namelijk: sinds 1889) elders in de Code Pénal strafbaar gesteld. Met de invoering van art. 432-11 CP is geen inhoudelijke verandering beoogd. Zie Zeiser 2012, p. 61 e.v.</w:t>
      </w:r>
    </w:p>
  </w:footnote>
  <w:footnote w:id="191">
    <w:p w14:paraId="5BA97966" w14:textId="77777777" w:rsidR="00DA1440" w:rsidRPr="00F608F6" w:rsidRDefault="00DA1440" w:rsidP="00DA1440">
      <w:pPr>
        <w:pStyle w:val="Voetnoottekst"/>
        <w:jc w:val="both"/>
      </w:pPr>
      <w:r>
        <w:rPr>
          <w:rStyle w:val="Voetnootmarkering"/>
        </w:rPr>
        <w:footnoteRef/>
      </w:r>
      <w:r w:rsidRPr="00F608F6">
        <w:t xml:space="preserve"> Zeiser 2012, p. 56.</w:t>
      </w:r>
    </w:p>
  </w:footnote>
  <w:footnote w:id="192">
    <w:p w14:paraId="0FA316EC" w14:textId="77777777" w:rsidR="00DA1440" w:rsidRPr="00F608F6" w:rsidRDefault="00DA1440" w:rsidP="00DA1440">
      <w:pPr>
        <w:pStyle w:val="Voetnoottekst"/>
        <w:jc w:val="both"/>
      </w:pPr>
      <w:r>
        <w:rPr>
          <w:rStyle w:val="Voetnootmarkering"/>
        </w:rPr>
        <w:footnoteRef/>
      </w:r>
      <w:r w:rsidRPr="00F608F6">
        <w:t xml:space="preserve"> Lascoumes &amp; Audren 2009, p. 119 e.v.</w:t>
      </w:r>
    </w:p>
  </w:footnote>
  <w:footnote w:id="193">
    <w:p w14:paraId="7EB31F8A" w14:textId="77777777" w:rsidR="00DA1440" w:rsidRDefault="00DA1440" w:rsidP="00DA1440">
      <w:pPr>
        <w:pStyle w:val="Voetnoottekst"/>
      </w:pPr>
      <w:r>
        <w:rPr>
          <w:rStyle w:val="Voetnootmarkering"/>
        </w:rPr>
        <w:footnoteRef/>
      </w:r>
      <w:r>
        <w:t xml:space="preserve"> </w:t>
      </w:r>
      <w:r w:rsidRPr="000C1D08">
        <w:t>Hoewel Grévy voorheen bekend stond als een slachtoffer van zijn schoonzoon, is in recenter onderzoek duidelijk geworden dat Grévy handelde op overeenkomstige wijze als zijn schoonzoon</w:t>
      </w:r>
      <w:r>
        <w:t xml:space="preserve">. </w:t>
      </w:r>
      <w:r w:rsidRPr="00784B59">
        <w:t xml:space="preserve">Zie </w:t>
      </w:r>
      <w:r>
        <w:t>Mollier 1991, p. 248 – 252.</w:t>
      </w:r>
    </w:p>
  </w:footnote>
  <w:footnote w:id="194">
    <w:p w14:paraId="38CE0019" w14:textId="77777777" w:rsidR="00DA1440" w:rsidRPr="005E42E1" w:rsidRDefault="00DA1440" w:rsidP="00DA1440">
      <w:pPr>
        <w:pStyle w:val="Voetnoottekst"/>
        <w:jc w:val="both"/>
      </w:pPr>
      <w:r>
        <w:rPr>
          <w:rStyle w:val="Voetnootmarkering"/>
        </w:rPr>
        <w:footnoteRef/>
      </w:r>
      <w:r w:rsidRPr="005E42E1">
        <w:t xml:space="preserve"> Lascoumes &amp; Audren 2009, p. 120 e.v.</w:t>
      </w:r>
    </w:p>
  </w:footnote>
  <w:footnote w:id="195">
    <w:p w14:paraId="51E68870" w14:textId="77777777" w:rsidR="00DA1440" w:rsidRPr="00F608F6" w:rsidRDefault="00DA1440" w:rsidP="00DA1440">
      <w:pPr>
        <w:pStyle w:val="Voetnoottekst"/>
        <w:rPr>
          <w:lang w:val="en-GB"/>
        </w:rPr>
      </w:pPr>
      <w:r>
        <w:rPr>
          <w:rStyle w:val="Voetnootmarkering"/>
        </w:rPr>
        <w:footnoteRef/>
      </w:r>
      <w:r>
        <w:t xml:space="preserve"> Uiteindelijk werd Caffarel ook ontslagen. </w:t>
      </w:r>
      <w:r w:rsidRPr="00F608F6">
        <w:rPr>
          <w:lang w:val="en-GB"/>
        </w:rPr>
        <w:t xml:space="preserve">Lascoumes &amp; Audren 2009, p. 120 e.v. </w:t>
      </w:r>
    </w:p>
  </w:footnote>
  <w:footnote w:id="196">
    <w:p w14:paraId="140D03DC" w14:textId="77777777" w:rsidR="00DA1440" w:rsidRPr="00670D4B" w:rsidRDefault="00DA1440" w:rsidP="00DA1440">
      <w:pPr>
        <w:pStyle w:val="Voetnoottekst"/>
        <w:jc w:val="both"/>
        <w:rPr>
          <w:lang w:val="en-GB"/>
        </w:rPr>
      </w:pPr>
      <w:r>
        <w:rPr>
          <w:rStyle w:val="Voetnootmarkering"/>
        </w:rPr>
        <w:footnoteRef/>
      </w:r>
      <w:r w:rsidRPr="00670D4B">
        <w:rPr>
          <w:lang w:val="en-GB"/>
        </w:rPr>
        <w:t xml:space="preserve"> </w:t>
      </w:r>
      <w:r w:rsidRPr="00C77A06">
        <w:rPr>
          <w:lang w:val="en-GB"/>
        </w:rPr>
        <w:t xml:space="preserve">Lascoumes &amp; Audren 2009, p. 120 e.v. </w:t>
      </w:r>
    </w:p>
  </w:footnote>
  <w:footnote w:id="197">
    <w:p w14:paraId="5259DA39" w14:textId="77777777" w:rsidR="00DA1440" w:rsidRPr="00670D4B" w:rsidRDefault="00DA1440" w:rsidP="00DA1440">
      <w:pPr>
        <w:pStyle w:val="Voetnoottekst"/>
        <w:jc w:val="both"/>
        <w:rPr>
          <w:lang w:val="en-GB"/>
        </w:rPr>
      </w:pPr>
      <w:r>
        <w:rPr>
          <w:rStyle w:val="Voetnootmarkering"/>
        </w:rPr>
        <w:footnoteRef/>
      </w:r>
      <w:r w:rsidRPr="00670D4B">
        <w:rPr>
          <w:lang w:val="en-GB"/>
        </w:rPr>
        <w:t xml:space="preserve"> </w:t>
      </w:r>
      <w:r w:rsidRPr="00C77A06">
        <w:rPr>
          <w:lang w:val="en-GB"/>
        </w:rPr>
        <w:t>Lascoumes &amp; Audren 2009</w:t>
      </w:r>
      <w:r w:rsidRPr="00173052">
        <w:rPr>
          <w:lang w:val="en-GB"/>
        </w:rPr>
        <w:t>, p. 1</w:t>
      </w:r>
      <w:r>
        <w:rPr>
          <w:lang w:val="en-GB"/>
        </w:rPr>
        <w:t>20 e.v.</w:t>
      </w:r>
    </w:p>
  </w:footnote>
  <w:footnote w:id="198">
    <w:p w14:paraId="5C15AB99" w14:textId="77777777" w:rsidR="00DA1440" w:rsidRPr="00670D4B" w:rsidRDefault="00DA1440" w:rsidP="00DA1440">
      <w:pPr>
        <w:pStyle w:val="Voetnoottekst"/>
        <w:jc w:val="both"/>
        <w:rPr>
          <w:lang w:val="en-GB"/>
        </w:rPr>
      </w:pPr>
      <w:r>
        <w:rPr>
          <w:rStyle w:val="Voetnootmarkering"/>
        </w:rPr>
        <w:footnoteRef/>
      </w:r>
      <w:r w:rsidRPr="00670D4B">
        <w:rPr>
          <w:lang w:val="en-GB"/>
        </w:rPr>
        <w:t xml:space="preserve"> Zeiser 2012, p. 68 e.v.</w:t>
      </w:r>
    </w:p>
  </w:footnote>
  <w:footnote w:id="199">
    <w:p w14:paraId="46650631" w14:textId="77777777" w:rsidR="00DA1440" w:rsidRPr="008B7BE4" w:rsidRDefault="00DA1440" w:rsidP="00DA1440">
      <w:pPr>
        <w:pStyle w:val="Voetnoottekst"/>
        <w:jc w:val="both"/>
        <w:rPr>
          <w:lang w:val="en-GB"/>
        </w:rPr>
      </w:pPr>
      <w:r>
        <w:rPr>
          <w:rStyle w:val="Voetnootmarkering"/>
        </w:rPr>
        <w:footnoteRef/>
      </w:r>
      <w:r w:rsidRPr="008B7BE4">
        <w:rPr>
          <w:lang w:val="en-GB"/>
        </w:rPr>
        <w:t xml:space="preserve"> </w:t>
      </w:r>
      <w:r>
        <w:rPr>
          <w:i/>
          <w:iCs/>
          <w:lang w:val="en-GB"/>
        </w:rPr>
        <w:t>Tenth General Activity Report of GRECO</w:t>
      </w:r>
      <w:r>
        <w:rPr>
          <w:lang w:val="en-GB"/>
        </w:rPr>
        <w:t xml:space="preserve"> </w:t>
      </w:r>
      <w:r>
        <w:rPr>
          <w:i/>
          <w:iCs/>
          <w:lang w:val="en-GB"/>
        </w:rPr>
        <w:t>(2009)</w:t>
      </w:r>
      <w:r>
        <w:rPr>
          <w:lang w:val="en-GB"/>
        </w:rPr>
        <w:t xml:space="preserve"> 2010, p. 17.</w:t>
      </w:r>
    </w:p>
  </w:footnote>
  <w:footnote w:id="200">
    <w:p w14:paraId="2CAB5813" w14:textId="77777777" w:rsidR="00DA1440" w:rsidRPr="00EC72D1" w:rsidRDefault="00DA1440" w:rsidP="00DA1440">
      <w:pPr>
        <w:pStyle w:val="Voetnoottekst"/>
        <w:jc w:val="both"/>
        <w:rPr>
          <w:lang w:val="en-GB"/>
        </w:rPr>
      </w:pPr>
      <w:r>
        <w:rPr>
          <w:rStyle w:val="Voetnootmarkering"/>
        </w:rPr>
        <w:footnoteRef/>
      </w:r>
      <w:r w:rsidRPr="00EC72D1">
        <w:rPr>
          <w:lang w:val="en-GB"/>
        </w:rPr>
        <w:t xml:space="preserve"> </w:t>
      </w:r>
      <w:r>
        <w:rPr>
          <w:lang w:val="en-GB"/>
        </w:rPr>
        <w:t>Sirugue e.a. 2013, p. 3.</w:t>
      </w:r>
    </w:p>
  </w:footnote>
  <w:footnote w:id="201">
    <w:p w14:paraId="445E9550" w14:textId="77777777" w:rsidR="00DA1440" w:rsidRPr="00284278" w:rsidRDefault="00DA1440" w:rsidP="00DA1440">
      <w:pPr>
        <w:pStyle w:val="Voetnoottekst"/>
        <w:jc w:val="both"/>
        <w:rPr>
          <w:lang w:val="en-GB"/>
        </w:rPr>
      </w:pPr>
      <w:r>
        <w:rPr>
          <w:rStyle w:val="Voetnootmarkering"/>
        </w:rPr>
        <w:footnoteRef/>
      </w:r>
      <w:r w:rsidRPr="00370A9B">
        <w:rPr>
          <w:lang w:val="en-GB"/>
        </w:rPr>
        <w:t xml:space="preserve"> </w:t>
      </w:r>
      <w:r>
        <w:rPr>
          <w:lang w:val="en-GB"/>
        </w:rPr>
        <w:t>Segonds 2023, p. 2157 e.v.</w:t>
      </w:r>
    </w:p>
  </w:footnote>
  <w:footnote w:id="202">
    <w:p w14:paraId="7B92F1AE" w14:textId="77777777" w:rsidR="00DA1440" w:rsidRPr="00284278" w:rsidRDefault="00DA1440" w:rsidP="00DA1440">
      <w:pPr>
        <w:pStyle w:val="Voetnoottekst"/>
        <w:jc w:val="both"/>
        <w:rPr>
          <w:lang w:val="en-GB"/>
        </w:rPr>
      </w:pPr>
      <w:r>
        <w:rPr>
          <w:rStyle w:val="Voetnootmarkering"/>
        </w:rPr>
        <w:footnoteRef/>
      </w:r>
      <w:r w:rsidRPr="00284278">
        <w:rPr>
          <w:lang w:val="en-GB"/>
        </w:rPr>
        <w:t xml:space="preserve"> </w:t>
      </w:r>
      <w:r>
        <w:rPr>
          <w:i/>
          <w:iCs/>
          <w:lang w:val="en-GB"/>
        </w:rPr>
        <w:t>Tenth General Activity Report of GRECO</w:t>
      </w:r>
      <w:r>
        <w:rPr>
          <w:lang w:val="en-GB"/>
        </w:rPr>
        <w:t xml:space="preserve"> </w:t>
      </w:r>
      <w:r>
        <w:rPr>
          <w:i/>
          <w:iCs/>
          <w:lang w:val="en-GB"/>
        </w:rPr>
        <w:t>(2009)</w:t>
      </w:r>
      <w:r>
        <w:rPr>
          <w:lang w:val="en-GB"/>
        </w:rPr>
        <w:t xml:space="preserve"> 2010, p. 17.</w:t>
      </w:r>
    </w:p>
  </w:footnote>
  <w:footnote w:id="203">
    <w:p w14:paraId="4F4E9553" w14:textId="77777777" w:rsidR="00DA1440" w:rsidRPr="0035357B" w:rsidRDefault="00DA1440" w:rsidP="00DA1440">
      <w:pPr>
        <w:pStyle w:val="Voetnoottekst"/>
        <w:jc w:val="both"/>
        <w:rPr>
          <w:lang w:val="en-GB"/>
        </w:rPr>
      </w:pPr>
      <w:r>
        <w:rPr>
          <w:rStyle w:val="Voetnootmarkering"/>
        </w:rPr>
        <w:footnoteRef/>
      </w:r>
      <w:r w:rsidRPr="0035357B">
        <w:rPr>
          <w:lang w:val="en-GB"/>
        </w:rPr>
        <w:t xml:space="preserve"> </w:t>
      </w:r>
      <w:r>
        <w:rPr>
          <w:lang w:val="en-GB"/>
        </w:rPr>
        <w:t>Segonds 2023, p. 2157 e.v.</w:t>
      </w:r>
    </w:p>
  </w:footnote>
  <w:footnote w:id="204">
    <w:p w14:paraId="14C36766" w14:textId="77777777" w:rsidR="00DA1440" w:rsidRPr="005E42E1" w:rsidRDefault="00DA1440" w:rsidP="00DA1440">
      <w:pPr>
        <w:pStyle w:val="Voetnoottekst"/>
        <w:jc w:val="both"/>
        <w:rPr>
          <w:lang w:val="en-GB"/>
        </w:rPr>
      </w:pPr>
      <w:r>
        <w:rPr>
          <w:rStyle w:val="Voetnootmarkering"/>
        </w:rPr>
        <w:footnoteRef/>
      </w:r>
      <w:r w:rsidRPr="005E42E1">
        <w:rPr>
          <w:lang w:val="en-GB"/>
        </w:rPr>
        <w:t xml:space="preserve"> Nadal 2015, p. 63 e.v.</w:t>
      </w:r>
    </w:p>
  </w:footnote>
  <w:footnote w:id="205">
    <w:p w14:paraId="27626A28" w14:textId="77777777" w:rsidR="00DA1440" w:rsidRPr="005E42E1" w:rsidRDefault="00DA1440" w:rsidP="00DA1440">
      <w:pPr>
        <w:pStyle w:val="Voetnoottekst"/>
        <w:jc w:val="both"/>
        <w:rPr>
          <w:lang w:val="en-GB"/>
        </w:rPr>
      </w:pPr>
      <w:r>
        <w:rPr>
          <w:rStyle w:val="Voetnootmarkering"/>
        </w:rPr>
        <w:footnoteRef/>
      </w:r>
      <w:r w:rsidRPr="005E42E1">
        <w:rPr>
          <w:lang w:val="en-GB"/>
        </w:rPr>
        <w:t xml:space="preserve"> Zie o.a. Cleiren 2012, p. 10 e.v.</w:t>
      </w:r>
    </w:p>
  </w:footnote>
  <w:footnote w:id="206">
    <w:p w14:paraId="058F398E" w14:textId="77777777" w:rsidR="00DA1440" w:rsidRPr="00F608F6" w:rsidRDefault="00DA1440" w:rsidP="00DA1440">
      <w:pPr>
        <w:pStyle w:val="Voetnoottekst"/>
        <w:jc w:val="both"/>
        <w:rPr>
          <w:lang w:val="en-GB"/>
        </w:rPr>
      </w:pPr>
      <w:r>
        <w:rPr>
          <w:rStyle w:val="Voetnootmarkering"/>
        </w:rPr>
        <w:footnoteRef/>
      </w:r>
      <w:r w:rsidRPr="00F608F6">
        <w:rPr>
          <w:lang w:val="en-GB"/>
        </w:rPr>
        <w:t xml:space="preserve"> </w:t>
      </w:r>
      <w:r>
        <w:rPr>
          <w:i/>
          <w:iCs/>
          <w:lang w:val="en-GB"/>
        </w:rPr>
        <w:t>Tenth General Activity Report of GRECO</w:t>
      </w:r>
      <w:r>
        <w:rPr>
          <w:lang w:val="en-GB"/>
        </w:rPr>
        <w:t xml:space="preserve"> </w:t>
      </w:r>
      <w:r>
        <w:rPr>
          <w:i/>
          <w:iCs/>
          <w:lang w:val="en-GB"/>
        </w:rPr>
        <w:t>(2009)</w:t>
      </w:r>
      <w:r>
        <w:rPr>
          <w:lang w:val="en-GB"/>
        </w:rPr>
        <w:t xml:space="preserve"> 2010, p. 16 e</w:t>
      </w:r>
      <w:r w:rsidRPr="00F608F6">
        <w:rPr>
          <w:lang w:val="en-GB"/>
        </w:rPr>
        <w:t>.v.</w:t>
      </w:r>
    </w:p>
  </w:footnote>
  <w:footnote w:id="207">
    <w:p w14:paraId="629FB8D4" w14:textId="77777777" w:rsidR="00DA1440" w:rsidRPr="005E42E1" w:rsidRDefault="00DA1440" w:rsidP="00DA1440">
      <w:pPr>
        <w:pStyle w:val="Voetnoottekst"/>
        <w:jc w:val="both"/>
      </w:pPr>
      <w:r>
        <w:rPr>
          <w:rStyle w:val="Voetnootmarkering"/>
        </w:rPr>
        <w:footnoteRef/>
      </w:r>
      <w:r w:rsidRPr="005E42E1">
        <w:t xml:space="preserve"> Cleiren 2012, p. 5.</w:t>
      </w:r>
    </w:p>
  </w:footnote>
  <w:footnote w:id="208">
    <w:p w14:paraId="2482785B" w14:textId="77777777" w:rsidR="00DA1440" w:rsidRPr="00CF1EA8" w:rsidRDefault="00DA1440" w:rsidP="00DA1440">
      <w:pPr>
        <w:pStyle w:val="Voetnoottekst"/>
        <w:jc w:val="both"/>
      </w:pPr>
      <w:r>
        <w:rPr>
          <w:rStyle w:val="Voetnootmarkering"/>
        </w:rPr>
        <w:footnoteRef/>
      </w:r>
      <w:r>
        <w:t xml:space="preserve"> Fraussen &amp; Braun 2018; zie ook </w:t>
      </w:r>
      <w:r w:rsidRPr="003B5CDA">
        <w:t xml:space="preserve">Raat </w:t>
      </w:r>
      <w:r w:rsidRPr="004F7C95">
        <w:t>2016</w:t>
      </w:r>
      <w:r>
        <w:t xml:space="preserve">; </w:t>
      </w:r>
      <w:r w:rsidRPr="00E9051B">
        <w:rPr>
          <w:i/>
          <w:iCs/>
        </w:rPr>
        <w:t>Kamerstukken II</w:t>
      </w:r>
      <w:r>
        <w:t xml:space="preserve"> 2015/16, 34 376, nr. 2, p. 1 en 3; Eijlander 2017.</w:t>
      </w:r>
    </w:p>
  </w:footnote>
  <w:footnote w:id="209">
    <w:p w14:paraId="3C4FFEA5" w14:textId="77777777" w:rsidR="00DA1440" w:rsidRPr="00BA04FB" w:rsidRDefault="00DA1440" w:rsidP="00DA1440">
      <w:pPr>
        <w:pStyle w:val="Voetnoottekst"/>
        <w:jc w:val="both"/>
        <w:rPr>
          <w:lang w:val="en-GB"/>
        </w:rPr>
      </w:pPr>
      <w:r>
        <w:rPr>
          <w:rStyle w:val="Voetnootmarkering"/>
        </w:rPr>
        <w:footnoteRef/>
      </w:r>
      <w:r w:rsidRPr="00F608F6">
        <w:rPr>
          <w:lang w:val="en-GB"/>
        </w:rPr>
        <w:t xml:space="preserve"> </w:t>
      </w:r>
      <w:r>
        <w:rPr>
          <w:lang w:val="en-GB"/>
        </w:rPr>
        <w:t>Sirugue e.a. 2013, p. 2 e.v.</w:t>
      </w:r>
    </w:p>
  </w:footnote>
  <w:footnote w:id="210">
    <w:p w14:paraId="63E8D3A2" w14:textId="77777777" w:rsidR="00DA1440" w:rsidRPr="00F608F6" w:rsidRDefault="00DA1440" w:rsidP="00DA1440">
      <w:pPr>
        <w:pStyle w:val="Voetnoottekst"/>
        <w:jc w:val="both"/>
      </w:pPr>
      <w:r>
        <w:rPr>
          <w:rStyle w:val="Voetnootmarkering"/>
        </w:rPr>
        <w:footnoteRef/>
      </w:r>
      <w:r w:rsidRPr="00F608F6">
        <w:t xml:space="preserve"> Nederland: Smidt III, p. 68; Frankrijk: Lascoumes &amp; Audren 2009, p. 120 e.v.</w:t>
      </w:r>
    </w:p>
  </w:footnote>
  <w:footnote w:id="211">
    <w:p w14:paraId="760BE9EE" w14:textId="77777777" w:rsidR="00DA1440" w:rsidRDefault="00DA1440" w:rsidP="00DA1440">
      <w:pPr>
        <w:pStyle w:val="Voetnoottekst"/>
        <w:jc w:val="both"/>
      </w:pPr>
      <w:r>
        <w:rPr>
          <w:rStyle w:val="Voetnootmarkering"/>
        </w:rPr>
        <w:footnoteRef/>
      </w:r>
      <w:r>
        <w:t xml:space="preserve"> </w:t>
      </w:r>
      <w:r>
        <w:rPr>
          <w:i/>
          <w:iCs/>
        </w:rPr>
        <w:t xml:space="preserve">Aanhangsel Handelingen II </w:t>
      </w:r>
      <w:r>
        <w:t>2024/25, nr. 1472 p. 1 e.v.</w:t>
      </w:r>
    </w:p>
  </w:footnote>
  <w:footnote w:id="212">
    <w:p w14:paraId="421A47DF" w14:textId="77777777" w:rsidR="00DA1440" w:rsidRDefault="00DA1440" w:rsidP="00DA1440">
      <w:pPr>
        <w:pStyle w:val="Voetnoottekst"/>
        <w:jc w:val="both"/>
      </w:pPr>
      <w:r>
        <w:rPr>
          <w:rStyle w:val="Voetnootmarkering"/>
        </w:rPr>
        <w:footnoteRef/>
      </w:r>
      <w:r>
        <w:t xml:space="preserve"> </w:t>
      </w:r>
      <w:r>
        <w:rPr>
          <w:i/>
          <w:iCs/>
        </w:rPr>
        <w:t>Kamerstukken II</w:t>
      </w:r>
      <w:r>
        <w:t>, 2022/23, 22 112, nr. 3717, p. 9.</w:t>
      </w:r>
    </w:p>
  </w:footnote>
  <w:footnote w:id="213">
    <w:p w14:paraId="05440BF5" w14:textId="77777777" w:rsidR="00DA1440" w:rsidRPr="00F608F6" w:rsidRDefault="00DA1440" w:rsidP="00DA1440">
      <w:pPr>
        <w:pStyle w:val="Voetnoottekst"/>
        <w:jc w:val="both"/>
      </w:pPr>
      <w:r>
        <w:rPr>
          <w:rStyle w:val="Voetnootmarkering"/>
        </w:rPr>
        <w:footnoteRef/>
      </w:r>
      <w:r w:rsidRPr="00F608F6">
        <w:t xml:space="preserve"> Lascoumes &amp; Audren 2009, p. 120 e.v.</w:t>
      </w:r>
    </w:p>
  </w:footnote>
  <w:footnote w:id="214">
    <w:p w14:paraId="1E8B7698" w14:textId="77777777" w:rsidR="00DA1440" w:rsidRPr="00F608F6" w:rsidRDefault="00DA1440" w:rsidP="00DA1440">
      <w:pPr>
        <w:pStyle w:val="Voetnoottekst"/>
        <w:jc w:val="both"/>
      </w:pPr>
      <w:r>
        <w:rPr>
          <w:rStyle w:val="Voetnootmarkering"/>
        </w:rPr>
        <w:footnoteRef/>
      </w:r>
      <w:r w:rsidRPr="00F608F6">
        <w:t xml:space="preserve"> Segonds 2023, p. 2157 e.v.</w:t>
      </w:r>
    </w:p>
  </w:footnote>
  <w:footnote w:id="215">
    <w:p w14:paraId="67516EB9" w14:textId="77777777" w:rsidR="00DA1440" w:rsidRDefault="00DA1440" w:rsidP="00DA1440">
      <w:pPr>
        <w:pStyle w:val="Voetnoottekst"/>
      </w:pPr>
      <w:r>
        <w:rPr>
          <w:rStyle w:val="Voetnootmarkering"/>
        </w:rPr>
        <w:footnoteRef/>
      </w:r>
      <w:r>
        <w:t xml:space="preserve"> Deze gang van zaken is vergelijkbaar met die binnen de Europese Unie; zie hoofdstuk 4.3.</w:t>
      </w:r>
    </w:p>
  </w:footnote>
  <w:footnote w:id="216">
    <w:p w14:paraId="3A119051" w14:textId="77777777" w:rsidR="00DA1440" w:rsidRDefault="00DA1440" w:rsidP="00DA1440">
      <w:pPr>
        <w:pStyle w:val="Voetnoottekst"/>
        <w:jc w:val="both"/>
      </w:pPr>
      <w:r>
        <w:rPr>
          <w:rStyle w:val="Voetnootmarkering"/>
        </w:rPr>
        <w:footnoteRef/>
      </w:r>
      <w:r>
        <w:t xml:space="preserve"> </w:t>
      </w:r>
      <w:r>
        <w:rPr>
          <w:i/>
          <w:iCs/>
        </w:rPr>
        <w:t xml:space="preserve">Aanhangsel Handelingen II </w:t>
      </w:r>
      <w:r>
        <w:t>2024/25, nr. 1472, p. 2.</w:t>
      </w:r>
    </w:p>
  </w:footnote>
  <w:footnote w:id="217">
    <w:p w14:paraId="4EDA367C" w14:textId="77777777" w:rsidR="00DA1440" w:rsidRPr="007D359B" w:rsidRDefault="00DA1440" w:rsidP="00DA1440">
      <w:pPr>
        <w:pStyle w:val="Voetnoottekst"/>
        <w:jc w:val="both"/>
      </w:pPr>
      <w:r>
        <w:rPr>
          <w:rStyle w:val="Voetnootmarkering"/>
        </w:rPr>
        <w:footnoteRef/>
      </w:r>
      <w:r w:rsidRPr="007D359B">
        <w:t xml:space="preserve"> </w:t>
      </w:r>
      <w:r w:rsidRPr="00F608F6">
        <w:t>Nadal 2015, p. 63 e.v.</w:t>
      </w:r>
    </w:p>
  </w:footnote>
  <w:footnote w:id="218">
    <w:p w14:paraId="2FB0153C" w14:textId="77777777" w:rsidR="00DA1440" w:rsidRPr="00F608F6" w:rsidRDefault="00DA1440" w:rsidP="00DA1440">
      <w:pPr>
        <w:pStyle w:val="Voetnoottekst"/>
        <w:jc w:val="both"/>
        <w:rPr>
          <w:lang w:val="en-GB"/>
        </w:rPr>
      </w:pPr>
      <w:r>
        <w:rPr>
          <w:rStyle w:val="Voetnootmarkering"/>
        </w:rPr>
        <w:footnoteRef/>
      </w:r>
      <w:r w:rsidRPr="00E64E86">
        <w:t xml:space="preserve"> Zie ook het ad</w:t>
      </w:r>
      <w:r>
        <w:t xml:space="preserve">vies van GRECO aan Zweden om te overwegen handel in invloed strafbaar te stellen: </w:t>
      </w:r>
      <w:r>
        <w:rPr>
          <w:i/>
          <w:iCs/>
        </w:rPr>
        <w:t xml:space="preserve">Third Evaluation </w:t>
      </w:r>
      <w:r w:rsidRPr="00B71C06">
        <w:rPr>
          <w:i/>
          <w:iCs/>
        </w:rPr>
        <w:t xml:space="preserve">Round. </w:t>
      </w:r>
      <w:r w:rsidRPr="00F608F6">
        <w:rPr>
          <w:i/>
          <w:iCs/>
          <w:lang w:val="en-GB"/>
        </w:rPr>
        <w:t>Evaluation Report on Sweden on Incriminations (ETS 173 and 191, GPC 2)</w:t>
      </w:r>
      <w:r w:rsidRPr="00F608F6">
        <w:rPr>
          <w:lang w:val="en-GB"/>
        </w:rPr>
        <w:t xml:space="preserve"> 2009, p. 16. </w:t>
      </w:r>
      <w:r w:rsidRPr="005C10EF">
        <w:t>Opvallend is overigens dat het Zweedse voorbehoud bij art. 12 van het Corruptieverdrag van de Raad van Europa – dat ziet op handel in invloed – nog altijd van toepassing is. Hoewel de Zweedse wetgever bij het strafbaar stellen van handel in invloed duidelijk inspiratie heeft gevonden in artikel 12, is zij kennelijk van oordeel dat daaraan met art. 5d BrB geen (volledige) uitvoering is gegeven</w:t>
      </w:r>
      <w:r>
        <w:t xml:space="preserve">. Zie </w:t>
      </w:r>
      <w:r>
        <w:rPr>
          <w:i/>
          <w:iCs/>
        </w:rPr>
        <w:t xml:space="preserve">Statens offentliga utredningar </w:t>
      </w:r>
      <w:r>
        <w:t xml:space="preserve">(voortaan: </w:t>
      </w:r>
      <w:r>
        <w:rPr>
          <w:i/>
          <w:iCs/>
        </w:rPr>
        <w:t>SOU</w:t>
      </w:r>
      <w:r>
        <w:t xml:space="preserve">) </w:t>
      </w:r>
      <w:r w:rsidRPr="005E189D">
        <w:t>2025:87, p. 217</w:t>
      </w:r>
      <w:r>
        <w:t xml:space="preserve">. Zweedse parlementaire stukken zijn te vinden op regeringen.se. De meest recente vernieuwing van het voorbehoud is ingegaan op 1 oktober 2025. </w:t>
      </w:r>
      <w:r w:rsidRPr="00F608F6">
        <w:rPr>
          <w:lang w:val="en-GB"/>
        </w:rPr>
        <w:t xml:space="preserve">Zie </w:t>
      </w:r>
      <w:r>
        <w:rPr>
          <w:lang w:val="en-GB"/>
        </w:rPr>
        <w:t>‘Reservations and Declarations for Treaty No. 173 – Criminal Law Convention on Corruption (ETS No. 173)’, coe.int.</w:t>
      </w:r>
    </w:p>
  </w:footnote>
  <w:footnote w:id="219">
    <w:p w14:paraId="112B7079" w14:textId="77777777" w:rsidR="00DA1440" w:rsidRPr="00F608F6" w:rsidRDefault="00DA1440" w:rsidP="00DA1440">
      <w:pPr>
        <w:pStyle w:val="Voetnoottekst"/>
        <w:jc w:val="both"/>
        <w:rPr>
          <w:lang w:val="en-GB"/>
        </w:rPr>
      </w:pPr>
      <w:r>
        <w:rPr>
          <w:rStyle w:val="Voetnootmarkering"/>
        </w:rPr>
        <w:footnoteRef/>
      </w:r>
      <w:r w:rsidRPr="00F608F6">
        <w:rPr>
          <w:lang w:val="en-GB"/>
        </w:rPr>
        <w:t xml:space="preserve"> </w:t>
      </w:r>
      <w:r w:rsidRPr="00F608F6">
        <w:rPr>
          <w:i/>
          <w:iCs/>
          <w:lang w:val="en-GB"/>
        </w:rPr>
        <w:t>Regeringens proposition</w:t>
      </w:r>
      <w:r w:rsidRPr="00F608F6">
        <w:rPr>
          <w:lang w:val="en-GB"/>
        </w:rPr>
        <w:t xml:space="preserve"> 2003/04:70, p. 31. </w:t>
      </w:r>
    </w:p>
  </w:footnote>
  <w:footnote w:id="220">
    <w:p w14:paraId="4A8684FC" w14:textId="77777777" w:rsidR="00DA1440" w:rsidRPr="004F1010" w:rsidRDefault="00DA1440" w:rsidP="00DA1440">
      <w:pPr>
        <w:pStyle w:val="Voetnoottekst"/>
        <w:jc w:val="both"/>
        <w:rPr>
          <w:lang w:val="en-GB"/>
        </w:rPr>
      </w:pPr>
      <w:r>
        <w:rPr>
          <w:rStyle w:val="Voetnootmarkering"/>
        </w:rPr>
        <w:footnoteRef/>
      </w:r>
      <w:r w:rsidRPr="004F1010">
        <w:rPr>
          <w:lang w:val="en-GB"/>
        </w:rPr>
        <w:t xml:space="preserve"> </w:t>
      </w:r>
      <w:r w:rsidRPr="00F608F6">
        <w:rPr>
          <w:i/>
          <w:iCs/>
          <w:lang w:val="en-GB"/>
        </w:rPr>
        <w:t>Regeringens proposition</w:t>
      </w:r>
      <w:r w:rsidRPr="00F608F6">
        <w:rPr>
          <w:lang w:val="en-GB"/>
        </w:rPr>
        <w:t xml:space="preserve"> </w:t>
      </w:r>
      <w:r w:rsidRPr="004F1010">
        <w:rPr>
          <w:lang w:val="en-GB"/>
        </w:rPr>
        <w:t>2011/12:79, p. 33.</w:t>
      </w:r>
    </w:p>
  </w:footnote>
  <w:footnote w:id="221">
    <w:p w14:paraId="25A885C6" w14:textId="77777777" w:rsidR="00DA1440" w:rsidRPr="00B30EA3" w:rsidRDefault="00DA1440" w:rsidP="00DA1440">
      <w:pPr>
        <w:pStyle w:val="Voetnoottekst"/>
        <w:jc w:val="both"/>
        <w:rPr>
          <w:lang w:val="en-GB"/>
        </w:rPr>
      </w:pPr>
      <w:r>
        <w:rPr>
          <w:rStyle w:val="Voetnootmarkering"/>
        </w:rPr>
        <w:footnoteRef/>
      </w:r>
      <w:r w:rsidRPr="00B30EA3">
        <w:rPr>
          <w:lang w:val="en-GB"/>
        </w:rPr>
        <w:t xml:space="preserve"> </w:t>
      </w:r>
      <w:r w:rsidRPr="00F608F6">
        <w:rPr>
          <w:i/>
          <w:iCs/>
          <w:lang w:val="en-GB"/>
        </w:rPr>
        <w:t>Regeringens proposition</w:t>
      </w:r>
      <w:r w:rsidRPr="00F608F6">
        <w:rPr>
          <w:lang w:val="en-GB"/>
        </w:rPr>
        <w:t xml:space="preserve"> </w:t>
      </w:r>
      <w:r w:rsidRPr="00B30EA3">
        <w:rPr>
          <w:lang w:val="en-GB"/>
        </w:rPr>
        <w:t>2003/04:70</w:t>
      </w:r>
      <w:r>
        <w:rPr>
          <w:lang w:val="en-GB"/>
        </w:rPr>
        <w:t>,</w:t>
      </w:r>
      <w:r w:rsidRPr="00B30EA3">
        <w:rPr>
          <w:lang w:val="en-GB"/>
        </w:rPr>
        <w:t xml:space="preserve"> p. 32; </w:t>
      </w:r>
      <w:r w:rsidRPr="00F608F6">
        <w:rPr>
          <w:i/>
          <w:iCs/>
          <w:lang w:val="en-GB"/>
        </w:rPr>
        <w:t>Regeringens proposition</w:t>
      </w:r>
      <w:r w:rsidRPr="00F608F6">
        <w:rPr>
          <w:lang w:val="en-GB"/>
        </w:rPr>
        <w:t xml:space="preserve"> </w:t>
      </w:r>
      <w:r w:rsidRPr="00B30EA3">
        <w:rPr>
          <w:lang w:val="en-GB"/>
        </w:rPr>
        <w:t xml:space="preserve">2006/07:74 p. 25; </w:t>
      </w:r>
      <w:r w:rsidRPr="00F608F6">
        <w:rPr>
          <w:i/>
          <w:iCs/>
          <w:lang w:val="en-GB"/>
        </w:rPr>
        <w:t>SOU</w:t>
      </w:r>
      <w:r w:rsidRPr="00B30EA3">
        <w:rPr>
          <w:lang w:val="en-GB"/>
        </w:rPr>
        <w:t xml:space="preserve"> 2025:87, p. 14</w:t>
      </w:r>
      <w:r>
        <w:rPr>
          <w:lang w:val="en-GB"/>
        </w:rPr>
        <w:t>1.</w:t>
      </w:r>
    </w:p>
  </w:footnote>
  <w:footnote w:id="222">
    <w:p w14:paraId="4D20C8AF" w14:textId="77777777" w:rsidR="00DA1440" w:rsidRPr="00F608F6" w:rsidRDefault="00DA1440" w:rsidP="00DA1440">
      <w:pPr>
        <w:pStyle w:val="Voetnoottekst"/>
        <w:jc w:val="both"/>
        <w:rPr>
          <w:lang w:val="en-GB"/>
        </w:rPr>
      </w:pPr>
      <w:r>
        <w:rPr>
          <w:rStyle w:val="Voetnootmarkering"/>
        </w:rPr>
        <w:footnoteRef/>
      </w:r>
      <w:r w:rsidRPr="00F608F6">
        <w:rPr>
          <w:lang w:val="en-GB"/>
        </w:rPr>
        <w:t xml:space="preserve"> Hulsman 1972, p. 92; Haenen 2014, p. 123-124; De Roos 1987, p. 42-44.</w:t>
      </w:r>
    </w:p>
  </w:footnote>
  <w:footnote w:id="223">
    <w:p w14:paraId="7DBFAD8C" w14:textId="77777777" w:rsidR="00DA1440" w:rsidRDefault="00DA1440" w:rsidP="00DA1440">
      <w:pPr>
        <w:pStyle w:val="Voetnoottekst"/>
        <w:jc w:val="both"/>
      </w:pPr>
      <w:r>
        <w:rPr>
          <w:rStyle w:val="Voetnootmarkering"/>
        </w:rPr>
        <w:footnoteRef/>
      </w:r>
      <w:r>
        <w:t xml:space="preserve"> Hulsman 1972, p. 92.</w:t>
      </w:r>
    </w:p>
  </w:footnote>
  <w:footnote w:id="224">
    <w:p w14:paraId="3D71DB1B" w14:textId="77777777" w:rsidR="00DA1440" w:rsidRPr="000267E0" w:rsidRDefault="00DA1440" w:rsidP="00DA1440">
      <w:pPr>
        <w:pStyle w:val="Voetnoottekst"/>
        <w:jc w:val="both"/>
      </w:pPr>
      <w:r>
        <w:rPr>
          <w:rStyle w:val="Voetnootmarkering"/>
        </w:rPr>
        <w:footnoteRef/>
      </w:r>
      <w:r>
        <w:t xml:space="preserve"> Deze conclusie volgt uit een onderzoek dat op verzoek van de Zweedse wetgever was gedaan: </w:t>
      </w:r>
      <w:r w:rsidRPr="00F608F6">
        <w:rPr>
          <w:i/>
          <w:iCs/>
        </w:rPr>
        <w:t>Kommittédirektiv</w:t>
      </w:r>
      <w:r>
        <w:t xml:space="preserve"> 2009:15.</w:t>
      </w:r>
    </w:p>
  </w:footnote>
  <w:footnote w:id="225">
    <w:p w14:paraId="53EF6F67" w14:textId="77777777" w:rsidR="00DA1440" w:rsidRDefault="00DA1440" w:rsidP="00DA1440">
      <w:pPr>
        <w:pStyle w:val="Voetnoottekst"/>
        <w:jc w:val="both"/>
      </w:pPr>
      <w:r>
        <w:rPr>
          <w:rStyle w:val="Voetnootmarkering"/>
        </w:rPr>
        <w:footnoteRef/>
      </w:r>
      <w:r>
        <w:t xml:space="preserve"> </w:t>
      </w:r>
      <w:r w:rsidRPr="00C77A06">
        <w:rPr>
          <w:i/>
          <w:iCs/>
        </w:rPr>
        <w:t>Regeringens proposition</w:t>
      </w:r>
      <w:r w:rsidRPr="00A4224E">
        <w:t xml:space="preserve"> </w:t>
      </w:r>
      <w:r w:rsidRPr="00F608F6">
        <w:t>2011/12:79</w:t>
      </w:r>
      <w:r w:rsidRPr="00560BD9">
        <w:t>, p. 3</w:t>
      </w:r>
      <w:r>
        <w:t>2 en 33</w:t>
      </w:r>
      <w:r w:rsidRPr="00560BD9">
        <w:t>.</w:t>
      </w:r>
    </w:p>
  </w:footnote>
  <w:footnote w:id="226">
    <w:p w14:paraId="23919F08" w14:textId="77777777" w:rsidR="00DA1440" w:rsidRDefault="00DA1440" w:rsidP="00DA1440">
      <w:pPr>
        <w:pStyle w:val="Voetnoottekst"/>
        <w:jc w:val="both"/>
      </w:pPr>
      <w:r>
        <w:rPr>
          <w:rStyle w:val="Voetnootmarkering"/>
        </w:rPr>
        <w:footnoteRef/>
      </w:r>
      <w:r>
        <w:t xml:space="preserve"> Zie hoofdstuk 4.1.</w:t>
      </w:r>
    </w:p>
  </w:footnote>
  <w:footnote w:id="227">
    <w:p w14:paraId="248EBCDE" w14:textId="77777777" w:rsidR="00DA1440" w:rsidRPr="00F608F6" w:rsidRDefault="00DA1440" w:rsidP="00DA1440">
      <w:pPr>
        <w:pStyle w:val="Voetnoottekst"/>
        <w:jc w:val="both"/>
        <w:rPr>
          <w:lang w:val="en-GB"/>
        </w:rPr>
      </w:pPr>
      <w:r>
        <w:rPr>
          <w:rStyle w:val="Voetnootmarkering"/>
        </w:rPr>
        <w:footnoteRef/>
      </w:r>
      <w:r w:rsidRPr="00F608F6">
        <w:rPr>
          <w:lang w:val="en-GB"/>
        </w:rPr>
        <w:t xml:space="preserve"> </w:t>
      </w:r>
      <w:r w:rsidRPr="00F608F6">
        <w:rPr>
          <w:i/>
          <w:iCs/>
          <w:lang w:val="en-GB"/>
        </w:rPr>
        <w:t>SOU</w:t>
      </w:r>
      <w:r w:rsidRPr="00F608F6">
        <w:rPr>
          <w:lang w:val="en-GB"/>
        </w:rPr>
        <w:t xml:space="preserve"> 2025:87, p. 219.</w:t>
      </w:r>
    </w:p>
  </w:footnote>
  <w:footnote w:id="228">
    <w:p w14:paraId="12F044A7" w14:textId="77777777" w:rsidR="00DA1440" w:rsidRPr="00F608F6" w:rsidRDefault="00DA1440" w:rsidP="00DA1440">
      <w:pPr>
        <w:pStyle w:val="Voetnoottekst"/>
        <w:jc w:val="both"/>
        <w:rPr>
          <w:lang w:val="en-GB"/>
        </w:rPr>
      </w:pPr>
      <w:r>
        <w:rPr>
          <w:rStyle w:val="Voetnootmarkering"/>
        </w:rPr>
        <w:footnoteRef/>
      </w:r>
      <w:r w:rsidRPr="00F608F6">
        <w:rPr>
          <w:lang w:val="en-GB"/>
        </w:rPr>
        <w:t xml:space="preserve"> </w:t>
      </w:r>
      <w:r w:rsidRPr="00F608F6">
        <w:rPr>
          <w:i/>
          <w:iCs/>
          <w:lang w:val="en-GB"/>
        </w:rPr>
        <w:t>SOU</w:t>
      </w:r>
      <w:r w:rsidRPr="00F608F6">
        <w:rPr>
          <w:lang w:val="en-GB"/>
        </w:rPr>
        <w:t xml:space="preserve"> 2025:87, p. 218.</w:t>
      </w:r>
    </w:p>
  </w:footnote>
  <w:footnote w:id="229">
    <w:p w14:paraId="26867065" w14:textId="77777777" w:rsidR="00DA1440" w:rsidRPr="00F608F6" w:rsidRDefault="00DA1440" w:rsidP="00DA1440">
      <w:pPr>
        <w:pStyle w:val="Voetnoottekst"/>
        <w:jc w:val="both"/>
        <w:rPr>
          <w:lang w:val="en-GB"/>
        </w:rPr>
      </w:pPr>
      <w:r>
        <w:rPr>
          <w:rStyle w:val="Voetnootmarkering"/>
        </w:rPr>
        <w:footnoteRef/>
      </w:r>
      <w:r w:rsidRPr="00F608F6">
        <w:rPr>
          <w:lang w:val="en-GB"/>
        </w:rPr>
        <w:t xml:space="preserve"> </w:t>
      </w:r>
      <w:r w:rsidRPr="00F608F6">
        <w:rPr>
          <w:i/>
          <w:iCs/>
          <w:lang w:val="en-GB"/>
        </w:rPr>
        <w:t>SOU</w:t>
      </w:r>
      <w:r w:rsidRPr="00F608F6">
        <w:rPr>
          <w:lang w:val="en-GB"/>
        </w:rPr>
        <w:t xml:space="preserve"> 2025:87, p. 141.</w:t>
      </w:r>
    </w:p>
  </w:footnote>
  <w:footnote w:id="230">
    <w:p w14:paraId="0E928F3D" w14:textId="77777777" w:rsidR="00DA1440" w:rsidRDefault="00DA1440" w:rsidP="00DA1440">
      <w:pPr>
        <w:pStyle w:val="Voetnoottekst"/>
        <w:jc w:val="both"/>
      </w:pPr>
      <w:r>
        <w:rPr>
          <w:rStyle w:val="Voetnootmarkering"/>
        </w:rPr>
        <w:footnoteRef/>
      </w:r>
      <w:r>
        <w:t xml:space="preserve"> A</w:t>
      </w:r>
      <w:r w:rsidRPr="00C34859">
        <w:t>rtikelen 12, lid 2 regeringsformen en art. 20 lid 1 BrB</w:t>
      </w:r>
      <w:r>
        <w:t>.</w:t>
      </w:r>
    </w:p>
  </w:footnote>
  <w:footnote w:id="231">
    <w:p w14:paraId="278DC1A5" w14:textId="77777777" w:rsidR="00DA1440" w:rsidRPr="00066659" w:rsidRDefault="00DA1440" w:rsidP="00DA1440">
      <w:pPr>
        <w:pStyle w:val="Voetnoottekst"/>
        <w:jc w:val="both"/>
      </w:pPr>
      <w:r>
        <w:rPr>
          <w:rStyle w:val="Voetnootmarkering"/>
        </w:rPr>
        <w:footnoteRef/>
      </w:r>
      <w:r>
        <w:t xml:space="preserve"> </w:t>
      </w:r>
      <w:r w:rsidRPr="00F608F6">
        <w:rPr>
          <w:i/>
          <w:iCs/>
        </w:rPr>
        <w:t>Regeringens proposition</w:t>
      </w:r>
      <w:r w:rsidRPr="00F608F6">
        <w:t xml:space="preserve"> 2011/12:79</w:t>
      </w:r>
      <w:r w:rsidRPr="00066659">
        <w:t>, p. 48.</w:t>
      </w:r>
    </w:p>
  </w:footnote>
  <w:footnote w:id="232">
    <w:p w14:paraId="044AB069" w14:textId="77777777" w:rsidR="00DA1440" w:rsidRPr="00C95419" w:rsidRDefault="00DA1440" w:rsidP="00DA1440">
      <w:pPr>
        <w:pStyle w:val="Voetnoottekst"/>
        <w:jc w:val="both"/>
      </w:pPr>
      <w:r>
        <w:rPr>
          <w:rStyle w:val="Voetnootmarkering"/>
        </w:rPr>
        <w:footnoteRef/>
      </w:r>
      <w:r>
        <w:t xml:space="preserve"> </w:t>
      </w:r>
      <w:r w:rsidRPr="00F608F6">
        <w:rPr>
          <w:i/>
          <w:iCs/>
        </w:rPr>
        <w:t>SOU</w:t>
      </w:r>
      <w:r>
        <w:t xml:space="preserve"> 2025:87, p. 141; </w:t>
      </w:r>
      <w:r w:rsidRPr="00C77A06">
        <w:rPr>
          <w:i/>
          <w:iCs/>
        </w:rPr>
        <w:t>Regeringens proposition</w:t>
      </w:r>
      <w:r w:rsidRPr="00A4224E">
        <w:t xml:space="preserve"> </w:t>
      </w:r>
      <w:r w:rsidRPr="00F608F6">
        <w:t>2011/12:79</w:t>
      </w:r>
      <w:r>
        <w:t>, p. 31.</w:t>
      </w:r>
    </w:p>
  </w:footnote>
  <w:footnote w:id="233">
    <w:p w14:paraId="405E5AFA" w14:textId="77777777" w:rsidR="00DA1440" w:rsidRPr="00F608F6" w:rsidRDefault="00DA1440" w:rsidP="00DA1440">
      <w:pPr>
        <w:pStyle w:val="Voetnoottekst"/>
        <w:jc w:val="both"/>
      </w:pPr>
      <w:r>
        <w:rPr>
          <w:rStyle w:val="Voetnootmarkering"/>
        </w:rPr>
        <w:footnoteRef/>
      </w:r>
      <w:r w:rsidRPr="00F608F6">
        <w:t xml:space="preserve"> </w:t>
      </w:r>
      <w:r w:rsidRPr="00C77A06">
        <w:rPr>
          <w:i/>
          <w:iCs/>
        </w:rPr>
        <w:t>Regeringens proposition</w:t>
      </w:r>
      <w:r w:rsidRPr="00A4224E">
        <w:t xml:space="preserve"> </w:t>
      </w:r>
      <w:r w:rsidRPr="00F608F6">
        <w:t>2011/12:79, p. 34.</w:t>
      </w:r>
    </w:p>
  </w:footnote>
  <w:footnote w:id="234">
    <w:p w14:paraId="7ED4F073" w14:textId="77777777" w:rsidR="00DA1440" w:rsidRPr="00F608F6" w:rsidRDefault="00DA1440" w:rsidP="00DA1440">
      <w:pPr>
        <w:pStyle w:val="Voetnoottekst"/>
        <w:jc w:val="both"/>
      </w:pPr>
      <w:r>
        <w:rPr>
          <w:rStyle w:val="Voetnootmarkering"/>
        </w:rPr>
        <w:footnoteRef/>
      </w:r>
      <w:r w:rsidRPr="00F608F6">
        <w:t xml:space="preserve"> </w:t>
      </w:r>
      <w:r w:rsidRPr="00C77A06">
        <w:rPr>
          <w:i/>
          <w:iCs/>
        </w:rPr>
        <w:t>Regeringens proposition</w:t>
      </w:r>
      <w:r w:rsidRPr="00A4224E">
        <w:t xml:space="preserve"> </w:t>
      </w:r>
      <w:r w:rsidRPr="00F608F6">
        <w:t>2011/12:79, p. 32.</w:t>
      </w:r>
    </w:p>
  </w:footnote>
  <w:footnote w:id="235">
    <w:p w14:paraId="4A195E7E" w14:textId="77777777" w:rsidR="00DA1440" w:rsidRPr="00F608F6" w:rsidRDefault="00DA1440" w:rsidP="00DA1440">
      <w:pPr>
        <w:pStyle w:val="Voetnoottekst"/>
        <w:jc w:val="both"/>
      </w:pPr>
      <w:r>
        <w:rPr>
          <w:rStyle w:val="Voetnootmarkering"/>
        </w:rPr>
        <w:footnoteRef/>
      </w:r>
      <w:r w:rsidRPr="00F608F6">
        <w:t xml:space="preserve"> </w:t>
      </w:r>
      <w:r w:rsidRPr="00F608F6">
        <w:rPr>
          <w:i/>
          <w:iCs/>
        </w:rPr>
        <w:t>SOU</w:t>
      </w:r>
      <w:r w:rsidRPr="00F608F6">
        <w:t xml:space="preserve"> 2025:87, p. 142.</w:t>
      </w:r>
    </w:p>
  </w:footnote>
  <w:footnote w:id="236">
    <w:p w14:paraId="4A4AE535" w14:textId="77777777" w:rsidR="00DA1440" w:rsidRPr="00F608F6" w:rsidRDefault="00DA1440" w:rsidP="00DA1440">
      <w:pPr>
        <w:pStyle w:val="Voetnoottekst"/>
        <w:jc w:val="both"/>
      </w:pPr>
      <w:r>
        <w:rPr>
          <w:rStyle w:val="Voetnootmarkering"/>
        </w:rPr>
        <w:footnoteRef/>
      </w:r>
      <w:r w:rsidRPr="00F608F6">
        <w:t xml:space="preserve"> </w:t>
      </w:r>
      <w:r w:rsidRPr="00C77A06">
        <w:rPr>
          <w:i/>
          <w:iCs/>
        </w:rPr>
        <w:t>Regeringens proposition</w:t>
      </w:r>
      <w:r w:rsidRPr="00A4224E">
        <w:t xml:space="preserve"> </w:t>
      </w:r>
      <w:r w:rsidRPr="00F608F6">
        <w:t xml:space="preserve">2011/12:79, p. 34; </w:t>
      </w:r>
      <w:r w:rsidRPr="00F608F6">
        <w:rPr>
          <w:i/>
          <w:iCs/>
        </w:rPr>
        <w:t>SOU</w:t>
      </w:r>
      <w:r w:rsidRPr="00F608F6">
        <w:t xml:space="preserve"> 2025:87, p. 219.</w:t>
      </w:r>
    </w:p>
  </w:footnote>
  <w:footnote w:id="237">
    <w:p w14:paraId="36480F80" w14:textId="77777777" w:rsidR="00DA1440" w:rsidRPr="00DA1440" w:rsidRDefault="00DA1440" w:rsidP="00DA1440">
      <w:pPr>
        <w:pStyle w:val="Voetnoottekst"/>
        <w:jc w:val="both"/>
      </w:pPr>
      <w:r>
        <w:rPr>
          <w:rStyle w:val="Voetnootmarkering"/>
        </w:rPr>
        <w:footnoteRef/>
      </w:r>
      <w:r w:rsidRPr="00DA1440">
        <w:t xml:space="preserve"> </w:t>
      </w:r>
      <w:r w:rsidRPr="00C77A06">
        <w:rPr>
          <w:i/>
          <w:iCs/>
        </w:rPr>
        <w:t>Regeringens proposition</w:t>
      </w:r>
      <w:r w:rsidRPr="00A4224E">
        <w:t xml:space="preserve"> </w:t>
      </w:r>
      <w:r w:rsidRPr="00DA1440">
        <w:t>2011/12:79, p. 34.</w:t>
      </w:r>
    </w:p>
  </w:footnote>
  <w:footnote w:id="238">
    <w:p w14:paraId="058774E6" w14:textId="77777777" w:rsidR="00DA1440" w:rsidRPr="00DA1440" w:rsidRDefault="00DA1440" w:rsidP="00DA1440">
      <w:pPr>
        <w:pStyle w:val="Voetnoottekst"/>
        <w:jc w:val="both"/>
      </w:pPr>
      <w:r>
        <w:rPr>
          <w:rStyle w:val="Voetnootmarkering"/>
        </w:rPr>
        <w:footnoteRef/>
      </w:r>
      <w:r w:rsidRPr="00DA1440">
        <w:t xml:space="preserve"> </w:t>
      </w:r>
      <w:r w:rsidRPr="00DA1440">
        <w:rPr>
          <w:i/>
          <w:iCs/>
        </w:rPr>
        <w:t>SOU</w:t>
      </w:r>
      <w:r w:rsidRPr="00DA1440">
        <w:t xml:space="preserve"> 2025:87, p. 223.</w:t>
      </w:r>
    </w:p>
  </w:footnote>
  <w:footnote w:id="239">
    <w:p w14:paraId="389C5566" w14:textId="77777777" w:rsidR="00DA1440" w:rsidRPr="00DA1440" w:rsidRDefault="00DA1440" w:rsidP="00DA1440">
      <w:pPr>
        <w:pStyle w:val="Voetnoottekst"/>
        <w:jc w:val="both"/>
      </w:pPr>
      <w:r>
        <w:rPr>
          <w:rStyle w:val="Voetnootmarkering"/>
        </w:rPr>
        <w:footnoteRef/>
      </w:r>
      <w:r w:rsidRPr="00DA1440">
        <w:t xml:space="preserve"> </w:t>
      </w:r>
      <w:r w:rsidRPr="00C77A06">
        <w:rPr>
          <w:i/>
          <w:iCs/>
        </w:rPr>
        <w:t>Regeringens proposition</w:t>
      </w:r>
      <w:r w:rsidRPr="00A4224E">
        <w:t xml:space="preserve"> </w:t>
      </w:r>
      <w:r w:rsidRPr="00DA1440">
        <w:t>2011/12:79, p. 43 e.v.</w:t>
      </w:r>
    </w:p>
  </w:footnote>
  <w:footnote w:id="240">
    <w:p w14:paraId="60850C95" w14:textId="77777777" w:rsidR="00DA1440" w:rsidRPr="00F608F6" w:rsidRDefault="00DA1440" w:rsidP="00DA1440">
      <w:pPr>
        <w:pStyle w:val="Voetnoottekst"/>
        <w:jc w:val="both"/>
      </w:pPr>
      <w:r>
        <w:rPr>
          <w:rStyle w:val="Voetnootmarkering"/>
        </w:rPr>
        <w:footnoteRef/>
      </w:r>
      <w:r w:rsidRPr="00F608F6">
        <w:t xml:space="preserve"> </w:t>
      </w:r>
      <w:r w:rsidRPr="00C77A06">
        <w:rPr>
          <w:i/>
          <w:iCs/>
        </w:rPr>
        <w:t>Regeringens proposition</w:t>
      </w:r>
      <w:r w:rsidRPr="00A4224E">
        <w:t xml:space="preserve"> </w:t>
      </w:r>
      <w:r w:rsidRPr="00F608F6">
        <w:t xml:space="preserve">2011/12:79, p. 48; </w:t>
      </w:r>
      <w:r w:rsidRPr="00F608F6">
        <w:rPr>
          <w:i/>
          <w:iCs/>
        </w:rPr>
        <w:t>SOU</w:t>
      </w:r>
      <w:r w:rsidRPr="00F608F6">
        <w:t xml:space="preserve"> 2025:87, p. 142.</w:t>
      </w:r>
    </w:p>
  </w:footnote>
  <w:footnote w:id="241">
    <w:p w14:paraId="6B40AADC" w14:textId="77777777" w:rsidR="00DA1440" w:rsidRDefault="00DA1440" w:rsidP="00DA1440">
      <w:pPr>
        <w:pStyle w:val="Voetnoottekst"/>
      </w:pPr>
      <w:r>
        <w:rPr>
          <w:rStyle w:val="Voetnootmarkering"/>
        </w:rPr>
        <w:footnoteRef/>
      </w:r>
      <w:r>
        <w:t xml:space="preserve"> Daarbij lijken de Zweedse drempels hoger dan die in Frankrijk. Zie voor de Franse drempels hoofdstuk 5.1.</w:t>
      </w:r>
    </w:p>
  </w:footnote>
  <w:footnote w:id="242">
    <w:p w14:paraId="2AE7A7FE" w14:textId="77777777" w:rsidR="00DA1440" w:rsidRPr="00F608F6" w:rsidRDefault="00DA1440" w:rsidP="00DA1440">
      <w:pPr>
        <w:pStyle w:val="Voetnoottekst"/>
        <w:jc w:val="both"/>
      </w:pPr>
      <w:r>
        <w:rPr>
          <w:rStyle w:val="Voetnootmarkering"/>
        </w:rPr>
        <w:footnoteRef/>
      </w:r>
      <w:r w:rsidRPr="00F608F6">
        <w:t xml:space="preserve"> </w:t>
      </w:r>
      <w:r w:rsidRPr="00F608F6">
        <w:rPr>
          <w:i/>
          <w:iCs/>
        </w:rPr>
        <w:t>SOU</w:t>
      </w:r>
      <w:r w:rsidRPr="00F608F6">
        <w:t xml:space="preserve"> 2025:87, p. 220. Kritisch in de literatuur zijn o.a. Holmquist &amp; Liljemark Ragnar 2024, p. 235.</w:t>
      </w:r>
    </w:p>
  </w:footnote>
  <w:footnote w:id="243">
    <w:p w14:paraId="14248EAC" w14:textId="77777777" w:rsidR="00DA1440" w:rsidRDefault="00DA1440" w:rsidP="00DA1440">
      <w:pPr>
        <w:pStyle w:val="Voetnoottekst"/>
        <w:jc w:val="both"/>
      </w:pPr>
      <w:r>
        <w:rPr>
          <w:rStyle w:val="Voetnootmarkering"/>
        </w:rPr>
        <w:footnoteRef/>
      </w:r>
      <w:r>
        <w:t xml:space="preserve"> De Roos 1987, p. 54 e.v.</w:t>
      </w:r>
    </w:p>
  </w:footnote>
  <w:footnote w:id="244">
    <w:p w14:paraId="59821654" w14:textId="77777777" w:rsidR="00DA1440" w:rsidRDefault="00DA1440" w:rsidP="00DA1440">
      <w:pPr>
        <w:pStyle w:val="Voetnoottekst"/>
        <w:jc w:val="both"/>
      </w:pPr>
      <w:r>
        <w:rPr>
          <w:rStyle w:val="Voetnootmarkering"/>
        </w:rPr>
        <w:footnoteRef/>
      </w:r>
      <w:r>
        <w:t xml:space="preserve"> </w:t>
      </w:r>
      <w:r w:rsidRPr="00F608F6">
        <w:rPr>
          <w:i/>
          <w:iCs/>
        </w:rPr>
        <w:t>SOU</w:t>
      </w:r>
      <w:r w:rsidRPr="00EA2F77">
        <w:t xml:space="preserve"> 2025:87, p. 220.</w:t>
      </w:r>
    </w:p>
  </w:footnote>
  <w:footnote w:id="245">
    <w:p w14:paraId="6E9F770B" w14:textId="77777777" w:rsidR="00DA1440" w:rsidRPr="00256A07" w:rsidRDefault="00DA1440" w:rsidP="00DA1440">
      <w:pPr>
        <w:pStyle w:val="Voetnoottekst"/>
        <w:jc w:val="both"/>
      </w:pPr>
      <w:r>
        <w:rPr>
          <w:rStyle w:val="Voetnootmarkering"/>
        </w:rPr>
        <w:footnoteRef/>
      </w:r>
      <w:r w:rsidRPr="00256A07">
        <w:t xml:space="preserve"> ‘Utredning lämnar lagförslag om straffrättsliga åtgärder mot korruption och tjänstefel’, regeringen.se</w:t>
      </w:r>
      <w:r>
        <w:t>,</w:t>
      </w:r>
      <w:r w:rsidRPr="00256A07">
        <w:t xml:space="preserve"> 25 juli 2025.</w:t>
      </w:r>
    </w:p>
  </w:footnote>
  <w:footnote w:id="246">
    <w:p w14:paraId="76A6DBBA" w14:textId="77777777" w:rsidR="00DA1440" w:rsidRPr="007D359B" w:rsidRDefault="00DA1440" w:rsidP="00DA1440">
      <w:pPr>
        <w:pStyle w:val="Voetnoottekst"/>
        <w:jc w:val="both"/>
        <w:rPr>
          <w:lang w:val="en-GB"/>
        </w:rPr>
      </w:pPr>
      <w:r>
        <w:rPr>
          <w:rStyle w:val="Voetnootmarkering"/>
        </w:rPr>
        <w:footnoteRef/>
      </w:r>
      <w:r w:rsidRPr="007D359B">
        <w:rPr>
          <w:lang w:val="en-GB"/>
        </w:rPr>
        <w:t xml:space="preserve"> </w:t>
      </w:r>
      <w:r w:rsidRPr="00F608F6">
        <w:rPr>
          <w:i/>
          <w:iCs/>
          <w:lang w:val="en-GB"/>
        </w:rPr>
        <w:t>SOU</w:t>
      </w:r>
      <w:r w:rsidRPr="007D359B">
        <w:rPr>
          <w:lang w:val="en-GB"/>
        </w:rPr>
        <w:t xml:space="preserve"> 2025:87, p. 220.</w:t>
      </w:r>
    </w:p>
  </w:footnote>
  <w:footnote w:id="247">
    <w:p w14:paraId="7A485CC9" w14:textId="77777777" w:rsidR="00DA1440" w:rsidRPr="00DA1440" w:rsidRDefault="00DA1440" w:rsidP="00DA1440">
      <w:pPr>
        <w:pStyle w:val="Voetnoottekst"/>
        <w:jc w:val="both"/>
        <w:rPr>
          <w:lang w:val="en-GB"/>
        </w:rPr>
      </w:pPr>
      <w:r>
        <w:rPr>
          <w:rStyle w:val="Voetnootmarkering"/>
        </w:rPr>
        <w:footnoteRef/>
      </w:r>
      <w:r w:rsidRPr="00DA1440">
        <w:rPr>
          <w:lang w:val="en-GB"/>
        </w:rPr>
        <w:t xml:space="preserve"> </w:t>
      </w:r>
      <w:r w:rsidRPr="00DA1440">
        <w:rPr>
          <w:i/>
          <w:iCs/>
          <w:lang w:val="en-GB"/>
        </w:rPr>
        <w:t>SOU</w:t>
      </w:r>
      <w:r w:rsidRPr="00DA1440">
        <w:rPr>
          <w:lang w:val="en-GB"/>
        </w:rPr>
        <w:t xml:space="preserve"> 2025:87, p. 221 e.v.</w:t>
      </w:r>
    </w:p>
  </w:footnote>
  <w:footnote w:id="248">
    <w:p w14:paraId="451C92B7" w14:textId="77777777" w:rsidR="00DA1440" w:rsidRPr="00087843" w:rsidRDefault="00DA1440" w:rsidP="00DA1440">
      <w:pPr>
        <w:pStyle w:val="Voetnoottekst"/>
        <w:jc w:val="both"/>
      </w:pPr>
      <w:r>
        <w:rPr>
          <w:rStyle w:val="Voetnootmarkering"/>
        </w:rPr>
        <w:footnoteRef/>
      </w:r>
      <w:r w:rsidRPr="002E407E">
        <w:t xml:space="preserve"> </w:t>
      </w:r>
      <w:r>
        <w:t>D</w:t>
      </w:r>
      <w:r w:rsidRPr="002E407E">
        <w:t xml:space="preserve">e Ruyver e.a. </w:t>
      </w:r>
      <w:r>
        <w:t>2009, p. 168; Huberts 1992, p. 3 e.v. Zie ook hoofdstuk 3.2.</w:t>
      </w:r>
    </w:p>
  </w:footnote>
  <w:footnote w:id="249">
    <w:p w14:paraId="74354E85" w14:textId="77777777" w:rsidR="00DA1440" w:rsidRPr="00DA1440" w:rsidRDefault="00DA1440" w:rsidP="00DA1440">
      <w:pPr>
        <w:pStyle w:val="Voetnoottekst"/>
        <w:rPr>
          <w:lang w:val="en-GB"/>
        </w:rPr>
      </w:pPr>
      <w:r>
        <w:rPr>
          <w:rStyle w:val="Voetnootmarkering"/>
        </w:rPr>
        <w:footnoteRef/>
      </w:r>
      <w:r w:rsidRPr="00DA1440">
        <w:rPr>
          <w:lang w:val="en-GB"/>
        </w:rPr>
        <w:t xml:space="preserve"> </w:t>
      </w:r>
      <w:r w:rsidRPr="00DA1440">
        <w:rPr>
          <w:i/>
          <w:iCs/>
          <w:lang w:val="en-GB"/>
        </w:rPr>
        <w:t>SOU</w:t>
      </w:r>
      <w:r w:rsidRPr="00DA1440">
        <w:rPr>
          <w:lang w:val="en-GB"/>
        </w:rPr>
        <w:t xml:space="preserve"> 2025:87, p. 222.</w:t>
      </w:r>
    </w:p>
  </w:footnote>
  <w:footnote w:id="250">
    <w:p w14:paraId="3C122E91" w14:textId="77777777" w:rsidR="00DA1440" w:rsidRPr="004F1010" w:rsidRDefault="00DA1440" w:rsidP="00DA1440">
      <w:pPr>
        <w:pStyle w:val="Voetnoottekst"/>
        <w:jc w:val="both"/>
        <w:rPr>
          <w:lang w:val="en-GB"/>
        </w:rPr>
      </w:pPr>
      <w:r>
        <w:rPr>
          <w:rStyle w:val="Voetnootmarkering"/>
        </w:rPr>
        <w:footnoteRef/>
      </w:r>
      <w:r w:rsidRPr="004F1010">
        <w:rPr>
          <w:lang w:val="en-GB"/>
        </w:rPr>
        <w:t xml:space="preserve"> </w:t>
      </w:r>
      <w:r w:rsidRPr="00F608F6">
        <w:rPr>
          <w:i/>
          <w:iCs/>
          <w:lang w:val="en-GB"/>
        </w:rPr>
        <w:t>SOU</w:t>
      </w:r>
      <w:r w:rsidRPr="004F1010">
        <w:rPr>
          <w:lang w:val="en-GB"/>
        </w:rPr>
        <w:t xml:space="preserve"> 2025:87, p. 222.</w:t>
      </w:r>
    </w:p>
  </w:footnote>
  <w:footnote w:id="251">
    <w:p w14:paraId="20913A08" w14:textId="77777777" w:rsidR="00DA1440" w:rsidRPr="0038491B" w:rsidRDefault="00DA1440" w:rsidP="00DA1440">
      <w:pPr>
        <w:pStyle w:val="Voetnoottekst"/>
        <w:jc w:val="both"/>
        <w:rPr>
          <w:lang w:val="en-GB"/>
        </w:rPr>
      </w:pPr>
      <w:r>
        <w:rPr>
          <w:rStyle w:val="Voetnootmarkering"/>
        </w:rPr>
        <w:footnoteRef/>
      </w:r>
      <w:r w:rsidRPr="0038491B">
        <w:rPr>
          <w:lang w:val="en-GB"/>
        </w:rPr>
        <w:t xml:space="preserve"> </w:t>
      </w:r>
      <w:r w:rsidRPr="00F608F6">
        <w:rPr>
          <w:i/>
          <w:iCs/>
          <w:lang w:val="en-GB"/>
        </w:rPr>
        <w:t>SOU</w:t>
      </w:r>
      <w:r w:rsidRPr="0038491B">
        <w:rPr>
          <w:lang w:val="en-GB"/>
        </w:rPr>
        <w:t xml:space="preserve"> 2025:87, p. 223.</w:t>
      </w:r>
    </w:p>
  </w:footnote>
  <w:footnote w:id="252">
    <w:p w14:paraId="7E6C1813" w14:textId="77777777" w:rsidR="00DA1440" w:rsidRPr="00395A1B" w:rsidRDefault="00DA1440" w:rsidP="00DA1440">
      <w:pPr>
        <w:pStyle w:val="Voetnoottekst"/>
        <w:jc w:val="both"/>
        <w:rPr>
          <w:lang w:val="en-GB"/>
        </w:rPr>
      </w:pPr>
      <w:r>
        <w:rPr>
          <w:rStyle w:val="Voetnootmarkering"/>
        </w:rPr>
        <w:footnoteRef/>
      </w:r>
      <w:r w:rsidRPr="00934B5B">
        <w:rPr>
          <w:lang w:val="en-GB"/>
        </w:rPr>
        <w:t xml:space="preserve"> </w:t>
      </w:r>
      <w:r w:rsidRPr="00693D3F">
        <w:rPr>
          <w:lang w:val="en-GB"/>
        </w:rPr>
        <w:t>Bouman</w:t>
      </w:r>
      <w:r>
        <w:rPr>
          <w:i/>
          <w:iCs/>
          <w:lang w:val="en-GB"/>
        </w:rPr>
        <w:t xml:space="preserve"> </w:t>
      </w:r>
      <w:r w:rsidRPr="00D315E1">
        <w:rPr>
          <w:lang w:val="en-GB"/>
        </w:rPr>
        <w:t>202</w:t>
      </w:r>
      <w:r>
        <w:rPr>
          <w:lang w:val="en-GB"/>
        </w:rPr>
        <w:t>1</w:t>
      </w:r>
      <w:r w:rsidRPr="00395A1B">
        <w:rPr>
          <w:lang w:val="en-GB"/>
        </w:rPr>
        <w:t>, p. 204.</w:t>
      </w:r>
    </w:p>
  </w:footnote>
  <w:footnote w:id="253">
    <w:p w14:paraId="13E48292" w14:textId="77777777" w:rsidR="00DA1440" w:rsidRPr="00E26A7A" w:rsidRDefault="00DA1440" w:rsidP="00DA1440">
      <w:pPr>
        <w:pStyle w:val="Voetnoottekst"/>
        <w:jc w:val="both"/>
        <w:rPr>
          <w:lang w:val="en-GB"/>
        </w:rPr>
      </w:pPr>
      <w:r>
        <w:rPr>
          <w:rStyle w:val="Voetnootmarkering"/>
        </w:rPr>
        <w:footnoteRef/>
      </w:r>
      <w:r w:rsidRPr="00E26A7A">
        <w:rPr>
          <w:lang w:val="en-GB"/>
        </w:rPr>
        <w:t xml:space="preserve"> </w:t>
      </w:r>
      <w:r>
        <w:rPr>
          <w:lang w:val="en-GB"/>
        </w:rPr>
        <w:t>Slingerland 2018, p. 53.</w:t>
      </w:r>
    </w:p>
  </w:footnote>
  <w:footnote w:id="254">
    <w:p w14:paraId="4071E3A5" w14:textId="77777777" w:rsidR="00DA1440" w:rsidRPr="004E306F" w:rsidRDefault="00DA1440" w:rsidP="00DA1440">
      <w:pPr>
        <w:pStyle w:val="Voetnoottekst"/>
        <w:jc w:val="both"/>
        <w:rPr>
          <w:lang w:val="en-GB"/>
        </w:rPr>
      </w:pPr>
      <w:r>
        <w:rPr>
          <w:rStyle w:val="Voetnootmarkering"/>
        </w:rPr>
        <w:footnoteRef/>
      </w:r>
      <w:r w:rsidRPr="004E306F">
        <w:rPr>
          <w:lang w:val="en-GB"/>
        </w:rPr>
        <w:t xml:space="preserve"> </w:t>
      </w:r>
      <w:r w:rsidRPr="00F608F6">
        <w:rPr>
          <w:i/>
          <w:iCs/>
          <w:lang w:val="en-GB"/>
        </w:rPr>
        <w:t>Explanatory Report to the Criminal Law Convention on Corruption</w:t>
      </w:r>
      <w:r>
        <w:rPr>
          <w:lang w:val="en-GB"/>
        </w:rPr>
        <w:t xml:space="preserve"> 1999, p. 14.</w:t>
      </w:r>
    </w:p>
  </w:footnote>
  <w:footnote w:id="255">
    <w:p w14:paraId="6C370B27" w14:textId="77777777" w:rsidR="00DA1440" w:rsidRDefault="00DA1440" w:rsidP="00DA1440">
      <w:pPr>
        <w:pStyle w:val="Voetnoottekst"/>
        <w:jc w:val="both"/>
      </w:pPr>
      <w:r>
        <w:rPr>
          <w:rStyle w:val="Voetnootmarkering"/>
        </w:rPr>
        <w:footnoteRef/>
      </w:r>
      <w:r>
        <w:t xml:space="preserve"> Hulsman 1972, p. 92.</w:t>
      </w:r>
    </w:p>
  </w:footnote>
  <w:footnote w:id="256">
    <w:p w14:paraId="16B3CBAF" w14:textId="77777777" w:rsidR="00DA1440" w:rsidRPr="00F608F6" w:rsidRDefault="00DA1440" w:rsidP="00DA1440">
      <w:pPr>
        <w:pStyle w:val="Voetnoottekst"/>
        <w:jc w:val="both"/>
        <w:rPr>
          <w:sz w:val="18"/>
          <w:szCs w:val="18"/>
        </w:rPr>
      </w:pPr>
      <w:r>
        <w:rPr>
          <w:rStyle w:val="Voetnootmarkering"/>
        </w:rPr>
        <w:footnoteRef/>
      </w:r>
      <w:r>
        <w:t xml:space="preserve"> </w:t>
      </w:r>
      <w:r w:rsidRPr="00F608F6">
        <w:rPr>
          <w:i/>
          <w:iCs/>
        </w:rPr>
        <w:t>Regeringens proposition</w:t>
      </w:r>
      <w:r w:rsidRPr="00F608F6">
        <w:t xml:space="preserve"> 2003/04:70</w:t>
      </w:r>
      <w:r>
        <w:t xml:space="preserve">, p. 31. </w:t>
      </w:r>
    </w:p>
  </w:footnote>
  <w:footnote w:id="257">
    <w:p w14:paraId="0A99BD70" w14:textId="77777777" w:rsidR="00DA1440" w:rsidRPr="00F608F6" w:rsidRDefault="00DA1440" w:rsidP="00DA1440">
      <w:pPr>
        <w:pStyle w:val="Voetnoottekst"/>
        <w:jc w:val="both"/>
        <w:rPr>
          <w:sz w:val="22"/>
          <w:szCs w:val="22"/>
        </w:rPr>
      </w:pPr>
      <w:r>
        <w:rPr>
          <w:rStyle w:val="Voetnootmarkering"/>
        </w:rPr>
        <w:footnoteRef/>
      </w:r>
      <w:r w:rsidRPr="00DD31A2">
        <w:t xml:space="preserve"> </w:t>
      </w:r>
      <w:r w:rsidRPr="00F608F6">
        <w:rPr>
          <w:i/>
          <w:iCs/>
        </w:rPr>
        <w:t>Regeringens proposition</w:t>
      </w:r>
      <w:r w:rsidRPr="00F608F6">
        <w:t xml:space="preserve"> 2011/12:79, p. 33.</w:t>
      </w:r>
    </w:p>
  </w:footnote>
  <w:footnote w:id="258">
    <w:p w14:paraId="47052264" w14:textId="77777777" w:rsidR="00DA1440" w:rsidRDefault="00DA1440" w:rsidP="00DA1440">
      <w:pPr>
        <w:pStyle w:val="Voetnoottekst"/>
        <w:jc w:val="both"/>
      </w:pPr>
      <w:r>
        <w:rPr>
          <w:rStyle w:val="Voetnootmarkering"/>
        </w:rPr>
        <w:footnoteRef/>
      </w:r>
      <w:r>
        <w:t xml:space="preserve"> </w:t>
      </w:r>
      <w:r w:rsidRPr="00C77A06">
        <w:rPr>
          <w:i/>
          <w:iCs/>
        </w:rPr>
        <w:t>Regeringens proposition</w:t>
      </w:r>
      <w:r w:rsidRPr="00C77A06">
        <w:t xml:space="preserve"> 2003/04:70</w:t>
      </w:r>
      <w:r>
        <w:t xml:space="preserve">, p. 31. </w:t>
      </w:r>
    </w:p>
  </w:footnote>
  <w:footnote w:id="259">
    <w:p w14:paraId="2B0532B7" w14:textId="77777777" w:rsidR="00DA1440" w:rsidRDefault="00DA1440" w:rsidP="00DA1440">
      <w:pPr>
        <w:pStyle w:val="Voetnoottekst"/>
        <w:jc w:val="both"/>
      </w:pPr>
      <w:r>
        <w:rPr>
          <w:rStyle w:val="Voetnootmarkering"/>
        </w:rPr>
        <w:footnoteRef/>
      </w:r>
      <w:r>
        <w:t xml:space="preserve"> Bouman 2021, p. 204.</w:t>
      </w:r>
    </w:p>
  </w:footnote>
  <w:footnote w:id="260">
    <w:p w14:paraId="01776EE6" w14:textId="77777777" w:rsidR="00DA1440" w:rsidRDefault="00DA1440" w:rsidP="00DA1440">
      <w:pPr>
        <w:pStyle w:val="Voetnoottekst"/>
      </w:pPr>
      <w:r>
        <w:rPr>
          <w:rStyle w:val="Voetnootmarkering"/>
        </w:rPr>
        <w:footnoteRef/>
      </w:r>
      <w:r>
        <w:t xml:space="preserve"> </w:t>
      </w:r>
      <w:r w:rsidRPr="00F608F6">
        <w:rPr>
          <w:i/>
          <w:iCs/>
        </w:rPr>
        <w:t>SOU</w:t>
      </w:r>
      <w:r w:rsidRPr="00F608F6">
        <w:t xml:space="preserve"> 2025:87, p. 220 e.v.</w:t>
      </w:r>
    </w:p>
  </w:footnote>
  <w:footnote w:id="261">
    <w:p w14:paraId="5DE62DEB" w14:textId="77777777" w:rsidR="00DA1440" w:rsidRDefault="00DA1440" w:rsidP="00DA1440">
      <w:pPr>
        <w:pStyle w:val="Voetnoottekst"/>
        <w:jc w:val="both"/>
      </w:pPr>
      <w:r>
        <w:rPr>
          <w:rStyle w:val="Voetnootmarkering"/>
        </w:rPr>
        <w:footnoteRef/>
      </w:r>
      <w:r>
        <w:t xml:space="preserve"> </w:t>
      </w:r>
      <w:r>
        <w:rPr>
          <w:i/>
          <w:iCs/>
        </w:rPr>
        <w:t xml:space="preserve">Aanhangsel Handelingen II </w:t>
      </w:r>
      <w:r>
        <w:t>2025/26, nr. 374, p. 4 en 5.</w:t>
      </w:r>
    </w:p>
  </w:footnote>
  <w:footnote w:id="262">
    <w:p w14:paraId="627C6B55" w14:textId="77777777" w:rsidR="00DA1440" w:rsidRPr="00FD333A" w:rsidRDefault="00DA1440" w:rsidP="00DA1440">
      <w:pPr>
        <w:pStyle w:val="Voetnoottekst"/>
        <w:jc w:val="both"/>
      </w:pPr>
      <w:r>
        <w:rPr>
          <w:rStyle w:val="Voetnootmarkering"/>
        </w:rPr>
        <w:footnoteRef/>
      </w:r>
      <w:r>
        <w:t xml:space="preserve"> </w:t>
      </w:r>
      <w:r>
        <w:rPr>
          <w:i/>
          <w:iCs/>
        </w:rPr>
        <w:t xml:space="preserve">Aanhangsel Handelingen II </w:t>
      </w:r>
      <w:r>
        <w:t>2024/25, nr. 1472, p. 2.</w:t>
      </w:r>
    </w:p>
  </w:footnote>
  <w:footnote w:id="263">
    <w:p w14:paraId="5A2E94D0" w14:textId="77777777" w:rsidR="00DA1440" w:rsidRDefault="00DA1440" w:rsidP="00DA1440">
      <w:pPr>
        <w:pStyle w:val="Voetnoottekst"/>
        <w:jc w:val="both"/>
      </w:pPr>
      <w:r>
        <w:rPr>
          <w:rStyle w:val="Voetnootmarkering"/>
        </w:rPr>
        <w:footnoteRef/>
      </w:r>
      <w:r>
        <w:t xml:space="preserve"> </w:t>
      </w:r>
      <w:r w:rsidRPr="00F608F6">
        <w:rPr>
          <w:i/>
          <w:iCs/>
        </w:rPr>
        <w:t>SOU</w:t>
      </w:r>
      <w:r>
        <w:t xml:space="preserve"> 2025:87, p. 219.</w:t>
      </w:r>
    </w:p>
  </w:footnote>
  <w:footnote w:id="264">
    <w:p w14:paraId="480FCFD8" w14:textId="77777777" w:rsidR="00DA1440" w:rsidRDefault="00DA1440" w:rsidP="00DA1440">
      <w:pPr>
        <w:pStyle w:val="Voetnoottekst"/>
        <w:jc w:val="both"/>
      </w:pPr>
      <w:r>
        <w:rPr>
          <w:rStyle w:val="Voetnootmarkering"/>
        </w:rPr>
        <w:footnoteRef/>
      </w:r>
      <w:r>
        <w:t xml:space="preserve"> </w:t>
      </w:r>
      <w:r>
        <w:rPr>
          <w:i/>
          <w:iCs/>
        </w:rPr>
        <w:t xml:space="preserve">Aanhangsel Handelingen II </w:t>
      </w:r>
      <w:r>
        <w:t xml:space="preserve">2024/25, nr. 1472, p. 2. </w:t>
      </w:r>
      <w:r w:rsidRPr="008C34E5">
        <w:t>Een vergelijkbaar argument (verlagen van de ‘bewijsdrempel’) was ook een belangrijk argument voor de invoering van de Wet seksuele misdrijven en kan dus ook op het gebied van handel in invloed een argument zijn</w:t>
      </w:r>
      <w:r>
        <w:t>. Zie Weijers 2024.</w:t>
      </w:r>
    </w:p>
  </w:footnote>
  <w:footnote w:id="265">
    <w:p w14:paraId="21A57AF8" w14:textId="77777777" w:rsidR="00DA1440" w:rsidRDefault="00DA1440" w:rsidP="00DA1440">
      <w:pPr>
        <w:pStyle w:val="Voetnoottekst"/>
        <w:jc w:val="both"/>
      </w:pPr>
      <w:r>
        <w:rPr>
          <w:rStyle w:val="Voetnootmarkering"/>
        </w:rPr>
        <w:footnoteRef/>
      </w:r>
      <w:r>
        <w:t xml:space="preserve"> </w:t>
      </w:r>
      <w:r>
        <w:rPr>
          <w:i/>
          <w:iCs/>
        </w:rPr>
        <w:t xml:space="preserve">Aanhangsel Handelingen II </w:t>
      </w:r>
      <w:r>
        <w:t>2024/25, nr. 1472, p.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23F41"/>
    <w:multiLevelType w:val="hybridMultilevel"/>
    <w:tmpl w:val="59E63FD4"/>
    <w:lvl w:ilvl="0" w:tplc="C3AE5F32">
      <w:start w:val="2"/>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6BD59E2"/>
    <w:multiLevelType w:val="hybridMultilevel"/>
    <w:tmpl w:val="731A2D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43696503">
    <w:abstractNumId w:val="0"/>
  </w:num>
  <w:num w:numId="2" w16cid:durableId="10721173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440"/>
    <w:rsid w:val="00007A1F"/>
    <w:rsid w:val="000C6627"/>
    <w:rsid w:val="000F464E"/>
    <w:rsid w:val="00104349"/>
    <w:rsid w:val="00176E64"/>
    <w:rsid w:val="001A2A58"/>
    <w:rsid w:val="00212C5C"/>
    <w:rsid w:val="002A30F8"/>
    <w:rsid w:val="002D7900"/>
    <w:rsid w:val="00330560"/>
    <w:rsid w:val="003D7D29"/>
    <w:rsid w:val="003E3774"/>
    <w:rsid w:val="00415C8C"/>
    <w:rsid w:val="004178BB"/>
    <w:rsid w:val="004951A5"/>
    <w:rsid w:val="004E61BD"/>
    <w:rsid w:val="00501E5E"/>
    <w:rsid w:val="005657B5"/>
    <w:rsid w:val="00584E23"/>
    <w:rsid w:val="005B0B50"/>
    <w:rsid w:val="005B4621"/>
    <w:rsid w:val="005B6FC4"/>
    <w:rsid w:val="005D4516"/>
    <w:rsid w:val="005E2F98"/>
    <w:rsid w:val="00610A7A"/>
    <w:rsid w:val="006201BE"/>
    <w:rsid w:val="00635F66"/>
    <w:rsid w:val="006518AD"/>
    <w:rsid w:val="00654D2A"/>
    <w:rsid w:val="00692AEE"/>
    <w:rsid w:val="006A11FB"/>
    <w:rsid w:val="006C4D66"/>
    <w:rsid w:val="006E39F7"/>
    <w:rsid w:val="00702E6E"/>
    <w:rsid w:val="00710E6B"/>
    <w:rsid w:val="007720DC"/>
    <w:rsid w:val="00784574"/>
    <w:rsid w:val="007C1560"/>
    <w:rsid w:val="008153D5"/>
    <w:rsid w:val="009035E0"/>
    <w:rsid w:val="0090595B"/>
    <w:rsid w:val="00960CC1"/>
    <w:rsid w:val="009C01BA"/>
    <w:rsid w:val="00A332EA"/>
    <w:rsid w:val="00A916FE"/>
    <w:rsid w:val="00AB2B91"/>
    <w:rsid w:val="00B303B0"/>
    <w:rsid w:val="00B73F2D"/>
    <w:rsid w:val="00BA36DC"/>
    <w:rsid w:val="00BD0304"/>
    <w:rsid w:val="00C31192"/>
    <w:rsid w:val="00C36524"/>
    <w:rsid w:val="00C67318"/>
    <w:rsid w:val="00CB3527"/>
    <w:rsid w:val="00CD5E75"/>
    <w:rsid w:val="00CE3449"/>
    <w:rsid w:val="00CE5661"/>
    <w:rsid w:val="00D0582F"/>
    <w:rsid w:val="00D26609"/>
    <w:rsid w:val="00D65029"/>
    <w:rsid w:val="00DA1440"/>
    <w:rsid w:val="00DA5413"/>
    <w:rsid w:val="00DD1F52"/>
    <w:rsid w:val="00DD74F2"/>
    <w:rsid w:val="00E212CA"/>
    <w:rsid w:val="00E335DB"/>
    <w:rsid w:val="00E63FAF"/>
    <w:rsid w:val="00EB4EDB"/>
    <w:rsid w:val="00EC421F"/>
    <w:rsid w:val="00F81CE1"/>
    <w:rsid w:val="00F97E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09A36"/>
  <w15:chartTrackingRefBased/>
  <w15:docId w15:val="{8D09A21E-B7F5-4CBC-AC11-8C7C51CF3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rsid w:val="00DA1440"/>
    <w:rPr>
      <w:rFonts w:ascii="Times New Roman" w:hAnsi="Times New Roman"/>
    </w:rPr>
  </w:style>
  <w:style w:type="paragraph" w:styleId="Kop1">
    <w:name w:val="heading 1"/>
    <w:basedOn w:val="Standaard"/>
    <w:next w:val="Standaard"/>
    <w:link w:val="Kop1Char"/>
    <w:uiPriority w:val="9"/>
    <w:qFormat/>
    <w:rsid w:val="00F97ECD"/>
    <w:pPr>
      <w:keepNext/>
      <w:keepLines/>
      <w:spacing w:before="240" w:after="0"/>
      <w:outlineLvl w:val="0"/>
    </w:pPr>
    <w:rPr>
      <w:rFonts w:eastAsiaTheme="majorEastAsia" w:cstheme="majorBidi"/>
      <w:b/>
      <w:sz w:val="28"/>
      <w:szCs w:val="32"/>
    </w:rPr>
  </w:style>
  <w:style w:type="paragraph" w:styleId="Kop2">
    <w:name w:val="heading 2"/>
    <w:basedOn w:val="Standaard"/>
    <w:next w:val="Standaard"/>
    <w:link w:val="Kop2Char"/>
    <w:uiPriority w:val="9"/>
    <w:unhideWhenUsed/>
    <w:qFormat/>
    <w:rsid w:val="0090595B"/>
    <w:pPr>
      <w:keepNext/>
      <w:keepLines/>
      <w:spacing w:before="40" w:after="0"/>
      <w:outlineLvl w:val="1"/>
    </w:pPr>
    <w:rPr>
      <w:rFonts w:eastAsiaTheme="majorEastAsia" w:cstheme="majorBidi"/>
      <w:b/>
      <w:szCs w:val="26"/>
    </w:rPr>
  </w:style>
  <w:style w:type="paragraph" w:styleId="Kop3">
    <w:name w:val="heading 3"/>
    <w:basedOn w:val="Standaard"/>
    <w:next w:val="Standaard"/>
    <w:link w:val="Kop3Char"/>
    <w:uiPriority w:val="9"/>
    <w:semiHidden/>
    <w:unhideWhenUsed/>
    <w:qFormat/>
    <w:rsid w:val="00F97ECD"/>
    <w:pPr>
      <w:keepNext/>
      <w:keepLines/>
      <w:spacing w:before="40" w:after="0"/>
      <w:outlineLvl w:val="2"/>
    </w:pPr>
    <w:rPr>
      <w:rFonts w:eastAsiaTheme="majorEastAsia" w:cstheme="majorBidi"/>
      <w:i/>
      <w:szCs w:val="24"/>
    </w:rPr>
  </w:style>
  <w:style w:type="paragraph" w:styleId="Kop4">
    <w:name w:val="heading 4"/>
    <w:basedOn w:val="Standaard"/>
    <w:next w:val="Standaard"/>
    <w:link w:val="Kop4Char"/>
    <w:uiPriority w:val="9"/>
    <w:semiHidden/>
    <w:unhideWhenUsed/>
    <w:qFormat/>
    <w:rsid w:val="00E63FAF"/>
    <w:pPr>
      <w:keepNext/>
      <w:keepLines/>
      <w:spacing w:before="40" w:after="0"/>
      <w:outlineLvl w:val="3"/>
    </w:pPr>
    <w:rPr>
      <w:rFonts w:eastAsiaTheme="majorEastAsia" w:cstheme="majorBidi"/>
      <w:iCs/>
    </w:rPr>
  </w:style>
  <w:style w:type="paragraph" w:styleId="Kop5">
    <w:name w:val="heading 5"/>
    <w:basedOn w:val="Standaard"/>
    <w:next w:val="Standaard"/>
    <w:link w:val="Kop5Char"/>
    <w:uiPriority w:val="9"/>
    <w:semiHidden/>
    <w:unhideWhenUsed/>
    <w:qFormat/>
    <w:rsid w:val="00DA1440"/>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DA14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DA1440"/>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DA1440"/>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DA1440"/>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E3449"/>
    <w:pPr>
      <w:spacing w:after="0" w:line="240" w:lineRule="auto"/>
      <w:jc w:val="both"/>
    </w:pPr>
    <w:rPr>
      <w:rFonts w:ascii="Times New Roman" w:hAnsi="Times New Roman"/>
    </w:rPr>
  </w:style>
  <w:style w:type="character" w:customStyle="1" w:styleId="Kop1Char">
    <w:name w:val="Kop 1 Char"/>
    <w:basedOn w:val="Standaardalinea-lettertype"/>
    <w:link w:val="Kop1"/>
    <w:uiPriority w:val="9"/>
    <w:rsid w:val="00F97ECD"/>
    <w:rPr>
      <w:rFonts w:ascii="Times New Roman" w:eastAsiaTheme="majorEastAsia" w:hAnsi="Times New Roman" w:cstheme="majorBidi"/>
      <w:b/>
      <w:sz w:val="28"/>
      <w:szCs w:val="32"/>
    </w:rPr>
  </w:style>
  <w:style w:type="character" w:customStyle="1" w:styleId="Kop2Char">
    <w:name w:val="Kop 2 Char"/>
    <w:basedOn w:val="Standaardalinea-lettertype"/>
    <w:link w:val="Kop2"/>
    <w:uiPriority w:val="9"/>
    <w:rsid w:val="0090595B"/>
    <w:rPr>
      <w:rFonts w:ascii="Times New Roman" w:eastAsiaTheme="majorEastAsia" w:hAnsi="Times New Roman" w:cstheme="majorBidi"/>
      <w:b/>
      <w:szCs w:val="26"/>
    </w:rPr>
  </w:style>
  <w:style w:type="character" w:customStyle="1" w:styleId="Kop3Char">
    <w:name w:val="Kop 3 Char"/>
    <w:basedOn w:val="Standaardalinea-lettertype"/>
    <w:link w:val="Kop3"/>
    <w:uiPriority w:val="9"/>
    <w:semiHidden/>
    <w:rsid w:val="00F97ECD"/>
    <w:rPr>
      <w:rFonts w:ascii="Times New Roman" w:eastAsiaTheme="majorEastAsia" w:hAnsi="Times New Roman" w:cstheme="majorBidi"/>
      <w:i/>
      <w:szCs w:val="24"/>
    </w:rPr>
  </w:style>
  <w:style w:type="character" w:customStyle="1" w:styleId="Kop4Char">
    <w:name w:val="Kop 4 Char"/>
    <w:basedOn w:val="Standaardalinea-lettertype"/>
    <w:link w:val="Kop4"/>
    <w:uiPriority w:val="9"/>
    <w:semiHidden/>
    <w:rsid w:val="00E63FAF"/>
    <w:rPr>
      <w:rFonts w:ascii="Times New Roman" w:eastAsiaTheme="majorEastAsia" w:hAnsi="Times New Roman" w:cstheme="majorBidi"/>
      <w:iCs/>
    </w:rPr>
  </w:style>
  <w:style w:type="character" w:customStyle="1" w:styleId="Kop5Char">
    <w:name w:val="Kop 5 Char"/>
    <w:basedOn w:val="Standaardalinea-lettertype"/>
    <w:link w:val="Kop5"/>
    <w:uiPriority w:val="9"/>
    <w:semiHidden/>
    <w:rsid w:val="00DA144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A144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144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144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1440"/>
    <w:rPr>
      <w:rFonts w:eastAsiaTheme="majorEastAsia" w:cstheme="majorBidi"/>
      <w:color w:val="272727" w:themeColor="text1" w:themeTint="D8"/>
    </w:rPr>
  </w:style>
  <w:style w:type="paragraph" w:styleId="Titel">
    <w:name w:val="Title"/>
    <w:basedOn w:val="Standaard"/>
    <w:next w:val="Standaard"/>
    <w:link w:val="TitelChar"/>
    <w:uiPriority w:val="10"/>
    <w:qFormat/>
    <w:rsid w:val="00DA14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144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144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144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144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A1440"/>
    <w:rPr>
      <w:rFonts w:ascii="Times New Roman" w:hAnsi="Times New Roman"/>
      <w:i/>
      <w:iCs/>
      <w:color w:val="404040" w:themeColor="text1" w:themeTint="BF"/>
    </w:rPr>
  </w:style>
  <w:style w:type="paragraph" w:styleId="Lijstalinea">
    <w:name w:val="List Paragraph"/>
    <w:basedOn w:val="Standaard"/>
    <w:uiPriority w:val="34"/>
    <w:qFormat/>
    <w:rsid w:val="00DA1440"/>
    <w:pPr>
      <w:ind w:left="720"/>
      <w:contextualSpacing/>
    </w:pPr>
  </w:style>
  <w:style w:type="character" w:styleId="Intensievebenadrukking">
    <w:name w:val="Intense Emphasis"/>
    <w:basedOn w:val="Standaardalinea-lettertype"/>
    <w:uiPriority w:val="21"/>
    <w:qFormat/>
    <w:rsid w:val="00DA1440"/>
    <w:rPr>
      <w:i/>
      <w:iCs/>
      <w:color w:val="0F4761" w:themeColor="accent1" w:themeShade="BF"/>
    </w:rPr>
  </w:style>
  <w:style w:type="paragraph" w:styleId="Duidelijkcitaat">
    <w:name w:val="Intense Quote"/>
    <w:basedOn w:val="Standaard"/>
    <w:next w:val="Standaard"/>
    <w:link w:val="DuidelijkcitaatChar"/>
    <w:uiPriority w:val="30"/>
    <w:qFormat/>
    <w:rsid w:val="00DA14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A1440"/>
    <w:rPr>
      <w:rFonts w:ascii="Times New Roman" w:hAnsi="Times New Roman"/>
      <w:i/>
      <w:iCs/>
      <w:color w:val="0F4761" w:themeColor="accent1" w:themeShade="BF"/>
    </w:rPr>
  </w:style>
  <w:style w:type="character" w:styleId="Intensieveverwijzing">
    <w:name w:val="Intense Reference"/>
    <w:basedOn w:val="Standaardalinea-lettertype"/>
    <w:uiPriority w:val="32"/>
    <w:qFormat/>
    <w:rsid w:val="00DA1440"/>
    <w:rPr>
      <w:b/>
      <w:bCs/>
      <w:smallCaps/>
      <w:color w:val="0F4761" w:themeColor="accent1" w:themeShade="BF"/>
      <w:spacing w:val="5"/>
    </w:rPr>
  </w:style>
  <w:style w:type="paragraph" w:styleId="Voetnoottekst">
    <w:name w:val="footnote text"/>
    <w:basedOn w:val="Standaard"/>
    <w:link w:val="VoetnoottekstChar"/>
    <w:uiPriority w:val="99"/>
    <w:unhideWhenUsed/>
    <w:rsid w:val="00DA1440"/>
    <w:pPr>
      <w:spacing w:after="0" w:line="240" w:lineRule="auto"/>
    </w:pPr>
    <w:rPr>
      <w:sz w:val="20"/>
      <w:szCs w:val="20"/>
    </w:rPr>
  </w:style>
  <w:style w:type="character" w:customStyle="1" w:styleId="VoetnoottekstChar">
    <w:name w:val="Voetnoottekst Char"/>
    <w:basedOn w:val="Standaardalinea-lettertype"/>
    <w:link w:val="Voetnoottekst"/>
    <w:uiPriority w:val="99"/>
    <w:rsid w:val="00DA1440"/>
    <w:rPr>
      <w:rFonts w:ascii="Times New Roman" w:hAnsi="Times New Roman"/>
      <w:sz w:val="20"/>
      <w:szCs w:val="20"/>
    </w:rPr>
  </w:style>
  <w:style w:type="character" w:styleId="Voetnootmarkering">
    <w:name w:val="footnote reference"/>
    <w:basedOn w:val="Standaardalinea-lettertype"/>
    <w:uiPriority w:val="99"/>
    <w:semiHidden/>
    <w:unhideWhenUsed/>
    <w:rsid w:val="00DA1440"/>
    <w:rPr>
      <w:vertAlign w:val="superscript"/>
    </w:rPr>
  </w:style>
  <w:style w:type="paragraph" w:styleId="Kopvaninhoudsopgave">
    <w:name w:val="TOC Heading"/>
    <w:basedOn w:val="Kop1"/>
    <w:next w:val="Standaard"/>
    <w:uiPriority w:val="39"/>
    <w:unhideWhenUsed/>
    <w:qFormat/>
    <w:rsid w:val="00DA1440"/>
    <w:pPr>
      <w:outlineLvl w:val="9"/>
    </w:pPr>
    <w:rPr>
      <w:rFonts w:asciiTheme="majorHAnsi" w:hAnsiTheme="majorHAnsi"/>
      <w:b w:val="0"/>
      <w:color w:val="0F4761" w:themeColor="accent1" w:themeShade="BF"/>
      <w:kern w:val="0"/>
      <w:sz w:val="32"/>
      <w:lang w:eastAsia="nl-NL"/>
      <w14:ligatures w14:val="none"/>
    </w:rPr>
  </w:style>
  <w:style w:type="character" w:styleId="Hyperlink">
    <w:name w:val="Hyperlink"/>
    <w:basedOn w:val="Standaardalinea-lettertype"/>
    <w:uiPriority w:val="99"/>
    <w:unhideWhenUsed/>
    <w:rsid w:val="00DA1440"/>
    <w:rPr>
      <w:color w:val="467886" w:themeColor="hyperlink"/>
      <w:u w:val="single"/>
    </w:rPr>
  </w:style>
  <w:style w:type="paragraph" w:styleId="Inhopg1">
    <w:name w:val="toc 1"/>
    <w:basedOn w:val="Standaard"/>
    <w:next w:val="Standaard"/>
    <w:autoRedefine/>
    <w:uiPriority w:val="39"/>
    <w:unhideWhenUsed/>
    <w:rsid w:val="00DA1440"/>
    <w:pPr>
      <w:spacing w:after="100"/>
    </w:pPr>
  </w:style>
  <w:style w:type="paragraph" w:styleId="Inhopg2">
    <w:name w:val="toc 2"/>
    <w:basedOn w:val="Standaard"/>
    <w:next w:val="Standaard"/>
    <w:autoRedefine/>
    <w:uiPriority w:val="39"/>
    <w:unhideWhenUsed/>
    <w:rsid w:val="00DA1440"/>
    <w:pPr>
      <w:spacing w:after="100"/>
      <w:ind w:left="220"/>
    </w:pPr>
  </w:style>
  <w:style w:type="paragraph" w:styleId="Koptekst">
    <w:name w:val="header"/>
    <w:basedOn w:val="Standaard"/>
    <w:link w:val="KoptekstChar"/>
    <w:uiPriority w:val="99"/>
    <w:unhideWhenUsed/>
    <w:rsid w:val="00E212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212CA"/>
    <w:rPr>
      <w:rFonts w:ascii="Times New Roman" w:hAnsi="Times New Roman"/>
    </w:rPr>
  </w:style>
  <w:style w:type="paragraph" w:styleId="Voettekst">
    <w:name w:val="footer"/>
    <w:basedOn w:val="Standaard"/>
    <w:link w:val="VoettekstChar"/>
    <w:uiPriority w:val="99"/>
    <w:unhideWhenUsed/>
    <w:rsid w:val="00E212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12CA"/>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DCA74-CF7D-499E-9EB6-EE0C61776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47</Pages>
  <Words>18214</Words>
  <Characters>100179</Characters>
  <Application>Microsoft Office Word</Application>
  <DocSecurity>0</DocSecurity>
  <Lines>834</Lines>
  <Paragraphs>236</Paragraphs>
  <ScaleCrop>false</ScaleCrop>
  <Company/>
  <LinksUpToDate>false</LinksUpToDate>
  <CharactersWithSpaces>118157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Krale</dc:creator>
  <cp:keywords/>
  <dc:description/>
  <cp:lastModifiedBy>Lars Krale</cp:lastModifiedBy>
  <cp:revision>14</cp:revision>
  <dcterms:created xsi:type="dcterms:W3CDTF">2026-06-24T20:23:00Z</dcterms:created>
  <dcterms:modified xsi:type="dcterms:W3CDTF">2026-09-01T20:20:00Z</dcterms:modified>
</cp:coreProperties>
</file>