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20B98" w14:textId="3233D61A" w:rsidR="009F431C" w:rsidRDefault="00ED6986" w:rsidP="009F431C">
      <w:pPr>
        <w:jc w:val="center"/>
        <w:rPr>
          <w:rFonts w:eastAsiaTheme="minorEastAsia" w:cs="Times New Roman"/>
          <w:sz w:val="28"/>
          <w:szCs w:val="28"/>
        </w:rPr>
      </w:pPr>
      <w:r>
        <w:rPr>
          <w:rFonts w:eastAsiaTheme="minorEastAsia" w:cs="Times New Roman"/>
          <w:noProof/>
          <w:lang w:eastAsia="nl-NL"/>
        </w:rPr>
        <w:drawing>
          <wp:anchor distT="0" distB="0" distL="114300" distR="114300" simplePos="0" relativeHeight="251658240" behindDoc="1" locked="0" layoutInCell="1" allowOverlap="1" wp14:anchorId="3D6B9B2C" wp14:editId="64E4904A">
            <wp:simplePos x="0" y="0"/>
            <wp:positionH relativeFrom="page">
              <wp:posOffset>2388870</wp:posOffset>
            </wp:positionH>
            <wp:positionV relativeFrom="paragraph">
              <wp:posOffset>92397</wp:posOffset>
            </wp:positionV>
            <wp:extent cx="2779200" cy="1544400"/>
            <wp:effectExtent l="0" t="0" r="2540" b="0"/>
            <wp:wrapNone/>
            <wp:docPr id="116803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9200" cy="154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71707" w14:textId="702FE850" w:rsidR="009F431C" w:rsidRDefault="009F431C" w:rsidP="009F431C">
      <w:pPr>
        <w:jc w:val="center"/>
        <w:rPr>
          <w:rFonts w:eastAsiaTheme="minorEastAsia" w:cs="Times New Roman"/>
          <w:sz w:val="28"/>
          <w:szCs w:val="28"/>
        </w:rPr>
      </w:pPr>
    </w:p>
    <w:p w14:paraId="6C890079" w14:textId="4FA05952" w:rsidR="009F431C" w:rsidRDefault="009F431C" w:rsidP="009F431C">
      <w:pPr>
        <w:jc w:val="center"/>
        <w:rPr>
          <w:rFonts w:eastAsiaTheme="minorEastAsia" w:cs="Times New Roman"/>
          <w:sz w:val="28"/>
          <w:szCs w:val="28"/>
        </w:rPr>
      </w:pPr>
    </w:p>
    <w:p w14:paraId="7066F791" w14:textId="00CC98B0" w:rsidR="009F431C" w:rsidRDefault="009F431C" w:rsidP="009F431C">
      <w:pPr>
        <w:jc w:val="center"/>
        <w:rPr>
          <w:rFonts w:eastAsiaTheme="minorEastAsia" w:cs="Times New Roman"/>
          <w:sz w:val="28"/>
          <w:szCs w:val="28"/>
        </w:rPr>
      </w:pPr>
    </w:p>
    <w:p w14:paraId="7C8AA53C" w14:textId="51D7AE0B" w:rsidR="009F431C" w:rsidRDefault="009F431C" w:rsidP="00424CEB">
      <w:pPr>
        <w:rPr>
          <w:rFonts w:eastAsiaTheme="minorEastAsia" w:cs="Times New Roman"/>
          <w:sz w:val="28"/>
          <w:szCs w:val="28"/>
        </w:rPr>
      </w:pPr>
    </w:p>
    <w:p w14:paraId="40D9B6B9" w14:textId="6A34493F" w:rsidR="00FB7D59" w:rsidRDefault="00FB7D59" w:rsidP="00424CEB">
      <w:pPr>
        <w:rPr>
          <w:rFonts w:eastAsiaTheme="minorEastAsia" w:cs="Times New Roman"/>
          <w:sz w:val="28"/>
          <w:szCs w:val="28"/>
        </w:rPr>
      </w:pPr>
    </w:p>
    <w:p w14:paraId="48B9CC2F" w14:textId="77777777" w:rsidR="00ED6986" w:rsidRDefault="00ED6986" w:rsidP="00424CEB">
      <w:pPr>
        <w:rPr>
          <w:rFonts w:eastAsiaTheme="minorEastAsia" w:cs="Times New Roman"/>
          <w:sz w:val="28"/>
          <w:szCs w:val="28"/>
        </w:rPr>
      </w:pPr>
    </w:p>
    <w:p w14:paraId="4D265970" w14:textId="7691D215" w:rsidR="009F431C" w:rsidRPr="009F431C" w:rsidRDefault="009F431C" w:rsidP="009F431C">
      <w:pPr>
        <w:jc w:val="center"/>
        <w:rPr>
          <w:rFonts w:eastAsiaTheme="minorEastAsia" w:cs="Times New Roman"/>
          <w:sz w:val="36"/>
          <w:szCs w:val="36"/>
        </w:rPr>
      </w:pPr>
      <w:r>
        <w:rPr>
          <w:rFonts w:eastAsiaTheme="minorEastAsia" w:cs="Times New Roman"/>
          <w:sz w:val="36"/>
          <w:szCs w:val="36"/>
        </w:rPr>
        <w:t>Toegang tot datasets in het strafprocesrecht</w:t>
      </w:r>
    </w:p>
    <w:p w14:paraId="74930E5E" w14:textId="3BC01AAB" w:rsidR="009F431C" w:rsidRDefault="009F431C" w:rsidP="009F431C">
      <w:pPr>
        <w:jc w:val="center"/>
        <w:rPr>
          <w:rFonts w:eastAsiaTheme="minorEastAsia" w:cs="Times New Roman"/>
          <w:sz w:val="28"/>
          <w:szCs w:val="28"/>
        </w:rPr>
      </w:pPr>
      <w:r w:rsidRPr="00424CEB">
        <w:rPr>
          <w:rFonts w:eastAsiaTheme="minorEastAsia" w:cs="Times New Roman"/>
          <w:sz w:val="28"/>
          <w:szCs w:val="28"/>
        </w:rPr>
        <w:t>Een rechtsvergelijkend onderzoek naar Nederland en Engeland &amp; Wales</w:t>
      </w:r>
    </w:p>
    <w:p w14:paraId="7D3DC04B" w14:textId="77777777" w:rsidR="003C5D97" w:rsidRDefault="003C5D97" w:rsidP="009F431C">
      <w:pPr>
        <w:jc w:val="center"/>
        <w:rPr>
          <w:rFonts w:eastAsiaTheme="minorEastAsia" w:cs="Times New Roman"/>
          <w:sz w:val="28"/>
          <w:szCs w:val="28"/>
        </w:rPr>
      </w:pPr>
    </w:p>
    <w:p w14:paraId="04464758" w14:textId="65BDD0E4" w:rsidR="009F431C" w:rsidRDefault="009F431C" w:rsidP="009F431C">
      <w:pPr>
        <w:rPr>
          <w:rFonts w:eastAsiaTheme="minorEastAsia" w:cs="Times New Roman"/>
        </w:rPr>
      </w:pPr>
    </w:p>
    <w:p w14:paraId="7F77581D" w14:textId="63041646" w:rsidR="009F431C" w:rsidRDefault="009F431C" w:rsidP="009F431C">
      <w:pPr>
        <w:rPr>
          <w:rFonts w:eastAsiaTheme="minorEastAsia" w:cs="Times New Roman"/>
        </w:rPr>
      </w:pPr>
    </w:p>
    <w:p w14:paraId="58F93973" w14:textId="61768B54" w:rsidR="009F431C" w:rsidRDefault="009F431C" w:rsidP="009F431C">
      <w:pPr>
        <w:rPr>
          <w:rFonts w:eastAsiaTheme="minorEastAsia" w:cs="Times New Roman"/>
        </w:rPr>
      </w:pPr>
    </w:p>
    <w:p w14:paraId="4CE78D19" w14:textId="42AE4257" w:rsidR="009F431C" w:rsidRDefault="009F431C" w:rsidP="009F431C">
      <w:pPr>
        <w:rPr>
          <w:rFonts w:eastAsiaTheme="minorEastAsia" w:cs="Times New Roman"/>
        </w:rPr>
      </w:pPr>
    </w:p>
    <w:p w14:paraId="6E915DB2" w14:textId="2EFF726B" w:rsidR="009F431C" w:rsidRDefault="009F431C" w:rsidP="009F431C">
      <w:pPr>
        <w:rPr>
          <w:rFonts w:eastAsiaTheme="minorEastAsia" w:cs="Times New Roman"/>
        </w:rPr>
      </w:pPr>
    </w:p>
    <w:p w14:paraId="61469341" w14:textId="0CBC5027" w:rsidR="009F431C" w:rsidRDefault="009F431C" w:rsidP="009F431C">
      <w:pPr>
        <w:rPr>
          <w:rFonts w:eastAsiaTheme="minorEastAsia" w:cs="Times New Roman"/>
        </w:rPr>
      </w:pPr>
    </w:p>
    <w:p w14:paraId="78E36950" w14:textId="6A6D31B9" w:rsidR="009F431C" w:rsidRDefault="009F431C" w:rsidP="009F431C">
      <w:pPr>
        <w:rPr>
          <w:rFonts w:eastAsiaTheme="minorEastAsia" w:cs="Times New Roman"/>
        </w:rPr>
      </w:pPr>
    </w:p>
    <w:p w14:paraId="4D1C2FD9" w14:textId="77777777" w:rsidR="009F431C" w:rsidRDefault="009F431C" w:rsidP="009F431C">
      <w:pPr>
        <w:rPr>
          <w:rFonts w:eastAsiaTheme="minorEastAsia" w:cs="Times New Roman"/>
        </w:rPr>
      </w:pPr>
    </w:p>
    <w:p w14:paraId="230A7268" w14:textId="5DFE4905" w:rsidR="009F431C" w:rsidRDefault="009F431C" w:rsidP="009F431C">
      <w:pPr>
        <w:rPr>
          <w:rFonts w:eastAsiaTheme="minorEastAsia" w:cs="Times New Roman"/>
        </w:rPr>
      </w:pPr>
    </w:p>
    <w:p w14:paraId="70EF415C" w14:textId="77777777" w:rsidR="009F431C" w:rsidRDefault="009F431C" w:rsidP="009F431C">
      <w:pPr>
        <w:rPr>
          <w:rFonts w:eastAsiaTheme="minorEastAsia" w:cs="Times New Roman"/>
        </w:rPr>
      </w:pPr>
    </w:p>
    <w:p w14:paraId="37A766AC" w14:textId="77777777" w:rsidR="009F431C" w:rsidRDefault="009F431C" w:rsidP="009F431C">
      <w:pPr>
        <w:rPr>
          <w:rFonts w:eastAsiaTheme="minorEastAsia" w:cs="Times New Roman"/>
        </w:rPr>
      </w:pPr>
    </w:p>
    <w:p w14:paraId="4A5B73AE" w14:textId="06207D72" w:rsidR="00424CEB" w:rsidRDefault="00424CEB" w:rsidP="009F431C">
      <w:pPr>
        <w:rPr>
          <w:rFonts w:eastAsiaTheme="minorEastAsia" w:cs="Times New Roman"/>
        </w:rPr>
      </w:pPr>
    </w:p>
    <w:p w14:paraId="2015AB5F" w14:textId="77777777" w:rsidR="001D1B36" w:rsidRDefault="001D1B36" w:rsidP="009F431C">
      <w:pPr>
        <w:rPr>
          <w:rFonts w:eastAsiaTheme="minorEastAsia" w:cs="Times New Roman"/>
        </w:rPr>
      </w:pPr>
    </w:p>
    <w:p w14:paraId="197BA2F1" w14:textId="77777777" w:rsidR="00837C40" w:rsidRDefault="00837C40" w:rsidP="009F431C">
      <w:pPr>
        <w:rPr>
          <w:rFonts w:eastAsiaTheme="minorEastAsia" w:cs="Times New Roman"/>
        </w:rPr>
      </w:pPr>
    </w:p>
    <w:p w14:paraId="610A40BD" w14:textId="5A7C3905" w:rsidR="00837C40" w:rsidRDefault="00837C40" w:rsidP="009F431C">
      <w:pPr>
        <w:rPr>
          <w:rFonts w:eastAsiaTheme="minorEastAsia" w:cs="Times New Roman"/>
        </w:rPr>
      </w:pPr>
    </w:p>
    <w:p w14:paraId="6AA46E46" w14:textId="6D1A3A72" w:rsidR="0078462C" w:rsidRDefault="0078462C" w:rsidP="009F431C">
      <w:pPr>
        <w:rPr>
          <w:rFonts w:eastAsiaTheme="minorEastAsia" w:cs="Times New Roman"/>
        </w:rPr>
      </w:pPr>
    </w:p>
    <w:p w14:paraId="22412393" w14:textId="77777777" w:rsidR="0078462C" w:rsidRDefault="0078462C" w:rsidP="009F431C">
      <w:pPr>
        <w:rPr>
          <w:rFonts w:eastAsiaTheme="minorEastAsia" w:cs="Times New Roman"/>
        </w:rPr>
      </w:pPr>
    </w:p>
    <w:p w14:paraId="2FE90D94" w14:textId="77777777" w:rsidR="000C6ED8" w:rsidRDefault="009F431C" w:rsidP="00BE2379">
      <w:pPr>
        <w:spacing w:line="480" w:lineRule="auto"/>
        <w:rPr>
          <w:rFonts w:eastAsiaTheme="minorEastAsia" w:cs="Times New Roman"/>
        </w:rPr>
      </w:pPr>
      <w:r>
        <w:rPr>
          <w:rFonts w:eastAsiaTheme="minorEastAsia" w:cs="Times New Roman"/>
        </w:rPr>
        <w:t>Door: Nobi Martinez van der Tol</w:t>
      </w:r>
    </w:p>
    <w:p w14:paraId="05789A78" w14:textId="34E0A848" w:rsidR="009B2345" w:rsidRDefault="00424CEB" w:rsidP="00BE2379">
      <w:pPr>
        <w:spacing w:line="480" w:lineRule="auto"/>
        <w:rPr>
          <w:rFonts w:eastAsiaTheme="minorEastAsia" w:cs="Times New Roman"/>
        </w:rPr>
      </w:pPr>
      <w:r>
        <w:rPr>
          <w:rFonts w:eastAsiaTheme="minorEastAsia" w:cs="Times New Roman"/>
        </w:rPr>
        <w:t xml:space="preserve">Datum: </w:t>
      </w:r>
      <w:r w:rsidR="00844B75">
        <w:rPr>
          <w:rFonts w:eastAsiaTheme="minorEastAsia" w:cs="Times New Roman"/>
        </w:rPr>
        <w:t>2</w:t>
      </w:r>
      <w:r w:rsidR="001D1B36">
        <w:rPr>
          <w:rFonts w:eastAsiaTheme="minorEastAsia" w:cs="Times New Roman"/>
        </w:rPr>
        <w:t>6</w:t>
      </w:r>
      <w:r w:rsidR="00844B75">
        <w:rPr>
          <w:rFonts w:eastAsiaTheme="minorEastAsia" w:cs="Times New Roman"/>
        </w:rPr>
        <w:t xml:space="preserve"> juni 2024</w:t>
      </w:r>
    </w:p>
    <w:p w14:paraId="35C11C12" w14:textId="497CFA8E" w:rsidR="006161F7" w:rsidRDefault="002747CA" w:rsidP="00BE2379">
      <w:pPr>
        <w:spacing w:line="480" w:lineRule="auto"/>
        <w:rPr>
          <w:rFonts w:eastAsiaTheme="minorEastAsia" w:cs="Times New Roman"/>
        </w:rPr>
      </w:pPr>
      <w:r>
        <w:rPr>
          <w:rFonts w:eastAsiaTheme="minorEastAsia" w:cs="Times New Roman"/>
        </w:rPr>
        <w:t>Studie</w:t>
      </w:r>
      <w:r w:rsidR="009B2345">
        <w:rPr>
          <w:rFonts w:eastAsiaTheme="minorEastAsia" w:cs="Times New Roman"/>
        </w:rPr>
        <w:t>: Straf- en strafprocesrecht</w:t>
      </w:r>
    </w:p>
    <w:p w14:paraId="1A85133C" w14:textId="08BC0608" w:rsidR="009B2345" w:rsidRDefault="002747CA" w:rsidP="00BE2379">
      <w:pPr>
        <w:spacing w:line="480" w:lineRule="auto"/>
        <w:rPr>
          <w:rFonts w:eastAsiaTheme="minorEastAsia" w:cs="Times New Roman"/>
        </w:rPr>
      </w:pPr>
      <w:r>
        <w:rPr>
          <w:rFonts w:eastAsiaTheme="minorEastAsia" w:cs="Times New Roman"/>
        </w:rPr>
        <w:t>Begeleider</w:t>
      </w:r>
      <w:r w:rsidR="009B2345">
        <w:rPr>
          <w:rFonts w:eastAsiaTheme="minorEastAsia" w:cs="Times New Roman"/>
        </w:rPr>
        <w:t>: prof.</w:t>
      </w:r>
      <w:r w:rsidR="0053757F">
        <w:rPr>
          <w:rFonts w:eastAsiaTheme="minorEastAsia" w:cs="Times New Roman"/>
        </w:rPr>
        <w:t xml:space="preserve"> </w:t>
      </w:r>
      <w:r w:rsidR="00EB7B27">
        <w:rPr>
          <w:rFonts w:eastAsiaTheme="minorEastAsia" w:cs="Times New Roman"/>
        </w:rPr>
        <w:t>mr.</w:t>
      </w:r>
      <w:r w:rsidR="0053757F">
        <w:rPr>
          <w:rFonts w:eastAsiaTheme="minorEastAsia" w:cs="Times New Roman"/>
        </w:rPr>
        <w:t xml:space="preserve"> </w:t>
      </w:r>
      <w:r w:rsidR="00EB7B27">
        <w:rPr>
          <w:rFonts w:eastAsiaTheme="minorEastAsia" w:cs="Times New Roman"/>
        </w:rPr>
        <w:t>dr.</w:t>
      </w:r>
      <w:r w:rsidR="009B2345">
        <w:rPr>
          <w:rFonts w:eastAsiaTheme="minorEastAsia" w:cs="Times New Roman"/>
        </w:rPr>
        <w:t xml:space="preserve"> J.W. Ouwerkerk</w:t>
      </w:r>
    </w:p>
    <w:p w14:paraId="45068110" w14:textId="510AF92F" w:rsidR="00837C40" w:rsidRPr="00837C40" w:rsidRDefault="009B2345" w:rsidP="00BE2379">
      <w:pPr>
        <w:spacing w:line="480" w:lineRule="auto"/>
        <w:rPr>
          <w:rFonts w:eastAsiaTheme="minorEastAsia" w:cs="Times New Roman"/>
        </w:rPr>
      </w:pPr>
      <w:r>
        <w:rPr>
          <w:rFonts w:eastAsiaTheme="minorEastAsia" w:cs="Times New Roman"/>
        </w:rPr>
        <w:t xml:space="preserve">Aantal pagina’s: </w:t>
      </w:r>
      <w:r w:rsidR="004F0CEF">
        <w:rPr>
          <w:rFonts w:eastAsiaTheme="minorEastAsia" w:cs="Times New Roman"/>
        </w:rPr>
        <w:t>62</w:t>
      </w:r>
    </w:p>
    <w:p w14:paraId="0DEC0FF7" w14:textId="49B878FE" w:rsidR="0081604B" w:rsidRPr="001D1B36" w:rsidRDefault="00A17C89">
      <w:pPr>
        <w:rPr>
          <w:rFonts w:eastAsiaTheme="minorEastAsia" w:cs="Times New Roman"/>
        </w:rPr>
      </w:pPr>
      <w:r>
        <w:rPr>
          <w:rFonts w:cs="Times New Roman"/>
          <w:b/>
          <w:bCs/>
        </w:rPr>
        <w:lastRenderedPageBreak/>
        <w:t>Voorwo</w:t>
      </w:r>
      <w:bookmarkStart w:id="0" w:name="OpenAt"/>
      <w:bookmarkStart w:id="1" w:name="_GoBack"/>
      <w:bookmarkEnd w:id="0"/>
      <w:bookmarkEnd w:id="1"/>
      <w:r>
        <w:rPr>
          <w:rFonts w:cs="Times New Roman"/>
          <w:b/>
          <w:bCs/>
        </w:rPr>
        <w:t>ord</w:t>
      </w:r>
    </w:p>
    <w:p w14:paraId="4653E6EC" w14:textId="77777777" w:rsidR="0081604B" w:rsidRDefault="0081604B">
      <w:pPr>
        <w:rPr>
          <w:rFonts w:cs="Times New Roman"/>
          <w:b/>
          <w:bCs/>
        </w:rPr>
      </w:pPr>
    </w:p>
    <w:p w14:paraId="453788D4" w14:textId="15720708" w:rsidR="00224338" w:rsidRPr="00FB7961" w:rsidRDefault="00DF3226" w:rsidP="00FB7961">
      <w:pPr>
        <w:rPr>
          <w:rFonts w:cs="Times New Roman"/>
        </w:rPr>
      </w:pPr>
      <w:r w:rsidRPr="00FB7961">
        <w:rPr>
          <w:rFonts w:cs="Times New Roman"/>
        </w:rPr>
        <w:t>“De meest essentiële beginselen en regels van het strafrecht zijn die welke de procedure betreffen. Van de procedure zal het afhangen of de premissen van het materiële recht kunnen worden gerealiseerd.”</w:t>
      </w:r>
    </w:p>
    <w:p w14:paraId="6AF8444C" w14:textId="77777777" w:rsidR="00224338" w:rsidRDefault="00224338" w:rsidP="00DF3226">
      <w:pPr>
        <w:rPr>
          <w:rFonts w:cs="Times New Roman"/>
        </w:rPr>
      </w:pPr>
    </w:p>
    <w:p w14:paraId="58F8662E" w14:textId="1C737FBB" w:rsidR="00DF3226" w:rsidRDefault="00DF3226" w:rsidP="00DF3226">
      <w:pPr>
        <w:rPr>
          <w:rFonts w:cs="Times New Roman"/>
        </w:rPr>
      </w:pPr>
      <w:r>
        <w:rPr>
          <w:rFonts w:cs="Times New Roman"/>
        </w:rPr>
        <w:t>Met deze woorden onderstreept A.A.G. Peters in 1972, tijdens zijn oratie te Utrecht, het belang van het strafprocesrecht. In diezelfde oratie benadrukt Peters eveneens het belang van een procedure die is gericht op tegenspraak. Dat vraagt om een betere rol voor de verdediging in strafzaken. Onderdeel van die rol is dat het Openbaar Ministerie zich aan zijn magistratelijke positie houdt en het standpunt van de verdediging serieus neemt</w:t>
      </w:r>
      <w:r w:rsidR="00676A40">
        <w:rPr>
          <w:rFonts w:cs="Times New Roman"/>
        </w:rPr>
        <w:t>.</w:t>
      </w:r>
      <w:r w:rsidR="004B3FCF">
        <w:rPr>
          <w:rFonts w:cs="Times New Roman"/>
        </w:rPr>
        <w:t xml:space="preserve"> </w:t>
      </w:r>
      <w:r w:rsidR="00676A40">
        <w:rPr>
          <w:rFonts w:cs="Times New Roman"/>
        </w:rPr>
        <w:t>Daarnaast dient</w:t>
      </w:r>
      <w:r w:rsidR="004B3FCF">
        <w:rPr>
          <w:rFonts w:cs="Times New Roman"/>
        </w:rPr>
        <w:t xml:space="preserve"> de verdediging meer mogelijkheden </w:t>
      </w:r>
      <w:r w:rsidR="00676A40">
        <w:rPr>
          <w:rFonts w:cs="Times New Roman"/>
        </w:rPr>
        <w:t>te krijgen</w:t>
      </w:r>
      <w:r w:rsidR="00806CE1">
        <w:rPr>
          <w:rFonts w:cs="Times New Roman"/>
        </w:rPr>
        <w:t xml:space="preserve"> om tegenspraak te leveren.</w:t>
      </w:r>
      <w:r>
        <w:rPr>
          <w:rFonts w:cs="Times New Roman"/>
        </w:rPr>
        <w:t xml:space="preserve"> </w:t>
      </w:r>
      <w:r w:rsidR="00456621">
        <w:rPr>
          <w:rFonts w:cs="Times New Roman"/>
        </w:rPr>
        <w:t>Ook in deze scriptie komt</w:t>
      </w:r>
      <w:r>
        <w:rPr>
          <w:rFonts w:cs="Times New Roman"/>
        </w:rPr>
        <w:t xml:space="preserve"> de positie van de verdediging in strafzaken </w:t>
      </w:r>
      <w:r w:rsidR="00456621">
        <w:rPr>
          <w:rFonts w:cs="Times New Roman"/>
        </w:rPr>
        <w:t>aan bod</w:t>
      </w:r>
      <w:r>
        <w:rPr>
          <w:rFonts w:cs="Times New Roman"/>
        </w:rPr>
        <w:t xml:space="preserve">. De inrichting van het strafprocesrecht en het model van het strafproces zijn daar onlosmakelijk aan verbonden. Het is een fascinerend onderwerp </w:t>
      </w:r>
      <w:r w:rsidR="00D21BFC">
        <w:rPr>
          <w:rFonts w:cs="Times New Roman"/>
        </w:rPr>
        <w:t>waar men volgens mij nooit over zal zijn uitgepraat</w:t>
      </w:r>
      <w:r>
        <w:rPr>
          <w:rFonts w:cs="Times New Roman"/>
        </w:rPr>
        <w:t>.</w:t>
      </w:r>
    </w:p>
    <w:p w14:paraId="4C74DB03" w14:textId="77777777" w:rsidR="00DF3226" w:rsidRDefault="00DF3226" w:rsidP="00DF3226">
      <w:pPr>
        <w:rPr>
          <w:rFonts w:cs="Times New Roman"/>
        </w:rPr>
      </w:pPr>
    </w:p>
    <w:p w14:paraId="3A02D5EF" w14:textId="7540639C" w:rsidR="00DF3226" w:rsidRDefault="00121D7D" w:rsidP="00ED05C8">
      <w:pPr>
        <w:rPr>
          <w:rFonts w:cs="Times New Roman"/>
        </w:rPr>
      </w:pPr>
      <w:r>
        <w:rPr>
          <w:rFonts w:cs="Times New Roman"/>
        </w:rPr>
        <w:t>Mijn dank gaat uit naar mijn ouders en naar mijn vriend</w:t>
      </w:r>
      <w:r w:rsidR="004F003C">
        <w:rPr>
          <w:rFonts w:cs="Times New Roman"/>
        </w:rPr>
        <w:t>i</w:t>
      </w:r>
      <w:r>
        <w:rPr>
          <w:rFonts w:cs="Times New Roman"/>
        </w:rPr>
        <w:t>n voor hun eeuwigdurende steun, zowel tijdens mijn studietijd als daarbuiten.</w:t>
      </w:r>
      <w:r w:rsidR="00ED05C8">
        <w:rPr>
          <w:rFonts w:cs="Times New Roman"/>
        </w:rPr>
        <w:t xml:space="preserve"> </w:t>
      </w:r>
      <w:r>
        <w:rPr>
          <w:rFonts w:cs="Times New Roman"/>
        </w:rPr>
        <w:t>Verder</w:t>
      </w:r>
      <w:r w:rsidR="00ED05C8">
        <w:rPr>
          <w:rFonts w:cs="Times New Roman"/>
        </w:rPr>
        <w:t xml:space="preserve"> </w:t>
      </w:r>
      <w:r>
        <w:rPr>
          <w:rFonts w:cs="Times New Roman"/>
        </w:rPr>
        <w:t>wil</w:t>
      </w:r>
      <w:r w:rsidR="00354F01">
        <w:rPr>
          <w:rFonts w:cs="Times New Roman"/>
        </w:rPr>
        <w:t xml:space="preserve"> ik</w:t>
      </w:r>
      <w:r w:rsidR="00ED05C8">
        <w:rPr>
          <w:rFonts w:cs="Times New Roman"/>
        </w:rPr>
        <w:t xml:space="preserve"> in het bijzonder </w:t>
      </w:r>
      <w:r w:rsidR="00354F01">
        <w:rPr>
          <w:rFonts w:cs="Times New Roman"/>
        </w:rPr>
        <w:t>mijn</w:t>
      </w:r>
      <w:r w:rsidR="00ED05C8">
        <w:rPr>
          <w:rFonts w:cs="Times New Roman"/>
        </w:rPr>
        <w:t xml:space="preserve"> oom </w:t>
      </w:r>
      <w:r w:rsidR="00354F01">
        <w:rPr>
          <w:rFonts w:cs="Times New Roman"/>
        </w:rPr>
        <w:t>bedanken</w:t>
      </w:r>
      <w:r w:rsidR="00ED05C8">
        <w:rPr>
          <w:rFonts w:cs="Times New Roman"/>
        </w:rPr>
        <w:t xml:space="preserve">, die bij het schrijven van </w:t>
      </w:r>
      <w:r w:rsidR="00F90426">
        <w:rPr>
          <w:rFonts w:cs="Times New Roman"/>
        </w:rPr>
        <w:t>deze</w:t>
      </w:r>
      <w:r w:rsidR="00ED05C8">
        <w:rPr>
          <w:rFonts w:cs="Times New Roman"/>
        </w:rPr>
        <w:t xml:space="preserve"> scriptie een onmisbare rol heeft gespeeld. Ten slotte spreek ik mijn dank uit voor</w:t>
      </w:r>
      <w:r w:rsidR="0057362B">
        <w:rPr>
          <w:rFonts w:cs="Times New Roman"/>
        </w:rPr>
        <w:t xml:space="preserve"> </w:t>
      </w:r>
      <w:r w:rsidR="00ED05C8">
        <w:rPr>
          <w:rFonts w:cs="Times New Roman"/>
        </w:rPr>
        <w:t xml:space="preserve">Jannemieke Ouwerkerk. </w:t>
      </w:r>
      <w:r w:rsidR="00DF3226">
        <w:rPr>
          <w:rFonts w:cs="Times New Roman"/>
        </w:rPr>
        <w:t>Zij heeft mij immers in de richting van dit onderzoek gewezen. Dankzij haar begeleiding en haar scherpe blik op mijn provisionele stukken is deze scriptie gekomen tot zijn</w:t>
      </w:r>
      <w:r w:rsidR="002B3B74">
        <w:rPr>
          <w:rFonts w:cs="Times New Roman"/>
        </w:rPr>
        <w:t xml:space="preserve"> </w:t>
      </w:r>
      <w:r w:rsidR="00DF3226">
        <w:rPr>
          <w:rFonts w:cs="Times New Roman"/>
        </w:rPr>
        <w:t>huidige vorm</w:t>
      </w:r>
      <w:r w:rsidR="00885C1E">
        <w:rPr>
          <w:rFonts w:cs="Times New Roman"/>
        </w:rPr>
        <w:t>:</w:t>
      </w:r>
      <w:r w:rsidR="00DF3226">
        <w:rPr>
          <w:rFonts w:cs="Times New Roman"/>
        </w:rPr>
        <w:t xml:space="preserve"> </w:t>
      </w:r>
      <w:r w:rsidR="00885C1E">
        <w:rPr>
          <w:rFonts w:cs="Times New Roman"/>
        </w:rPr>
        <w:t>e</w:t>
      </w:r>
      <w:r w:rsidR="00DF3226">
        <w:rPr>
          <w:rFonts w:cs="Times New Roman"/>
        </w:rPr>
        <w:t>en scriptie waar ik zeer trots op ben en</w:t>
      </w:r>
      <w:r w:rsidR="007743C0">
        <w:rPr>
          <w:rFonts w:cs="Times New Roman"/>
        </w:rPr>
        <w:t xml:space="preserve"> waarmee ik</w:t>
      </w:r>
      <w:r w:rsidR="00DF3226">
        <w:rPr>
          <w:rFonts w:cs="Times New Roman"/>
        </w:rPr>
        <w:t xml:space="preserve"> met een goed gevoel mijn studietijd mag afronden. Ik wens u veel leesplezier.</w:t>
      </w:r>
    </w:p>
    <w:p w14:paraId="35A8BBB5" w14:textId="6258EF26" w:rsidR="00A17C89" w:rsidRDefault="00A17C89">
      <w:pPr>
        <w:rPr>
          <w:rFonts w:cs="Times New Roman"/>
          <w:b/>
          <w:bCs/>
        </w:rPr>
      </w:pPr>
      <w:r>
        <w:rPr>
          <w:rFonts w:cs="Times New Roman"/>
          <w:b/>
          <w:bCs/>
        </w:rPr>
        <w:br w:type="page"/>
      </w:r>
    </w:p>
    <w:p w14:paraId="53C910BA" w14:textId="76A867F3" w:rsidR="00720FAC" w:rsidRPr="008B69CA" w:rsidRDefault="00720FAC" w:rsidP="00720FAC">
      <w:pPr>
        <w:rPr>
          <w:rFonts w:cs="Times New Roman"/>
        </w:rPr>
      </w:pPr>
      <w:r w:rsidRPr="008B69CA">
        <w:rPr>
          <w:rFonts w:cs="Times New Roman"/>
          <w:b/>
          <w:bCs/>
        </w:rPr>
        <w:lastRenderedPageBreak/>
        <w:t>Lijst van afkortingen</w:t>
      </w:r>
    </w:p>
    <w:p w14:paraId="63938BE1" w14:textId="77777777" w:rsidR="00720FAC" w:rsidRPr="00184605" w:rsidRDefault="00720FAC" w:rsidP="00720FAC">
      <w:pPr>
        <w:rPr>
          <w:rFonts w:cs="Times New Roman"/>
        </w:rPr>
      </w:pPr>
    </w:p>
    <w:p w14:paraId="2E6A2E8D" w14:textId="77777777" w:rsidR="00720FAC" w:rsidRPr="00184605" w:rsidRDefault="00720FAC" w:rsidP="00720FAC">
      <w:pPr>
        <w:rPr>
          <w:rFonts w:cs="Times New Roman"/>
        </w:rPr>
        <w:sectPr w:rsidR="00720FAC" w:rsidRPr="00184605" w:rsidSect="004C3EF4">
          <w:headerReference w:type="default" r:id="rId9"/>
          <w:footerReference w:type="default" r:id="rId10"/>
          <w:pgSz w:w="11906" w:h="16838"/>
          <w:pgMar w:top="1417" w:right="1417" w:bottom="1417" w:left="1417" w:header="708" w:footer="708" w:gutter="0"/>
          <w:pgNumType w:start="0"/>
          <w:cols w:space="708"/>
          <w:titlePg/>
          <w:docGrid w:linePitch="360"/>
        </w:sectPr>
      </w:pPr>
    </w:p>
    <w:p w14:paraId="3A889BB5" w14:textId="77777777" w:rsidR="00720FAC" w:rsidRPr="00184605" w:rsidRDefault="00720FAC" w:rsidP="00720FAC">
      <w:pPr>
        <w:spacing w:line="600" w:lineRule="auto"/>
        <w:rPr>
          <w:rFonts w:cs="Times New Roman"/>
        </w:rPr>
      </w:pPr>
      <w:r w:rsidRPr="00184605">
        <w:rPr>
          <w:rFonts w:cs="Times New Roman"/>
        </w:rPr>
        <w:t>ACPO</w:t>
      </w:r>
    </w:p>
    <w:p w14:paraId="25CA4958" w14:textId="77777777" w:rsidR="00720FAC" w:rsidRPr="00184605" w:rsidRDefault="00720FAC" w:rsidP="00720FAC">
      <w:pPr>
        <w:spacing w:line="600" w:lineRule="auto"/>
        <w:rPr>
          <w:rFonts w:cs="Times New Roman"/>
        </w:rPr>
      </w:pPr>
      <w:r w:rsidRPr="00184605">
        <w:rPr>
          <w:rFonts w:cs="Times New Roman"/>
        </w:rPr>
        <w:t xml:space="preserve">CJA </w:t>
      </w:r>
    </w:p>
    <w:p w14:paraId="5C6C7F99" w14:textId="77777777" w:rsidR="00720FAC" w:rsidRPr="00184605" w:rsidRDefault="00720FAC" w:rsidP="00720FAC">
      <w:pPr>
        <w:spacing w:line="600" w:lineRule="auto"/>
        <w:rPr>
          <w:rFonts w:cs="Times New Roman"/>
        </w:rPr>
      </w:pPr>
      <w:r w:rsidRPr="00184605">
        <w:rPr>
          <w:rFonts w:cs="Times New Roman"/>
        </w:rPr>
        <w:t>CPIA</w:t>
      </w:r>
    </w:p>
    <w:p w14:paraId="4967E720" w14:textId="77777777" w:rsidR="00720FAC" w:rsidRPr="00046845" w:rsidRDefault="00720FAC" w:rsidP="00720FAC">
      <w:pPr>
        <w:spacing w:line="600" w:lineRule="auto"/>
        <w:rPr>
          <w:rFonts w:cs="Times New Roman"/>
          <w:lang w:val="en-US"/>
        </w:rPr>
      </w:pPr>
      <w:r w:rsidRPr="00046845">
        <w:rPr>
          <w:rFonts w:cs="Times New Roman"/>
          <w:lang w:val="en-US"/>
        </w:rPr>
        <w:t>CPS</w:t>
      </w:r>
    </w:p>
    <w:p w14:paraId="321A8899" w14:textId="77777777" w:rsidR="00720FAC" w:rsidRPr="00046845" w:rsidRDefault="00720FAC" w:rsidP="00720FAC">
      <w:pPr>
        <w:spacing w:line="600" w:lineRule="auto"/>
        <w:rPr>
          <w:rFonts w:cs="Times New Roman"/>
          <w:lang w:val="en-US"/>
        </w:rPr>
      </w:pPr>
      <w:r w:rsidRPr="00046845">
        <w:rPr>
          <w:rFonts w:cs="Times New Roman"/>
          <w:lang w:val="en-US"/>
        </w:rPr>
        <w:t>CPR</w:t>
      </w:r>
    </w:p>
    <w:p w14:paraId="3EF7247B" w14:textId="77777777" w:rsidR="00720FAC" w:rsidRPr="00046845" w:rsidRDefault="00720FAC" w:rsidP="00720FAC">
      <w:pPr>
        <w:spacing w:line="600" w:lineRule="auto"/>
        <w:rPr>
          <w:rFonts w:cs="Times New Roman"/>
          <w:lang w:val="en-US"/>
        </w:rPr>
      </w:pPr>
      <w:r w:rsidRPr="00046845">
        <w:rPr>
          <w:rFonts w:cs="Times New Roman"/>
          <w:lang w:val="en-US"/>
        </w:rPr>
        <w:t>EHRM</w:t>
      </w:r>
    </w:p>
    <w:p w14:paraId="2A3F66CA" w14:textId="77777777" w:rsidR="00720FAC" w:rsidRPr="00046845" w:rsidRDefault="00720FAC" w:rsidP="00720FAC">
      <w:pPr>
        <w:spacing w:line="600" w:lineRule="auto"/>
        <w:rPr>
          <w:rFonts w:cs="Times New Roman"/>
          <w:lang w:val="en-US"/>
        </w:rPr>
      </w:pPr>
      <w:r w:rsidRPr="00046845">
        <w:rPr>
          <w:rFonts w:cs="Times New Roman"/>
          <w:lang w:val="en-US"/>
        </w:rPr>
        <w:t>EVRM</w:t>
      </w:r>
    </w:p>
    <w:p w14:paraId="4F052793" w14:textId="704DBFE0" w:rsidR="00D03B18" w:rsidRPr="00046845" w:rsidRDefault="00D03B18" w:rsidP="00720FAC">
      <w:pPr>
        <w:spacing w:line="600" w:lineRule="auto"/>
        <w:rPr>
          <w:rFonts w:cs="Times New Roman"/>
          <w:lang w:val="en-US"/>
        </w:rPr>
      </w:pPr>
      <w:r w:rsidRPr="00046845">
        <w:rPr>
          <w:rFonts w:cs="Times New Roman"/>
          <w:lang w:val="en-US"/>
        </w:rPr>
        <w:t>HRA</w:t>
      </w:r>
    </w:p>
    <w:p w14:paraId="597FF4DA" w14:textId="3FB41055" w:rsidR="008B31FA" w:rsidRPr="00046845" w:rsidRDefault="008B31FA" w:rsidP="00720FAC">
      <w:pPr>
        <w:spacing w:line="600" w:lineRule="auto"/>
        <w:rPr>
          <w:rFonts w:cs="Times New Roman"/>
          <w:lang w:val="en-US"/>
        </w:rPr>
      </w:pPr>
      <w:r w:rsidRPr="00046845">
        <w:rPr>
          <w:rFonts w:cs="Times New Roman"/>
          <w:lang w:val="en-US"/>
        </w:rPr>
        <w:t>IPA</w:t>
      </w:r>
    </w:p>
    <w:p w14:paraId="5D5720A2" w14:textId="77777777" w:rsidR="00720FAC" w:rsidRPr="00221A33" w:rsidRDefault="00720FAC" w:rsidP="00720FAC">
      <w:pPr>
        <w:spacing w:line="600" w:lineRule="auto"/>
        <w:rPr>
          <w:rFonts w:cs="Times New Roman"/>
          <w:lang w:val="en-US"/>
        </w:rPr>
      </w:pPr>
      <w:r w:rsidRPr="00221A33">
        <w:rPr>
          <w:rFonts w:cs="Times New Roman"/>
          <w:lang w:val="en-US"/>
        </w:rPr>
        <w:t>NFI</w:t>
      </w:r>
    </w:p>
    <w:p w14:paraId="728BCB1A" w14:textId="77777777" w:rsidR="00720FAC" w:rsidRPr="00221A33" w:rsidRDefault="00720FAC" w:rsidP="00720FAC">
      <w:pPr>
        <w:spacing w:line="600" w:lineRule="auto"/>
        <w:rPr>
          <w:rFonts w:cs="Times New Roman"/>
          <w:lang w:val="en-US"/>
        </w:rPr>
      </w:pPr>
      <w:r w:rsidRPr="00221A33">
        <w:rPr>
          <w:rFonts w:cs="Times New Roman"/>
          <w:lang w:val="en-US"/>
        </w:rPr>
        <w:t>MCA</w:t>
      </w:r>
    </w:p>
    <w:p w14:paraId="77FBA5FE" w14:textId="77777777" w:rsidR="00720FAC" w:rsidRPr="00221A33" w:rsidRDefault="00720FAC" w:rsidP="00720FAC">
      <w:pPr>
        <w:spacing w:line="600" w:lineRule="auto"/>
        <w:rPr>
          <w:rFonts w:cs="Times New Roman"/>
          <w:lang w:val="en-US"/>
        </w:rPr>
      </w:pPr>
      <w:r w:rsidRPr="00221A33">
        <w:rPr>
          <w:rFonts w:cs="Times New Roman"/>
          <w:lang w:val="en-US"/>
        </w:rPr>
        <w:t>OM</w:t>
      </w:r>
    </w:p>
    <w:p w14:paraId="4808ED9F" w14:textId="168647D2" w:rsidR="003448AC" w:rsidRPr="00221A33" w:rsidRDefault="00720FAC" w:rsidP="00720FAC">
      <w:pPr>
        <w:spacing w:line="600" w:lineRule="auto"/>
        <w:rPr>
          <w:rFonts w:cs="Times New Roman"/>
          <w:lang w:val="en-US"/>
        </w:rPr>
      </w:pPr>
      <w:r w:rsidRPr="00221A33">
        <w:rPr>
          <w:rFonts w:cs="Times New Roman"/>
          <w:lang w:val="en-US"/>
        </w:rPr>
        <w:t>PGP</w:t>
      </w:r>
    </w:p>
    <w:p w14:paraId="37715936" w14:textId="71C6DE3F" w:rsidR="00720FAC" w:rsidRPr="00221A33" w:rsidRDefault="00720FAC" w:rsidP="00720FAC">
      <w:pPr>
        <w:spacing w:line="600" w:lineRule="auto"/>
        <w:rPr>
          <w:rFonts w:cs="Times New Roman"/>
          <w:lang w:val="en-US"/>
        </w:rPr>
      </w:pPr>
      <w:r w:rsidRPr="00221A33">
        <w:rPr>
          <w:rFonts w:cs="Times New Roman"/>
          <w:lang w:val="en-US"/>
        </w:rPr>
        <w:t>Sv</w:t>
      </w:r>
    </w:p>
    <w:p w14:paraId="6D321040" w14:textId="77777777" w:rsidR="00720FAC" w:rsidRPr="00221A33" w:rsidRDefault="00720FAC" w:rsidP="00720FAC">
      <w:pPr>
        <w:spacing w:line="600" w:lineRule="auto"/>
        <w:rPr>
          <w:rFonts w:cs="Times New Roman"/>
          <w:lang w:val="en-US"/>
        </w:rPr>
      </w:pPr>
      <w:r w:rsidRPr="00221A33">
        <w:rPr>
          <w:rFonts w:cs="Times New Roman"/>
          <w:lang w:val="en-US"/>
        </w:rPr>
        <w:t>Association of Chief Police Officers</w:t>
      </w:r>
    </w:p>
    <w:p w14:paraId="34A662F5" w14:textId="77777777" w:rsidR="00720FAC" w:rsidRPr="00221A33" w:rsidRDefault="00720FAC" w:rsidP="00720FAC">
      <w:pPr>
        <w:spacing w:line="600" w:lineRule="auto"/>
        <w:rPr>
          <w:rFonts w:cs="Times New Roman"/>
          <w:lang w:val="en-US"/>
        </w:rPr>
      </w:pPr>
      <w:r w:rsidRPr="00221A33">
        <w:rPr>
          <w:rFonts w:cs="Times New Roman"/>
          <w:lang w:val="en-US"/>
        </w:rPr>
        <w:t xml:space="preserve">Criminal Justice Act </w:t>
      </w:r>
    </w:p>
    <w:p w14:paraId="6E2F26A5" w14:textId="77777777" w:rsidR="00720FAC" w:rsidRPr="00221A33" w:rsidRDefault="00720FAC" w:rsidP="00720FAC">
      <w:pPr>
        <w:spacing w:line="600" w:lineRule="auto"/>
        <w:rPr>
          <w:rFonts w:cs="Times New Roman"/>
          <w:lang w:val="en-US"/>
        </w:rPr>
      </w:pPr>
      <w:r w:rsidRPr="00221A33">
        <w:rPr>
          <w:rFonts w:cs="Times New Roman"/>
          <w:lang w:val="en-US"/>
        </w:rPr>
        <w:t>Criminal Procedure and Investigation Act</w:t>
      </w:r>
    </w:p>
    <w:p w14:paraId="21EA7963" w14:textId="77777777" w:rsidR="00720FAC" w:rsidRPr="00221A33" w:rsidRDefault="00720FAC" w:rsidP="00720FAC">
      <w:pPr>
        <w:spacing w:line="600" w:lineRule="auto"/>
        <w:rPr>
          <w:rFonts w:cs="Times New Roman"/>
          <w:lang w:val="en-US"/>
        </w:rPr>
      </w:pPr>
      <w:r w:rsidRPr="00221A33">
        <w:rPr>
          <w:rFonts w:cs="Times New Roman"/>
          <w:lang w:val="en-US"/>
        </w:rPr>
        <w:t>Crown Prosecution Service</w:t>
      </w:r>
    </w:p>
    <w:p w14:paraId="3B3F7EBE" w14:textId="77777777" w:rsidR="00720FAC" w:rsidRPr="00221A33" w:rsidRDefault="00720FAC" w:rsidP="00720FAC">
      <w:pPr>
        <w:spacing w:line="600" w:lineRule="auto"/>
        <w:rPr>
          <w:rFonts w:cs="Times New Roman"/>
          <w:lang w:val="en-US"/>
        </w:rPr>
      </w:pPr>
      <w:r w:rsidRPr="00221A33">
        <w:rPr>
          <w:rFonts w:cs="Times New Roman"/>
          <w:lang w:val="en-US"/>
        </w:rPr>
        <w:t xml:space="preserve">Criminal Procedure Rules </w:t>
      </w:r>
    </w:p>
    <w:p w14:paraId="0DEE0635" w14:textId="77777777" w:rsidR="00720FAC" w:rsidRPr="00184605" w:rsidRDefault="00720FAC" w:rsidP="00720FAC">
      <w:pPr>
        <w:spacing w:line="600" w:lineRule="auto"/>
        <w:rPr>
          <w:rFonts w:cs="Times New Roman"/>
        </w:rPr>
      </w:pPr>
      <w:r w:rsidRPr="00184605">
        <w:rPr>
          <w:rFonts w:cs="Times New Roman"/>
        </w:rPr>
        <w:t>Europees Hof voor de Rechten van de Mens</w:t>
      </w:r>
    </w:p>
    <w:p w14:paraId="7F70E828" w14:textId="77777777" w:rsidR="00720FAC" w:rsidRDefault="00720FAC" w:rsidP="00720FAC">
      <w:pPr>
        <w:spacing w:line="600" w:lineRule="auto"/>
        <w:ind w:right="-354"/>
        <w:rPr>
          <w:rFonts w:cs="Times New Roman"/>
        </w:rPr>
      </w:pPr>
      <w:r w:rsidRPr="00184605">
        <w:rPr>
          <w:rFonts w:cs="Times New Roman"/>
        </w:rPr>
        <w:t>Europees Verdrag voor de Rechten van de Mens</w:t>
      </w:r>
    </w:p>
    <w:p w14:paraId="0E13759C" w14:textId="0069C670" w:rsidR="00D03B18" w:rsidRPr="00046845" w:rsidRDefault="00D03B18" w:rsidP="00720FAC">
      <w:pPr>
        <w:spacing w:line="600" w:lineRule="auto"/>
        <w:ind w:right="-354"/>
        <w:rPr>
          <w:rFonts w:cs="Times New Roman"/>
          <w:lang w:val="en-US"/>
        </w:rPr>
      </w:pPr>
      <w:r w:rsidRPr="00046845">
        <w:rPr>
          <w:rFonts w:cs="Times New Roman"/>
          <w:lang w:val="en-US"/>
        </w:rPr>
        <w:t>Human Rights Act</w:t>
      </w:r>
    </w:p>
    <w:p w14:paraId="24053139" w14:textId="7FF6F99C" w:rsidR="008B31FA" w:rsidRPr="00046845" w:rsidRDefault="008B31FA" w:rsidP="00720FAC">
      <w:pPr>
        <w:spacing w:line="600" w:lineRule="auto"/>
        <w:ind w:right="-354"/>
        <w:rPr>
          <w:rFonts w:cs="Times New Roman"/>
          <w:lang w:val="en-US"/>
        </w:rPr>
      </w:pPr>
      <w:r w:rsidRPr="00046845">
        <w:rPr>
          <w:rFonts w:cs="Times New Roman"/>
          <w:lang w:val="en-US"/>
        </w:rPr>
        <w:t>Investigatory Powers Act</w:t>
      </w:r>
    </w:p>
    <w:p w14:paraId="29873C9F" w14:textId="77777777" w:rsidR="00720FAC" w:rsidRPr="00221A33" w:rsidRDefault="00720FAC" w:rsidP="00720FAC">
      <w:pPr>
        <w:spacing w:line="600" w:lineRule="auto"/>
        <w:rPr>
          <w:rFonts w:cs="Times New Roman"/>
          <w:lang w:val="en-US"/>
        </w:rPr>
      </w:pPr>
      <w:r w:rsidRPr="00221A33">
        <w:rPr>
          <w:rFonts w:cs="Times New Roman"/>
          <w:lang w:val="en-US"/>
        </w:rPr>
        <w:t>Nederlands Forensisch Instituut</w:t>
      </w:r>
    </w:p>
    <w:p w14:paraId="442D5D6E" w14:textId="77777777" w:rsidR="00720FAC" w:rsidRPr="00221A33" w:rsidRDefault="00720FAC" w:rsidP="00720FAC">
      <w:pPr>
        <w:spacing w:line="600" w:lineRule="auto"/>
        <w:rPr>
          <w:rFonts w:cs="Times New Roman"/>
          <w:lang w:val="en-US"/>
        </w:rPr>
      </w:pPr>
      <w:r w:rsidRPr="00221A33">
        <w:rPr>
          <w:rFonts w:cs="Times New Roman"/>
          <w:lang w:val="en-US"/>
        </w:rPr>
        <w:t>Magistrates’ Court Act</w:t>
      </w:r>
    </w:p>
    <w:p w14:paraId="1B660B3F" w14:textId="77777777" w:rsidR="00720FAC" w:rsidRPr="00184605" w:rsidRDefault="00720FAC" w:rsidP="00720FAC">
      <w:pPr>
        <w:spacing w:line="600" w:lineRule="auto"/>
        <w:rPr>
          <w:rFonts w:cs="Times New Roman"/>
        </w:rPr>
      </w:pPr>
      <w:r w:rsidRPr="00184605">
        <w:rPr>
          <w:rFonts w:cs="Times New Roman"/>
        </w:rPr>
        <w:t>Openbaar Ministerie</w:t>
      </w:r>
    </w:p>
    <w:p w14:paraId="34CA31E6" w14:textId="77777777" w:rsidR="00720FAC" w:rsidRDefault="00720FAC" w:rsidP="00720FAC">
      <w:pPr>
        <w:spacing w:line="600" w:lineRule="auto"/>
        <w:rPr>
          <w:rFonts w:cs="Times New Roman"/>
        </w:rPr>
      </w:pPr>
      <w:r w:rsidRPr="00184605">
        <w:rPr>
          <w:rFonts w:cs="Times New Roman"/>
        </w:rPr>
        <w:t>Pretty Good Privacy</w:t>
      </w:r>
    </w:p>
    <w:p w14:paraId="4BE91F5E" w14:textId="77777777" w:rsidR="00720FAC" w:rsidRPr="00184605" w:rsidRDefault="00720FAC" w:rsidP="00720FAC">
      <w:pPr>
        <w:spacing w:line="600" w:lineRule="auto"/>
        <w:rPr>
          <w:rFonts w:cs="Times New Roman"/>
        </w:rPr>
      </w:pPr>
      <w:r w:rsidRPr="00184605">
        <w:rPr>
          <w:rFonts w:cs="Times New Roman"/>
        </w:rPr>
        <w:t>Wetboek van Strafvordering</w:t>
      </w:r>
    </w:p>
    <w:p w14:paraId="496538AF" w14:textId="77777777" w:rsidR="00720FAC" w:rsidRPr="00184605" w:rsidRDefault="00720FAC" w:rsidP="00720FAC">
      <w:pPr>
        <w:rPr>
          <w:rFonts w:cs="Times New Roman"/>
        </w:rPr>
        <w:sectPr w:rsidR="00720FAC" w:rsidRPr="00184605" w:rsidSect="00720FAC">
          <w:type w:val="continuous"/>
          <w:pgSz w:w="11906" w:h="16838"/>
          <w:pgMar w:top="1417" w:right="1417" w:bottom="1417" w:left="1417" w:header="708" w:footer="708" w:gutter="0"/>
          <w:cols w:num="2" w:space="708"/>
          <w:docGrid w:linePitch="360"/>
        </w:sectPr>
      </w:pPr>
    </w:p>
    <w:p w14:paraId="797A35B2" w14:textId="17F53F06" w:rsidR="00FC4AE0" w:rsidRPr="00221A33" w:rsidRDefault="00FC4AE0" w:rsidP="009E4DE1">
      <w:pPr>
        <w:rPr>
          <w:rFonts w:cs="Times New Roman"/>
        </w:rPr>
      </w:pPr>
      <w:r>
        <w:rPr>
          <w:rFonts w:eastAsiaTheme="minorEastAsia" w:cs="Times New Roman"/>
        </w:rPr>
        <w:br w:type="page"/>
      </w:r>
    </w:p>
    <w:sdt>
      <w:sdtPr>
        <w:rPr>
          <w:rFonts w:ascii="Times New Roman" w:eastAsiaTheme="minorEastAsia" w:hAnsi="Times New Roman" w:cs="Times New Roman"/>
          <w:color w:val="auto"/>
          <w:kern w:val="2"/>
          <w:sz w:val="22"/>
          <w:szCs w:val="22"/>
          <w:lang w:eastAsia="en-US"/>
          <w14:ligatures w14:val="standardContextual"/>
        </w:rPr>
        <w:id w:val="-1822487332"/>
        <w:docPartObj>
          <w:docPartGallery w:val="Table of Contents"/>
          <w:docPartUnique/>
        </w:docPartObj>
      </w:sdtPr>
      <w:sdtEndPr>
        <w:rPr>
          <w:rFonts w:cstheme="minorBidi"/>
        </w:rPr>
      </w:sdtEndPr>
      <w:sdtContent>
        <w:p w14:paraId="348A8E0F" w14:textId="153DA89C" w:rsidR="004D1DD6" w:rsidRPr="00FC4AE0" w:rsidRDefault="004D1DD6" w:rsidP="00184605">
          <w:pPr>
            <w:pStyle w:val="Kopvaninhoudsopgave"/>
            <w:rPr>
              <w:rFonts w:ascii="Times New Roman" w:eastAsiaTheme="minorEastAsia" w:hAnsi="Times New Roman" w:cs="Times New Roman"/>
              <w:color w:val="auto"/>
              <w:sz w:val="22"/>
              <w:szCs w:val="22"/>
            </w:rPr>
          </w:pPr>
          <w:r w:rsidRPr="00184605">
            <w:rPr>
              <w:rFonts w:ascii="Times New Roman" w:hAnsi="Times New Roman" w:cs="Times New Roman"/>
              <w:color w:val="auto"/>
            </w:rPr>
            <w:t>Inhoudsopgave</w:t>
          </w:r>
        </w:p>
        <w:p w14:paraId="4278B296" w14:textId="0FF40CCE" w:rsidR="004D1DD6" w:rsidRPr="007B3898" w:rsidRDefault="00962258" w:rsidP="007B3898">
          <w:pPr>
            <w:pStyle w:val="Inhopg1"/>
          </w:pPr>
          <w:r>
            <w:t xml:space="preserve">1. </w:t>
          </w:r>
          <w:r w:rsidR="00055A64" w:rsidRPr="007B3898">
            <w:t>I</w:t>
          </w:r>
          <w:r w:rsidR="00DD1D57" w:rsidRPr="007B3898">
            <w:t>nleiding</w:t>
          </w:r>
          <w:r w:rsidR="004D1DD6" w:rsidRPr="007B3898">
            <w:ptab w:relativeTo="margin" w:alignment="right" w:leader="dot"/>
          </w:r>
          <w:r w:rsidR="00097437">
            <w:t>5</w:t>
          </w:r>
        </w:p>
        <w:p w14:paraId="2B67F5DE" w14:textId="196B60BA" w:rsidR="004D1DD6" w:rsidRDefault="00055A64" w:rsidP="00184605">
          <w:pPr>
            <w:pStyle w:val="Inhopg2"/>
            <w:ind w:left="216"/>
          </w:pPr>
          <w:r>
            <w:t>1.1 Probleemstelling</w:t>
          </w:r>
          <w:r w:rsidR="004D1DD6" w:rsidRPr="00184605">
            <w:ptab w:relativeTo="margin" w:alignment="right" w:leader="dot"/>
          </w:r>
          <w:r w:rsidR="00097437">
            <w:t>5</w:t>
          </w:r>
        </w:p>
        <w:p w14:paraId="41CB34F8" w14:textId="596F732B" w:rsidR="006C252D" w:rsidRDefault="006C252D" w:rsidP="006C252D">
          <w:pPr>
            <w:pStyle w:val="Inhopg2"/>
            <w:ind w:left="216"/>
          </w:pPr>
          <w:r>
            <w:t>1.</w:t>
          </w:r>
          <w:r w:rsidR="00C45E36">
            <w:t>2</w:t>
          </w:r>
          <w:r>
            <w:t xml:space="preserve"> </w:t>
          </w:r>
          <w:r w:rsidR="00C45E36">
            <w:t>Onderzoeksdoel</w:t>
          </w:r>
          <w:r w:rsidRPr="00184605">
            <w:ptab w:relativeTo="margin" w:alignment="right" w:leader="dot"/>
          </w:r>
          <w:r w:rsidR="00211E94">
            <w:t>8</w:t>
          </w:r>
        </w:p>
        <w:p w14:paraId="7A4AA3C9" w14:textId="1F7C6F2B" w:rsidR="00C45E36" w:rsidRDefault="00C45E36" w:rsidP="00C45E36">
          <w:pPr>
            <w:pStyle w:val="Inhopg2"/>
            <w:ind w:left="216"/>
          </w:pPr>
          <w:r>
            <w:t>1.3 Onderzoeksvraag</w:t>
          </w:r>
          <w:r w:rsidRPr="00184605">
            <w:ptab w:relativeTo="margin" w:alignment="right" w:leader="dot"/>
          </w:r>
          <w:r w:rsidR="00097437">
            <w:t>8</w:t>
          </w:r>
        </w:p>
        <w:p w14:paraId="1C7A589F" w14:textId="1AD6541D" w:rsidR="00C45E36" w:rsidRDefault="00C45E36" w:rsidP="00C45E36">
          <w:pPr>
            <w:pStyle w:val="Inhopg2"/>
            <w:ind w:left="216"/>
          </w:pPr>
          <w:r>
            <w:t>1.4 Methodologie</w:t>
          </w:r>
          <w:r w:rsidRPr="00184605">
            <w:ptab w:relativeTo="margin" w:alignment="right" w:leader="dot"/>
          </w:r>
          <w:r w:rsidR="00211E94">
            <w:t>9</w:t>
          </w:r>
        </w:p>
        <w:p w14:paraId="05ED4DF7" w14:textId="1C5499BB" w:rsidR="003E5BD2" w:rsidRPr="003E5BD2" w:rsidRDefault="00C45E36" w:rsidP="003E5BD2">
          <w:pPr>
            <w:pStyle w:val="Inhopg2"/>
            <w:ind w:left="216"/>
          </w:pPr>
          <w:r>
            <w:t>1.5 Leeswijzer</w:t>
          </w:r>
          <w:r w:rsidRPr="00184605">
            <w:ptab w:relativeTo="margin" w:alignment="right" w:leader="dot"/>
          </w:r>
          <w:r w:rsidR="00211E94">
            <w:t>10</w:t>
          </w:r>
        </w:p>
        <w:p w14:paraId="6E9640F7" w14:textId="4403D3CC" w:rsidR="004D1DD6" w:rsidRPr="00184605" w:rsidRDefault="00962258" w:rsidP="007B3898">
          <w:pPr>
            <w:pStyle w:val="Inhopg1"/>
          </w:pPr>
          <w:r>
            <w:t>2.</w:t>
          </w:r>
          <w:r w:rsidR="00C45E36">
            <w:t xml:space="preserve"> </w:t>
          </w:r>
          <w:r w:rsidR="00E87C1B">
            <w:t>Toegang tot datasets in het Nederlandse strafprocesrecht</w:t>
          </w:r>
          <w:r w:rsidR="004D1DD6" w:rsidRPr="00184605">
            <w:ptab w:relativeTo="margin" w:alignment="right" w:leader="dot"/>
          </w:r>
          <w:r w:rsidR="00211E94">
            <w:t>11</w:t>
          </w:r>
        </w:p>
        <w:p w14:paraId="1547345A" w14:textId="154167B1" w:rsidR="004D1DD6" w:rsidRDefault="00375ACC" w:rsidP="00184605">
          <w:pPr>
            <w:pStyle w:val="Inhopg2"/>
            <w:ind w:left="216"/>
          </w:pPr>
          <w:r>
            <w:t>2.1 Inleiding</w:t>
          </w:r>
          <w:r w:rsidR="004D1DD6" w:rsidRPr="00184605">
            <w:ptab w:relativeTo="margin" w:alignment="right" w:leader="dot"/>
          </w:r>
          <w:r w:rsidR="00097437">
            <w:t>1</w:t>
          </w:r>
          <w:r w:rsidR="00211E94">
            <w:t>1</w:t>
          </w:r>
        </w:p>
        <w:p w14:paraId="55C21DF5" w14:textId="04DEC494" w:rsidR="00375ACC" w:rsidRDefault="00375ACC" w:rsidP="00375ACC">
          <w:pPr>
            <w:pStyle w:val="Inhopg2"/>
            <w:ind w:left="216"/>
          </w:pPr>
          <w:r>
            <w:t xml:space="preserve">2.2 De </w:t>
          </w:r>
          <w:r w:rsidR="006B1B84">
            <w:t>achtergrond en inrichting</w:t>
          </w:r>
          <w:r>
            <w:t xml:space="preserve"> van het Nederlandse strafprocesrecht</w:t>
          </w:r>
          <w:r w:rsidRPr="00184605">
            <w:ptab w:relativeTo="margin" w:alignment="right" w:leader="dot"/>
          </w:r>
          <w:r w:rsidR="00211E94">
            <w:t>11</w:t>
          </w:r>
        </w:p>
        <w:p w14:paraId="5088BE26" w14:textId="5759E17C" w:rsidR="008D5915" w:rsidRPr="008D5915" w:rsidRDefault="008D5915" w:rsidP="008D5915">
          <w:pPr>
            <w:pStyle w:val="Inhopg2"/>
            <w:ind w:left="216"/>
          </w:pPr>
          <w:r>
            <w:t xml:space="preserve">2.3 De wettelijke grondslag voor </w:t>
          </w:r>
          <w:r w:rsidR="002A7199">
            <w:t>toegang tot bewijs</w:t>
          </w:r>
          <w:r w:rsidR="00793CEC">
            <w:t>materiaal</w:t>
          </w:r>
          <w:r w:rsidRPr="00184605">
            <w:ptab w:relativeTo="margin" w:alignment="right" w:leader="dot"/>
          </w:r>
          <w:r w:rsidR="00097437">
            <w:t>1</w:t>
          </w:r>
          <w:r w:rsidR="00793CEC">
            <w:t>3</w:t>
          </w:r>
        </w:p>
        <w:p w14:paraId="2C0330FC" w14:textId="58BA3973" w:rsidR="008D5915" w:rsidRDefault="00046845" w:rsidP="00046845">
          <w:pPr>
            <w:pStyle w:val="Inhopg3"/>
            <w:ind w:left="446"/>
          </w:pPr>
          <w:r>
            <w:t xml:space="preserve">  </w:t>
          </w:r>
          <w:r w:rsidR="008D5915">
            <w:t>2.3.1 Onthouding van de processtukken</w:t>
          </w:r>
          <w:r w:rsidR="004D1DD6" w:rsidRPr="00184605">
            <w:ptab w:relativeTo="margin" w:alignment="right" w:leader="dot"/>
          </w:r>
          <w:r w:rsidR="00097437">
            <w:t>1</w:t>
          </w:r>
          <w:r w:rsidR="00084412">
            <w:t>4</w:t>
          </w:r>
        </w:p>
        <w:p w14:paraId="73931A06" w14:textId="1C16C312" w:rsidR="00442EC8" w:rsidRDefault="00046845" w:rsidP="008D5915">
          <w:pPr>
            <w:pStyle w:val="Inhopg3"/>
            <w:ind w:left="446"/>
          </w:pPr>
          <w:r>
            <w:t xml:space="preserve">  </w:t>
          </w:r>
          <w:r w:rsidR="008D5915">
            <w:t>2.3.2 Voeging bij de processtukken</w:t>
          </w:r>
          <w:r w:rsidR="008D5915" w:rsidRPr="00184605">
            <w:ptab w:relativeTo="margin" w:alignment="right" w:leader="dot"/>
          </w:r>
          <w:r w:rsidR="00097437">
            <w:t>1</w:t>
          </w:r>
          <w:r w:rsidR="00084412">
            <w:t>5</w:t>
          </w:r>
        </w:p>
        <w:p w14:paraId="6D5A5143" w14:textId="12070F79" w:rsidR="00442EC8" w:rsidRDefault="00442EC8" w:rsidP="00442EC8">
          <w:pPr>
            <w:pStyle w:val="Inhopg2"/>
            <w:ind w:left="216"/>
          </w:pPr>
          <w:r>
            <w:t>2.</w:t>
          </w:r>
          <w:r w:rsidR="006713A3">
            <w:t>4</w:t>
          </w:r>
          <w:r>
            <w:t xml:space="preserve"> Europese rechtspraak</w:t>
          </w:r>
          <w:r w:rsidRPr="00184605">
            <w:ptab w:relativeTo="margin" w:alignment="right" w:leader="dot"/>
          </w:r>
          <w:r w:rsidR="00097437">
            <w:t>1</w:t>
          </w:r>
          <w:r w:rsidR="00084412">
            <w:t>6</w:t>
          </w:r>
        </w:p>
        <w:p w14:paraId="124CDC53" w14:textId="5B5018EC" w:rsidR="006713A3" w:rsidRPr="008D5915" w:rsidRDefault="006713A3" w:rsidP="006713A3">
          <w:pPr>
            <w:pStyle w:val="Inhopg2"/>
            <w:ind w:left="216"/>
          </w:pPr>
          <w:r>
            <w:t>2.5 Datasets</w:t>
          </w:r>
          <w:r w:rsidRPr="00184605">
            <w:ptab w:relativeTo="margin" w:alignment="right" w:leader="dot"/>
          </w:r>
          <w:r w:rsidR="00097437">
            <w:t>1</w:t>
          </w:r>
          <w:r w:rsidR="00DD00EF">
            <w:t>7</w:t>
          </w:r>
        </w:p>
        <w:p w14:paraId="2258F1E4" w14:textId="199C112C" w:rsidR="001C627F" w:rsidRDefault="00046845" w:rsidP="001C627F">
          <w:pPr>
            <w:pStyle w:val="Inhopg3"/>
            <w:ind w:left="446"/>
          </w:pPr>
          <w:r>
            <w:t xml:space="preserve">  </w:t>
          </w:r>
          <w:r w:rsidR="001C627F">
            <w:t>2.</w:t>
          </w:r>
          <w:r w:rsidR="00811810">
            <w:t>5</w:t>
          </w:r>
          <w:r w:rsidR="001C627F">
            <w:t>.</w:t>
          </w:r>
          <w:r w:rsidR="00811810">
            <w:t>1</w:t>
          </w:r>
          <w:r w:rsidR="001C627F">
            <w:t xml:space="preserve"> </w:t>
          </w:r>
          <w:r w:rsidR="00CE6751">
            <w:t>Toegang</w:t>
          </w:r>
          <w:r w:rsidR="001C627F">
            <w:t xml:space="preserve"> tot</w:t>
          </w:r>
          <w:r w:rsidR="00CE6751">
            <w:t xml:space="preserve"> de tertiaire</w:t>
          </w:r>
          <w:r w:rsidR="001C627F">
            <w:t xml:space="preserve"> dataset</w:t>
          </w:r>
          <w:r w:rsidR="001C627F" w:rsidRPr="00184605">
            <w:ptab w:relativeTo="margin" w:alignment="right" w:leader="dot"/>
          </w:r>
          <w:r w:rsidR="00097437">
            <w:t>1</w:t>
          </w:r>
          <w:r w:rsidR="00DD00EF">
            <w:t>8</w:t>
          </w:r>
        </w:p>
        <w:p w14:paraId="49446B27" w14:textId="0FD6CB6A" w:rsidR="001C627F" w:rsidRDefault="00046845" w:rsidP="001C627F">
          <w:pPr>
            <w:pStyle w:val="Inhopg3"/>
            <w:ind w:left="446"/>
          </w:pPr>
          <w:r>
            <w:t xml:space="preserve">  </w:t>
          </w:r>
          <w:r w:rsidR="001C627F">
            <w:t>2.</w:t>
          </w:r>
          <w:r w:rsidR="00811810">
            <w:t>5</w:t>
          </w:r>
          <w:r w:rsidR="001C627F">
            <w:t xml:space="preserve">.2 </w:t>
          </w:r>
          <w:r w:rsidR="00FA6F81">
            <w:t>Toegang tot de volledige dataset</w:t>
          </w:r>
          <w:r w:rsidR="001C627F" w:rsidRPr="00184605">
            <w:ptab w:relativeTo="margin" w:alignment="right" w:leader="dot"/>
          </w:r>
          <w:r w:rsidR="00097437">
            <w:t>1</w:t>
          </w:r>
          <w:r w:rsidR="00DD00EF">
            <w:t>8</w:t>
          </w:r>
        </w:p>
        <w:p w14:paraId="60CFA144" w14:textId="4A5CC2F0" w:rsidR="001C627F" w:rsidRDefault="00046845" w:rsidP="001C627F">
          <w:pPr>
            <w:pStyle w:val="Inhopg3"/>
            <w:ind w:left="446"/>
          </w:pPr>
          <w:r>
            <w:t xml:space="preserve">  </w:t>
          </w:r>
          <w:r w:rsidR="001C627F">
            <w:t>2.</w:t>
          </w:r>
          <w:r w:rsidR="00811810">
            <w:t>5</w:t>
          </w:r>
          <w:r w:rsidR="001C627F">
            <w:t>.</w:t>
          </w:r>
          <w:r w:rsidR="00811810">
            <w:t>3</w:t>
          </w:r>
          <w:r w:rsidR="001C627F">
            <w:t xml:space="preserve"> </w:t>
          </w:r>
          <w:r w:rsidR="00AE563A">
            <w:t>Toegang tot de secundaire dataset</w:t>
          </w:r>
          <w:r w:rsidR="001C627F" w:rsidRPr="00184605">
            <w:ptab w:relativeTo="margin" w:alignment="right" w:leader="dot"/>
          </w:r>
          <w:r w:rsidR="00DD00EF">
            <w:t>20</w:t>
          </w:r>
        </w:p>
        <w:p w14:paraId="186A8F56" w14:textId="7F1E3C8A" w:rsidR="001C627F" w:rsidRDefault="00046845" w:rsidP="001C627F">
          <w:pPr>
            <w:pStyle w:val="Inhopg3"/>
            <w:ind w:left="446"/>
          </w:pPr>
          <w:r>
            <w:t xml:space="preserve">  </w:t>
          </w:r>
          <w:r w:rsidR="001C627F">
            <w:t>2.</w:t>
          </w:r>
          <w:r w:rsidR="00811810">
            <w:t>5</w:t>
          </w:r>
          <w:r w:rsidR="001C627F">
            <w:t>.</w:t>
          </w:r>
          <w:r w:rsidR="00811810">
            <w:t>4</w:t>
          </w:r>
          <w:r w:rsidR="001C627F">
            <w:t xml:space="preserve"> </w:t>
          </w:r>
          <w:r w:rsidR="00811810">
            <w:t>Kritiek en praktische ontwikkelingen</w:t>
          </w:r>
          <w:r w:rsidR="001C627F" w:rsidRPr="00184605">
            <w:ptab w:relativeTo="margin" w:alignment="right" w:leader="dot"/>
          </w:r>
          <w:r w:rsidR="00DD00EF">
            <w:t>21</w:t>
          </w:r>
        </w:p>
        <w:p w14:paraId="77B7E493" w14:textId="34578A33" w:rsidR="00013160" w:rsidRPr="008D5915" w:rsidRDefault="00013160" w:rsidP="00013160">
          <w:pPr>
            <w:pStyle w:val="Inhopg2"/>
            <w:ind w:left="216"/>
          </w:pPr>
          <w:r>
            <w:t>2.6 Conclusie</w:t>
          </w:r>
          <w:r w:rsidRPr="00184605">
            <w:ptab w:relativeTo="margin" w:alignment="right" w:leader="dot"/>
          </w:r>
          <w:r>
            <w:t>2</w:t>
          </w:r>
          <w:r w:rsidR="00BE31EE">
            <w:t>2</w:t>
          </w:r>
        </w:p>
        <w:p w14:paraId="63E1C1B0" w14:textId="536D8590" w:rsidR="00D54B98" w:rsidRPr="00184605" w:rsidRDefault="00962258" w:rsidP="007B3898">
          <w:pPr>
            <w:pStyle w:val="Inhopg1"/>
          </w:pPr>
          <w:r>
            <w:t>3.</w:t>
          </w:r>
          <w:r w:rsidR="00D54B98">
            <w:t xml:space="preserve"> Toegang tot datasets in het strafprocesrecht van Engeland &amp; Wales</w:t>
          </w:r>
          <w:r w:rsidR="00D54B98" w:rsidRPr="00184605">
            <w:ptab w:relativeTo="margin" w:alignment="right" w:leader="dot"/>
          </w:r>
          <w:r w:rsidR="00826858">
            <w:t>23</w:t>
          </w:r>
        </w:p>
        <w:p w14:paraId="5A5E3050" w14:textId="2E21DE49" w:rsidR="003E5BD2" w:rsidRDefault="003E5BD2" w:rsidP="003E5BD2">
          <w:pPr>
            <w:pStyle w:val="Inhopg2"/>
            <w:ind w:left="216"/>
          </w:pPr>
          <w:r>
            <w:t>3.1 Inleiding</w:t>
          </w:r>
          <w:r w:rsidRPr="00184605">
            <w:ptab w:relativeTo="margin" w:alignment="right" w:leader="dot"/>
          </w:r>
          <w:r w:rsidR="00511C94">
            <w:t>2</w:t>
          </w:r>
          <w:r w:rsidR="00826858">
            <w:t>3</w:t>
          </w:r>
        </w:p>
        <w:p w14:paraId="6A70530A" w14:textId="1532A66F" w:rsidR="003E5BD2" w:rsidRDefault="003E5BD2" w:rsidP="003E5BD2">
          <w:pPr>
            <w:pStyle w:val="Inhopg2"/>
            <w:ind w:left="216"/>
          </w:pPr>
          <w:r>
            <w:t>3.2 Het strafprocesrecht van Engeland &amp; Wales</w:t>
          </w:r>
          <w:r w:rsidRPr="00184605">
            <w:ptab w:relativeTo="margin" w:alignment="right" w:leader="dot"/>
          </w:r>
          <w:r w:rsidR="00511C94">
            <w:t>2</w:t>
          </w:r>
          <w:r w:rsidR="00826858">
            <w:t>3</w:t>
          </w:r>
        </w:p>
        <w:p w14:paraId="4866B4C8" w14:textId="484633F3" w:rsidR="00E34ADD" w:rsidRDefault="00046845" w:rsidP="00E34ADD">
          <w:pPr>
            <w:pStyle w:val="Inhopg3"/>
            <w:ind w:left="446"/>
          </w:pPr>
          <w:r>
            <w:t xml:space="preserve">  </w:t>
          </w:r>
          <w:r w:rsidR="00E34ADD">
            <w:t>3.2.1 Enkele facetten van het strafprocesrecht</w:t>
          </w:r>
          <w:r w:rsidR="00E34ADD" w:rsidRPr="00184605">
            <w:ptab w:relativeTo="margin" w:alignment="right" w:leader="dot"/>
          </w:r>
          <w:r w:rsidR="00511C94">
            <w:t>2</w:t>
          </w:r>
          <w:r w:rsidR="00472E55">
            <w:t>4</w:t>
          </w:r>
        </w:p>
        <w:p w14:paraId="08DF9217" w14:textId="4EE0EB00" w:rsidR="00B95EFD" w:rsidRDefault="00B95EFD" w:rsidP="00B95EFD">
          <w:pPr>
            <w:pStyle w:val="Inhopg2"/>
            <w:ind w:left="216"/>
          </w:pPr>
          <w:r>
            <w:t>3.3 Disclosure</w:t>
          </w:r>
          <w:r w:rsidRPr="00184605">
            <w:ptab w:relativeTo="margin" w:alignment="right" w:leader="dot"/>
          </w:r>
          <w:r w:rsidR="00511C94">
            <w:t>2</w:t>
          </w:r>
          <w:r w:rsidR="00932715">
            <w:t>6</w:t>
          </w:r>
        </w:p>
        <w:p w14:paraId="7ED630F4" w14:textId="2902B7D2" w:rsidR="00B95EFD" w:rsidRPr="00046845" w:rsidRDefault="00046845" w:rsidP="00B95EFD">
          <w:pPr>
            <w:pStyle w:val="Inhopg3"/>
            <w:ind w:left="446"/>
            <w:rPr>
              <w:lang w:val="en-US"/>
            </w:rPr>
          </w:pPr>
          <w:r w:rsidRPr="0078462C">
            <w:t xml:space="preserve">  </w:t>
          </w:r>
          <w:r w:rsidR="00B95EFD" w:rsidRPr="00046845">
            <w:rPr>
              <w:lang w:val="en-US"/>
            </w:rPr>
            <w:t>3.</w:t>
          </w:r>
          <w:r w:rsidR="000271FF" w:rsidRPr="00046845">
            <w:rPr>
              <w:lang w:val="en-US"/>
            </w:rPr>
            <w:t>3</w:t>
          </w:r>
          <w:r w:rsidR="00B95EFD" w:rsidRPr="00046845">
            <w:rPr>
              <w:lang w:val="en-US"/>
            </w:rPr>
            <w:t xml:space="preserve">.1 </w:t>
          </w:r>
          <w:r w:rsidR="00A43A63" w:rsidRPr="00046845">
            <w:rPr>
              <w:lang w:val="en-US"/>
            </w:rPr>
            <w:t>Disclosure van de prosecution case</w:t>
          </w:r>
          <w:r w:rsidR="00B95EFD" w:rsidRPr="00184605">
            <w:ptab w:relativeTo="margin" w:alignment="right" w:leader="dot"/>
          </w:r>
          <w:r w:rsidR="00511C94" w:rsidRPr="00046845">
            <w:rPr>
              <w:lang w:val="en-US"/>
            </w:rPr>
            <w:t>2</w:t>
          </w:r>
          <w:r w:rsidR="00932715">
            <w:rPr>
              <w:lang w:val="en-US"/>
            </w:rPr>
            <w:t>7</w:t>
          </w:r>
        </w:p>
        <w:p w14:paraId="7A20F18E" w14:textId="500697D8" w:rsidR="00B95EFD" w:rsidRPr="00046845" w:rsidRDefault="00046845" w:rsidP="00B95EFD">
          <w:pPr>
            <w:pStyle w:val="Inhopg3"/>
            <w:ind w:left="446"/>
            <w:rPr>
              <w:lang w:val="en-US"/>
            </w:rPr>
          </w:pPr>
          <w:r>
            <w:rPr>
              <w:lang w:val="en-US"/>
            </w:rPr>
            <w:t xml:space="preserve">  </w:t>
          </w:r>
          <w:r w:rsidR="00B95EFD" w:rsidRPr="00046845">
            <w:rPr>
              <w:lang w:val="en-US"/>
            </w:rPr>
            <w:t>3.</w:t>
          </w:r>
          <w:r w:rsidR="000271FF" w:rsidRPr="00046845">
            <w:rPr>
              <w:lang w:val="en-US"/>
            </w:rPr>
            <w:t>3</w:t>
          </w:r>
          <w:r w:rsidR="00B95EFD" w:rsidRPr="00046845">
            <w:rPr>
              <w:lang w:val="en-US"/>
            </w:rPr>
            <w:t>.</w:t>
          </w:r>
          <w:r w:rsidR="000271FF" w:rsidRPr="00046845">
            <w:rPr>
              <w:lang w:val="en-US"/>
            </w:rPr>
            <w:t>2</w:t>
          </w:r>
          <w:r w:rsidR="00B95EFD" w:rsidRPr="00046845">
            <w:rPr>
              <w:lang w:val="en-US"/>
            </w:rPr>
            <w:t xml:space="preserve"> </w:t>
          </w:r>
          <w:r w:rsidR="00D94CA2" w:rsidRPr="00046845">
            <w:rPr>
              <w:lang w:val="en-US"/>
            </w:rPr>
            <w:t>D</w:t>
          </w:r>
          <w:r w:rsidR="00687F4C" w:rsidRPr="00046845">
            <w:rPr>
              <w:lang w:val="en-US"/>
            </w:rPr>
            <w:t>e procedure voorafgaand aan statutory disclosure</w:t>
          </w:r>
          <w:r w:rsidR="00B95EFD" w:rsidRPr="00184605">
            <w:ptab w:relativeTo="margin" w:alignment="right" w:leader="dot"/>
          </w:r>
          <w:r w:rsidR="00932715">
            <w:rPr>
              <w:lang w:val="en-US"/>
            </w:rPr>
            <w:t>30</w:t>
          </w:r>
        </w:p>
        <w:p w14:paraId="5CDFCA99" w14:textId="0C2A3320" w:rsidR="00B95EFD" w:rsidRPr="00046845" w:rsidRDefault="00046845" w:rsidP="00B95EFD">
          <w:pPr>
            <w:pStyle w:val="Inhopg3"/>
            <w:ind w:left="446"/>
            <w:rPr>
              <w:lang w:val="en-US"/>
            </w:rPr>
          </w:pPr>
          <w:r>
            <w:rPr>
              <w:lang w:val="en-US"/>
            </w:rPr>
            <w:t xml:space="preserve">  </w:t>
          </w:r>
          <w:r w:rsidR="00B95EFD" w:rsidRPr="00046845">
            <w:rPr>
              <w:lang w:val="en-US"/>
            </w:rPr>
            <w:t>3.</w:t>
          </w:r>
          <w:r w:rsidR="000271FF" w:rsidRPr="00046845">
            <w:rPr>
              <w:lang w:val="en-US"/>
            </w:rPr>
            <w:t>3</w:t>
          </w:r>
          <w:r w:rsidR="00B95EFD" w:rsidRPr="00046845">
            <w:rPr>
              <w:lang w:val="en-US"/>
            </w:rPr>
            <w:t>.</w:t>
          </w:r>
          <w:r w:rsidR="000271FF" w:rsidRPr="00046845">
            <w:rPr>
              <w:lang w:val="en-US"/>
            </w:rPr>
            <w:t>3</w:t>
          </w:r>
          <w:r w:rsidR="00B95EFD" w:rsidRPr="00046845">
            <w:rPr>
              <w:lang w:val="en-US"/>
            </w:rPr>
            <w:t xml:space="preserve"> </w:t>
          </w:r>
          <w:r w:rsidR="00687F4C" w:rsidRPr="00046845">
            <w:rPr>
              <w:lang w:val="en-US"/>
            </w:rPr>
            <w:t>Statutory</w:t>
          </w:r>
          <w:r w:rsidR="00D94CA2" w:rsidRPr="00046845">
            <w:rPr>
              <w:lang w:val="en-US"/>
            </w:rPr>
            <w:t xml:space="preserve"> disclosure</w:t>
          </w:r>
          <w:r w:rsidR="00B95EFD" w:rsidRPr="00184605">
            <w:ptab w:relativeTo="margin" w:alignment="right" w:leader="dot"/>
          </w:r>
          <w:r w:rsidR="00511C94" w:rsidRPr="00046845">
            <w:rPr>
              <w:lang w:val="en-US"/>
            </w:rPr>
            <w:t>3</w:t>
          </w:r>
          <w:r w:rsidR="00932715">
            <w:rPr>
              <w:lang w:val="en-US"/>
            </w:rPr>
            <w:t>1</w:t>
          </w:r>
        </w:p>
        <w:p w14:paraId="106C2CB9" w14:textId="7C19C8A4" w:rsidR="00B95EFD" w:rsidRPr="00046845" w:rsidRDefault="00046845" w:rsidP="00B95EFD">
          <w:pPr>
            <w:pStyle w:val="Inhopg3"/>
            <w:ind w:left="446"/>
            <w:rPr>
              <w:lang w:val="en-US"/>
            </w:rPr>
          </w:pPr>
          <w:r>
            <w:rPr>
              <w:lang w:val="en-US"/>
            </w:rPr>
            <w:t xml:space="preserve">  </w:t>
          </w:r>
          <w:r w:rsidR="00B95EFD" w:rsidRPr="00046845">
            <w:rPr>
              <w:lang w:val="en-US"/>
            </w:rPr>
            <w:t>3.</w:t>
          </w:r>
          <w:r w:rsidR="000271FF" w:rsidRPr="00046845">
            <w:rPr>
              <w:lang w:val="en-US"/>
            </w:rPr>
            <w:t>3</w:t>
          </w:r>
          <w:r w:rsidR="00B95EFD" w:rsidRPr="00046845">
            <w:rPr>
              <w:lang w:val="en-US"/>
            </w:rPr>
            <w:t>.</w:t>
          </w:r>
          <w:r w:rsidR="000271FF" w:rsidRPr="00046845">
            <w:rPr>
              <w:lang w:val="en-US"/>
            </w:rPr>
            <w:t>4</w:t>
          </w:r>
          <w:r w:rsidR="00B95EFD" w:rsidRPr="00046845">
            <w:rPr>
              <w:lang w:val="en-US"/>
            </w:rPr>
            <w:t xml:space="preserve"> </w:t>
          </w:r>
          <w:r w:rsidR="00886CDB">
            <w:rPr>
              <w:lang w:val="en-US"/>
            </w:rPr>
            <w:t xml:space="preserve">Uitzonderingen op </w:t>
          </w:r>
          <w:r w:rsidR="00DE0742" w:rsidRPr="00046845">
            <w:rPr>
              <w:lang w:val="en-US"/>
            </w:rPr>
            <w:t>statutory disclosure</w:t>
          </w:r>
          <w:r w:rsidR="00B95EFD" w:rsidRPr="00184605">
            <w:ptab w:relativeTo="margin" w:alignment="right" w:leader="dot"/>
          </w:r>
          <w:r w:rsidR="00511C94" w:rsidRPr="00046845">
            <w:rPr>
              <w:lang w:val="en-US"/>
            </w:rPr>
            <w:t>3</w:t>
          </w:r>
          <w:r w:rsidR="004919F0">
            <w:rPr>
              <w:lang w:val="en-US"/>
            </w:rPr>
            <w:t>3</w:t>
          </w:r>
        </w:p>
        <w:p w14:paraId="20FC6038" w14:textId="33101E51" w:rsidR="00B95EFD" w:rsidRPr="00046845" w:rsidRDefault="00046845" w:rsidP="00B95EFD">
          <w:pPr>
            <w:pStyle w:val="Inhopg3"/>
            <w:ind w:left="446"/>
            <w:rPr>
              <w:lang w:val="en-US"/>
            </w:rPr>
          </w:pPr>
          <w:r>
            <w:rPr>
              <w:lang w:val="en-US"/>
            </w:rPr>
            <w:lastRenderedPageBreak/>
            <w:t xml:space="preserve">  </w:t>
          </w:r>
          <w:r w:rsidR="00B95EFD" w:rsidRPr="00046845">
            <w:rPr>
              <w:lang w:val="en-US"/>
            </w:rPr>
            <w:t>3.</w:t>
          </w:r>
          <w:r w:rsidR="000271FF" w:rsidRPr="00046845">
            <w:rPr>
              <w:lang w:val="en-US"/>
            </w:rPr>
            <w:t>3</w:t>
          </w:r>
          <w:r w:rsidR="00B95EFD" w:rsidRPr="00046845">
            <w:rPr>
              <w:lang w:val="en-US"/>
            </w:rPr>
            <w:t>.</w:t>
          </w:r>
          <w:r w:rsidR="000271FF" w:rsidRPr="00046845">
            <w:rPr>
              <w:lang w:val="en-US"/>
            </w:rPr>
            <w:t>5</w:t>
          </w:r>
          <w:r w:rsidR="00B95EFD" w:rsidRPr="00046845">
            <w:rPr>
              <w:lang w:val="en-US"/>
            </w:rPr>
            <w:t xml:space="preserve"> </w:t>
          </w:r>
          <w:r w:rsidR="00D94CA2" w:rsidRPr="00046845">
            <w:rPr>
              <w:lang w:val="en-US"/>
            </w:rPr>
            <w:t>Defence disclosure</w:t>
          </w:r>
          <w:r w:rsidR="00B95EFD" w:rsidRPr="00184605">
            <w:ptab w:relativeTo="margin" w:alignment="right" w:leader="dot"/>
          </w:r>
          <w:r w:rsidR="00511C94" w:rsidRPr="00046845">
            <w:rPr>
              <w:lang w:val="en-US"/>
            </w:rPr>
            <w:t>3</w:t>
          </w:r>
          <w:r w:rsidR="00D43452">
            <w:rPr>
              <w:lang w:val="en-US"/>
            </w:rPr>
            <w:t>4</w:t>
          </w:r>
        </w:p>
        <w:p w14:paraId="04E51DF4" w14:textId="042B2B8F" w:rsidR="00B95EFD" w:rsidRPr="00046845" w:rsidRDefault="00B95EFD" w:rsidP="00B95EFD">
          <w:pPr>
            <w:pStyle w:val="Inhopg2"/>
            <w:ind w:left="216"/>
            <w:rPr>
              <w:lang w:val="en-US"/>
            </w:rPr>
          </w:pPr>
          <w:r w:rsidRPr="00046845">
            <w:rPr>
              <w:lang w:val="en-US"/>
            </w:rPr>
            <w:t>3.</w:t>
          </w:r>
          <w:r w:rsidR="000271FF" w:rsidRPr="00046845">
            <w:rPr>
              <w:lang w:val="en-US"/>
            </w:rPr>
            <w:t>4</w:t>
          </w:r>
          <w:r w:rsidRPr="00046845">
            <w:rPr>
              <w:lang w:val="en-US"/>
            </w:rPr>
            <w:t xml:space="preserve"> </w:t>
          </w:r>
          <w:r w:rsidR="0098114B" w:rsidRPr="00046845">
            <w:rPr>
              <w:lang w:val="en-US"/>
            </w:rPr>
            <w:t>Witness summons</w:t>
          </w:r>
          <w:r w:rsidRPr="00184605">
            <w:ptab w:relativeTo="margin" w:alignment="right" w:leader="dot"/>
          </w:r>
          <w:r w:rsidR="00511C94" w:rsidRPr="00046845">
            <w:rPr>
              <w:lang w:val="en-US"/>
            </w:rPr>
            <w:t>3</w:t>
          </w:r>
          <w:r w:rsidR="00D43452">
            <w:rPr>
              <w:lang w:val="en-US"/>
            </w:rPr>
            <w:t>5</w:t>
          </w:r>
        </w:p>
        <w:p w14:paraId="64BABA75" w14:textId="3F243D41" w:rsidR="00B95EFD" w:rsidRPr="0078462C" w:rsidRDefault="00B95EFD" w:rsidP="00B95EFD">
          <w:pPr>
            <w:pStyle w:val="Inhopg2"/>
            <w:ind w:left="216"/>
            <w:rPr>
              <w:lang w:val="en-US"/>
            </w:rPr>
          </w:pPr>
          <w:r w:rsidRPr="0078462C">
            <w:rPr>
              <w:lang w:val="en-US"/>
            </w:rPr>
            <w:t>3.</w:t>
          </w:r>
          <w:r w:rsidR="000271FF" w:rsidRPr="0078462C">
            <w:rPr>
              <w:lang w:val="en-US"/>
            </w:rPr>
            <w:t>5</w:t>
          </w:r>
          <w:r w:rsidRPr="0078462C">
            <w:rPr>
              <w:lang w:val="en-US"/>
            </w:rPr>
            <w:t xml:space="preserve"> D</w:t>
          </w:r>
          <w:r w:rsidR="00751649" w:rsidRPr="0078462C">
            <w:rPr>
              <w:lang w:val="en-US"/>
            </w:rPr>
            <w:t>atasets</w:t>
          </w:r>
          <w:r w:rsidRPr="00184605">
            <w:ptab w:relativeTo="margin" w:alignment="right" w:leader="dot"/>
          </w:r>
          <w:r w:rsidR="00511C94" w:rsidRPr="0078462C">
            <w:rPr>
              <w:lang w:val="en-US"/>
            </w:rPr>
            <w:t>3</w:t>
          </w:r>
          <w:r w:rsidR="00D43452" w:rsidRPr="0078462C">
            <w:rPr>
              <w:lang w:val="en-US"/>
            </w:rPr>
            <w:t>6</w:t>
          </w:r>
        </w:p>
        <w:p w14:paraId="32D3C0A8" w14:textId="25A9E343" w:rsidR="00B95EFD" w:rsidRPr="0078462C" w:rsidRDefault="00046845" w:rsidP="00B95EFD">
          <w:pPr>
            <w:pStyle w:val="Inhopg3"/>
            <w:ind w:left="446"/>
            <w:rPr>
              <w:lang w:val="en-US"/>
            </w:rPr>
          </w:pPr>
          <w:r w:rsidRPr="0078462C">
            <w:rPr>
              <w:lang w:val="en-US"/>
            </w:rPr>
            <w:t xml:space="preserve">  </w:t>
          </w:r>
          <w:r w:rsidR="00B95EFD" w:rsidRPr="0078462C">
            <w:rPr>
              <w:lang w:val="en-US"/>
            </w:rPr>
            <w:t>3.</w:t>
          </w:r>
          <w:r w:rsidR="000271FF" w:rsidRPr="0078462C">
            <w:rPr>
              <w:lang w:val="en-US"/>
            </w:rPr>
            <w:t>5</w:t>
          </w:r>
          <w:r w:rsidR="00B95EFD" w:rsidRPr="0078462C">
            <w:rPr>
              <w:lang w:val="en-US"/>
            </w:rPr>
            <w:t>.1 Witness summons</w:t>
          </w:r>
          <w:r w:rsidR="00B95EFD" w:rsidRPr="00184605">
            <w:ptab w:relativeTo="margin" w:alignment="right" w:leader="dot"/>
          </w:r>
          <w:r w:rsidR="00511C94" w:rsidRPr="0078462C">
            <w:rPr>
              <w:lang w:val="en-US"/>
            </w:rPr>
            <w:t>3</w:t>
          </w:r>
          <w:r w:rsidR="00D43452" w:rsidRPr="0078462C">
            <w:rPr>
              <w:lang w:val="en-US"/>
            </w:rPr>
            <w:t>6</w:t>
          </w:r>
        </w:p>
        <w:p w14:paraId="0092AAB4" w14:textId="2FDB7790" w:rsidR="00B95EFD" w:rsidRPr="0078462C" w:rsidRDefault="00046845" w:rsidP="00B95EFD">
          <w:pPr>
            <w:pStyle w:val="Inhopg3"/>
            <w:ind w:left="446"/>
            <w:rPr>
              <w:lang w:val="en-US"/>
            </w:rPr>
          </w:pPr>
          <w:r w:rsidRPr="0078462C">
            <w:rPr>
              <w:lang w:val="en-US"/>
            </w:rPr>
            <w:t xml:space="preserve">  </w:t>
          </w:r>
          <w:r w:rsidR="00B95EFD" w:rsidRPr="0078462C">
            <w:rPr>
              <w:lang w:val="en-US"/>
            </w:rPr>
            <w:t>3.</w:t>
          </w:r>
          <w:r w:rsidR="000271FF" w:rsidRPr="0078462C">
            <w:rPr>
              <w:lang w:val="en-US"/>
            </w:rPr>
            <w:t>5</w:t>
          </w:r>
          <w:r w:rsidR="00B95EFD" w:rsidRPr="0078462C">
            <w:rPr>
              <w:lang w:val="en-US"/>
            </w:rPr>
            <w:t>.</w:t>
          </w:r>
          <w:r w:rsidR="000271FF" w:rsidRPr="0078462C">
            <w:rPr>
              <w:lang w:val="en-US"/>
            </w:rPr>
            <w:t>2</w:t>
          </w:r>
          <w:r w:rsidR="00B95EFD" w:rsidRPr="0078462C">
            <w:rPr>
              <w:lang w:val="en-US"/>
            </w:rPr>
            <w:t xml:space="preserve"> Disclosure</w:t>
          </w:r>
          <w:r w:rsidR="00B95EFD" w:rsidRPr="00184605">
            <w:ptab w:relativeTo="margin" w:alignment="right" w:leader="dot"/>
          </w:r>
          <w:r w:rsidR="00511C94" w:rsidRPr="0078462C">
            <w:rPr>
              <w:lang w:val="en-US"/>
            </w:rPr>
            <w:t>3</w:t>
          </w:r>
          <w:r w:rsidR="00D43452" w:rsidRPr="0078462C">
            <w:rPr>
              <w:lang w:val="en-US"/>
            </w:rPr>
            <w:t>7</w:t>
          </w:r>
        </w:p>
        <w:p w14:paraId="69DACE13" w14:textId="0FA53D39" w:rsidR="00B95EFD" w:rsidRDefault="00B95EFD" w:rsidP="00B95EFD">
          <w:pPr>
            <w:pStyle w:val="Inhopg2"/>
            <w:ind w:left="216"/>
          </w:pPr>
          <w:r>
            <w:t>3.</w:t>
          </w:r>
          <w:r w:rsidR="000271FF">
            <w:t>6</w:t>
          </w:r>
          <w:r>
            <w:t xml:space="preserve"> Conclusie</w:t>
          </w:r>
          <w:r w:rsidRPr="00184605">
            <w:ptab w:relativeTo="margin" w:alignment="right" w:leader="dot"/>
          </w:r>
          <w:r w:rsidR="00D43452">
            <w:t>41</w:t>
          </w:r>
        </w:p>
        <w:p w14:paraId="7F147E10" w14:textId="2928BC71" w:rsidR="00144499" w:rsidRPr="00184605" w:rsidRDefault="00962258" w:rsidP="007B3898">
          <w:pPr>
            <w:pStyle w:val="Inhopg1"/>
          </w:pPr>
          <w:r>
            <w:t>4.</w:t>
          </w:r>
          <w:r w:rsidR="00144499">
            <w:t xml:space="preserve"> Rechtsvergelijking</w:t>
          </w:r>
          <w:r w:rsidR="00144499" w:rsidRPr="00184605">
            <w:ptab w:relativeTo="margin" w:alignment="right" w:leader="dot"/>
          </w:r>
          <w:r w:rsidR="00D43452">
            <w:t>42</w:t>
          </w:r>
        </w:p>
        <w:p w14:paraId="5768F5D6" w14:textId="0698361A" w:rsidR="002D7FAA" w:rsidRDefault="002D7FAA" w:rsidP="002D7FAA">
          <w:pPr>
            <w:pStyle w:val="Inhopg2"/>
            <w:ind w:left="216"/>
          </w:pPr>
          <w:r>
            <w:t xml:space="preserve">4.1 </w:t>
          </w:r>
          <w:r w:rsidR="0002606D">
            <w:t>Vergelijking</w:t>
          </w:r>
          <w:r w:rsidRPr="00184605">
            <w:ptab w:relativeTo="margin" w:alignment="right" w:leader="dot"/>
          </w:r>
          <w:r w:rsidR="00511C94">
            <w:t>4</w:t>
          </w:r>
          <w:r w:rsidR="00D43452">
            <w:t>2</w:t>
          </w:r>
        </w:p>
        <w:p w14:paraId="320EAEAF" w14:textId="3DBD7231" w:rsidR="00162F25" w:rsidRDefault="00046845" w:rsidP="00162F25">
          <w:pPr>
            <w:pStyle w:val="Inhopg3"/>
            <w:ind w:left="446"/>
          </w:pPr>
          <w:r>
            <w:t xml:space="preserve">  </w:t>
          </w:r>
          <w:r w:rsidR="00162F25">
            <w:t>4.1.1 Overeenkomsten</w:t>
          </w:r>
          <w:r w:rsidR="00162F25" w:rsidRPr="00184605">
            <w:ptab w:relativeTo="margin" w:alignment="right" w:leader="dot"/>
          </w:r>
          <w:r w:rsidR="00511C94">
            <w:t>4</w:t>
          </w:r>
          <w:r w:rsidR="00D43452">
            <w:t>2</w:t>
          </w:r>
        </w:p>
        <w:p w14:paraId="33572AB8" w14:textId="557316B5" w:rsidR="00162F25" w:rsidRPr="00162F25" w:rsidRDefault="00046845" w:rsidP="00162F25">
          <w:pPr>
            <w:pStyle w:val="Inhopg3"/>
            <w:ind w:left="446"/>
          </w:pPr>
          <w:r>
            <w:t xml:space="preserve">  </w:t>
          </w:r>
          <w:r w:rsidR="00162F25">
            <w:t>4.1.2 Verschillen</w:t>
          </w:r>
          <w:r w:rsidR="00162F25" w:rsidRPr="00184605">
            <w:ptab w:relativeTo="margin" w:alignment="right" w:leader="dot"/>
          </w:r>
          <w:r w:rsidR="00511C94">
            <w:t>4</w:t>
          </w:r>
          <w:r w:rsidR="00D43452">
            <w:t>4</w:t>
          </w:r>
        </w:p>
        <w:p w14:paraId="7362AC57" w14:textId="7383849C" w:rsidR="002D7FAA" w:rsidRDefault="00162F25" w:rsidP="002D7FAA">
          <w:pPr>
            <w:pStyle w:val="Inhopg2"/>
            <w:ind w:left="216"/>
          </w:pPr>
          <w:r>
            <w:t>4</w:t>
          </w:r>
          <w:r w:rsidR="002D7FAA">
            <w:t>.</w:t>
          </w:r>
          <w:r>
            <w:t>2</w:t>
          </w:r>
          <w:r w:rsidR="002D7FAA">
            <w:t xml:space="preserve"> </w:t>
          </w:r>
          <w:r w:rsidR="0002606D">
            <w:t>Verklaring</w:t>
          </w:r>
          <w:r w:rsidR="002D7FAA" w:rsidRPr="00184605">
            <w:ptab w:relativeTo="margin" w:alignment="right" w:leader="dot"/>
          </w:r>
          <w:r w:rsidR="00511C94">
            <w:t>4</w:t>
          </w:r>
          <w:r w:rsidR="00D43452">
            <w:t>7</w:t>
          </w:r>
        </w:p>
        <w:p w14:paraId="2B7A8BBB" w14:textId="2014B879" w:rsidR="002D7FAA" w:rsidRDefault="00162F25" w:rsidP="002D7FAA">
          <w:pPr>
            <w:pStyle w:val="Inhopg2"/>
            <w:ind w:left="216"/>
          </w:pPr>
          <w:r>
            <w:t>4</w:t>
          </w:r>
          <w:r w:rsidR="002D7FAA">
            <w:t>.</w:t>
          </w:r>
          <w:r>
            <w:t>3</w:t>
          </w:r>
          <w:r w:rsidR="002D7FAA">
            <w:t xml:space="preserve"> </w:t>
          </w:r>
          <w:r w:rsidR="0002606D">
            <w:t>Waardering</w:t>
          </w:r>
          <w:r w:rsidR="002D7FAA" w:rsidRPr="00184605">
            <w:ptab w:relativeTo="margin" w:alignment="right" w:leader="dot"/>
          </w:r>
          <w:r w:rsidR="00511C94">
            <w:t>4</w:t>
          </w:r>
          <w:r w:rsidR="00D43452">
            <w:t>8</w:t>
          </w:r>
        </w:p>
        <w:p w14:paraId="5602DC81" w14:textId="2E108B07" w:rsidR="002D7FAA" w:rsidRPr="00184605" w:rsidRDefault="00962258" w:rsidP="007B3898">
          <w:pPr>
            <w:pStyle w:val="Inhopg1"/>
          </w:pPr>
          <w:r>
            <w:t>5.</w:t>
          </w:r>
          <w:r w:rsidR="002D7FAA">
            <w:t xml:space="preserve"> Conclusie</w:t>
          </w:r>
          <w:r w:rsidR="002D7FAA" w:rsidRPr="00184605">
            <w:ptab w:relativeTo="margin" w:alignment="right" w:leader="dot"/>
          </w:r>
          <w:r w:rsidR="00263DF3">
            <w:t>52</w:t>
          </w:r>
        </w:p>
        <w:p w14:paraId="4A09C1F5" w14:textId="3D4144E4" w:rsidR="002D7FAA" w:rsidRPr="009D5724" w:rsidRDefault="009D5724" w:rsidP="007B3898">
          <w:pPr>
            <w:pStyle w:val="Inhopg1"/>
          </w:pPr>
          <w:r>
            <w:t>Literatuurlijst</w:t>
          </w:r>
          <w:r w:rsidRPr="00184605">
            <w:ptab w:relativeTo="margin" w:alignment="right" w:leader="dot"/>
          </w:r>
          <w:r w:rsidR="00263DF3">
            <w:t>54</w:t>
          </w:r>
        </w:p>
        <w:p w14:paraId="554E7E40" w14:textId="275E5523" w:rsidR="009D5724" w:rsidRPr="00184605" w:rsidRDefault="00E516E4" w:rsidP="007B3898">
          <w:pPr>
            <w:pStyle w:val="Inhopg1"/>
          </w:pPr>
          <w:r>
            <w:t>J</w:t>
          </w:r>
          <w:r w:rsidR="009D5724">
            <w:t>urisprudentie</w:t>
          </w:r>
          <w:r w:rsidR="009D5724" w:rsidRPr="00184605">
            <w:ptab w:relativeTo="margin" w:alignment="right" w:leader="dot"/>
          </w:r>
          <w:r w:rsidR="00263DF3">
            <w:t>60</w:t>
          </w:r>
        </w:p>
        <w:p w14:paraId="3471981B" w14:textId="77777777" w:rsidR="00B95EFD" w:rsidRPr="00B95EFD" w:rsidRDefault="00B95EFD" w:rsidP="00B95EFD">
          <w:pPr>
            <w:rPr>
              <w:lang w:eastAsia="nl-NL"/>
            </w:rPr>
          </w:pPr>
        </w:p>
        <w:p w14:paraId="6D85FDCE" w14:textId="77777777" w:rsidR="00E34ADD" w:rsidRPr="00E34ADD" w:rsidRDefault="00E34ADD" w:rsidP="00E34ADD">
          <w:pPr>
            <w:rPr>
              <w:lang w:eastAsia="nl-NL"/>
            </w:rPr>
          </w:pPr>
        </w:p>
        <w:p w14:paraId="67B01478" w14:textId="04600B03" w:rsidR="004D1DD6" w:rsidRPr="00442EC8" w:rsidRDefault="00F656CA" w:rsidP="00442EC8">
          <w:pPr>
            <w:rPr>
              <w:lang w:eastAsia="nl-NL"/>
            </w:rPr>
          </w:pPr>
        </w:p>
      </w:sdtContent>
    </w:sdt>
    <w:p w14:paraId="6F77AC37" w14:textId="77777777" w:rsidR="00DB340B" w:rsidRPr="00184605" w:rsidRDefault="00DB340B" w:rsidP="00184605">
      <w:pPr>
        <w:rPr>
          <w:rFonts w:cs="Times New Roman"/>
          <w:b/>
          <w:bCs/>
        </w:rPr>
      </w:pPr>
      <w:bookmarkStart w:id="2" w:name="_Hlk168143827"/>
      <w:r w:rsidRPr="00184605">
        <w:rPr>
          <w:rFonts w:cs="Times New Roman"/>
          <w:b/>
          <w:bCs/>
        </w:rPr>
        <w:br w:type="page"/>
      </w:r>
    </w:p>
    <w:bookmarkEnd w:id="2"/>
    <w:p w14:paraId="346DB545" w14:textId="77777777" w:rsidR="008519C1" w:rsidRPr="007945CE" w:rsidRDefault="008519C1" w:rsidP="00821865">
      <w:pPr>
        <w:rPr>
          <w:rFonts w:cs="Times New Roman"/>
          <w:b/>
          <w:bCs/>
          <w:sz w:val="28"/>
          <w:szCs w:val="28"/>
        </w:rPr>
      </w:pPr>
      <w:r w:rsidRPr="007945CE">
        <w:rPr>
          <w:rFonts w:cs="Times New Roman"/>
          <w:b/>
          <w:bCs/>
          <w:sz w:val="28"/>
          <w:szCs w:val="28"/>
        </w:rPr>
        <w:lastRenderedPageBreak/>
        <w:t>Hoofdstuk 1: Inleiding</w:t>
      </w:r>
    </w:p>
    <w:p w14:paraId="6FCFD62E" w14:textId="77777777" w:rsidR="008519C1" w:rsidRPr="00184605" w:rsidRDefault="008519C1" w:rsidP="00821865">
      <w:pPr>
        <w:rPr>
          <w:rFonts w:cs="Times New Roman"/>
        </w:rPr>
      </w:pPr>
    </w:p>
    <w:p w14:paraId="135892CF" w14:textId="77777777" w:rsidR="008519C1" w:rsidRPr="00184605" w:rsidRDefault="008519C1" w:rsidP="00821865">
      <w:pPr>
        <w:rPr>
          <w:rFonts w:cs="Times New Roman"/>
          <w:b/>
          <w:bCs/>
        </w:rPr>
      </w:pPr>
      <w:r w:rsidRPr="00184605">
        <w:rPr>
          <w:rFonts w:cs="Times New Roman"/>
          <w:b/>
          <w:bCs/>
        </w:rPr>
        <w:t>1.1   Probleemstelling</w:t>
      </w:r>
    </w:p>
    <w:p w14:paraId="4804B87C" w14:textId="6705E95C" w:rsidR="008519C1" w:rsidRPr="00184605" w:rsidRDefault="008519C1" w:rsidP="00821865">
      <w:pPr>
        <w:rPr>
          <w:rFonts w:cs="Times New Roman"/>
        </w:rPr>
      </w:pPr>
      <w:r w:rsidRPr="00184605">
        <w:rPr>
          <w:rFonts w:cs="Times New Roman"/>
        </w:rPr>
        <w:t xml:space="preserve">Gedurende de Tweede Wereldoorlog maakte het Duitse leger veelvuldig gebruik van de </w:t>
      </w:r>
      <w:r w:rsidRPr="00184605">
        <w:rPr>
          <w:rFonts w:cs="Times New Roman"/>
          <w:i/>
          <w:iCs/>
        </w:rPr>
        <w:t>Enigma</w:t>
      </w:r>
      <w:r w:rsidRPr="00184605">
        <w:rPr>
          <w:rFonts w:cs="Times New Roman"/>
        </w:rPr>
        <w:t>, een machine die op versleutelde wijze via morsecode kon communiceren en als onbreekbaar werd beschouwd. Desondanks slaagde de Britse Gove</w:t>
      </w:r>
      <w:r w:rsidR="001D0ECD">
        <w:rPr>
          <w:rFonts w:cs="Times New Roman"/>
        </w:rPr>
        <w:t>r</w:t>
      </w:r>
      <w:r w:rsidRPr="00184605">
        <w:rPr>
          <w:rFonts w:cs="Times New Roman"/>
        </w:rPr>
        <w:t xml:space="preserve">nment Code and Cipher School erin om deze machine te kraken. De deels onder leiding van Alan Turing ontworpen </w:t>
      </w:r>
      <w:r w:rsidRPr="00184605">
        <w:rPr>
          <w:rFonts w:cs="Times New Roman"/>
          <w:i/>
          <w:iCs/>
        </w:rPr>
        <w:t>bombe</w:t>
      </w:r>
      <w:r w:rsidRPr="00184605">
        <w:rPr>
          <w:rFonts w:cs="Times New Roman"/>
        </w:rPr>
        <w:t xml:space="preserve"> stelde de geallieerden in staat om vitale communicatie van </w:t>
      </w:r>
      <w:r w:rsidR="001D0ECD">
        <w:rPr>
          <w:rFonts w:cs="Times New Roman"/>
        </w:rPr>
        <w:t>het Duitse leger</w:t>
      </w:r>
      <w:r w:rsidRPr="00184605">
        <w:rPr>
          <w:rFonts w:cs="Times New Roman"/>
        </w:rPr>
        <w:t xml:space="preserve"> te onderscheppen, hetgeen door Churchill en Eisenhower als doorslaggevend werd genoemd voor de overwinning op het Derde Rijk.</w:t>
      </w:r>
      <w:r w:rsidRPr="00184605">
        <w:rPr>
          <w:rFonts w:cs="Times New Roman"/>
          <w:vertAlign w:val="superscript"/>
        </w:rPr>
        <w:footnoteReference w:id="1"/>
      </w:r>
      <w:r w:rsidRPr="00184605">
        <w:rPr>
          <w:rFonts w:cs="Times New Roman"/>
        </w:rPr>
        <w:t xml:space="preserve"> </w:t>
      </w:r>
    </w:p>
    <w:p w14:paraId="78264A1B" w14:textId="77777777" w:rsidR="008519C1" w:rsidRPr="00184605" w:rsidRDefault="008519C1" w:rsidP="00821865">
      <w:pPr>
        <w:rPr>
          <w:rFonts w:cs="Times New Roman"/>
        </w:rPr>
      </w:pPr>
    </w:p>
    <w:p w14:paraId="6FF5DE93" w14:textId="0713616F" w:rsidR="008519C1" w:rsidRPr="00184605" w:rsidRDefault="00A253B2" w:rsidP="00821865">
      <w:pPr>
        <w:rPr>
          <w:rFonts w:cs="Times New Roman"/>
        </w:rPr>
      </w:pPr>
      <w:r>
        <w:rPr>
          <w:rFonts w:cs="Times New Roman"/>
        </w:rPr>
        <w:t xml:space="preserve">Naar verluidt hebben </w:t>
      </w:r>
      <w:r w:rsidR="36AA76B6" w:rsidRPr="00184605">
        <w:rPr>
          <w:rFonts w:cs="Times New Roman"/>
        </w:rPr>
        <w:t xml:space="preserve">criminelen jarenlang op een soortgelijke manier ongestoord met elkaar kunnen communiceren door middel van zogeheten </w:t>
      </w:r>
      <w:r w:rsidR="36AA76B6" w:rsidRPr="41859A08">
        <w:rPr>
          <w:rFonts w:cs="Times New Roman"/>
          <w:i/>
          <w:iCs/>
        </w:rPr>
        <w:t>Pretty Good Privacy</w:t>
      </w:r>
      <w:r w:rsidR="36AA76B6" w:rsidRPr="00184605">
        <w:rPr>
          <w:rFonts w:cs="Times New Roman"/>
        </w:rPr>
        <w:t xml:space="preserve"> (hierna: PGP)-telefoons. Met deze PGP-telefoons kan op versleutelde wijze worden gecommuniceerd via een netwerk dat is opgezet door een PGP-aanbieder. Volgens deze PGP-aanbieders </w:t>
      </w:r>
      <w:r w:rsidR="3C216847">
        <w:rPr>
          <w:rFonts w:cs="Times New Roman"/>
        </w:rPr>
        <w:t>zou</w:t>
      </w:r>
      <w:r w:rsidR="36AA76B6" w:rsidRPr="00184605">
        <w:rPr>
          <w:rFonts w:cs="Times New Roman"/>
        </w:rPr>
        <w:t xml:space="preserve"> communicatie </w:t>
      </w:r>
      <w:r w:rsidR="4FF9A648">
        <w:rPr>
          <w:rFonts w:cs="Times New Roman"/>
        </w:rPr>
        <w:t xml:space="preserve">via hun netwerk </w:t>
      </w:r>
      <w:r w:rsidR="36AA76B6" w:rsidRPr="00184605">
        <w:rPr>
          <w:rFonts w:cs="Times New Roman"/>
        </w:rPr>
        <w:t xml:space="preserve">vanwege de sterke versleuteling nooit in de handen van de autoriteiten kunnen vallen. Desondanks heeft de geschiedenis zich </w:t>
      </w:r>
      <w:r w:rsidR="47AE0229">
        <w:rPr>
          <w:rFonts w:cs="Times New Roman"/>
        </w:rPr>
        <w:t>herhaald</w:t>
      </w:r>
      <w:r w:rsidR="36AA76B6" w:rsidRPr="00184605">
        <w:rPr>
          <w:rFonts w:cs="Times New Roman"/>
        </w:rPr>
        <w:t>: in 2016 viel de eerste PGP-aanbieder, en in de jaren daarna vond de ene hack na de andere plaats door de autoriteiten.</w:t>
      </w:r>
      <w:r w:rsidR="008519C1" w:rsidRPr="00184605">
        <w:rPr>
          <w:rFonts w:cs="Times New Roman"/>
          <w:vertAlign w:val="superscript"/>
        </w:rPr>
        <w:footnoteReference w:id="2"/>
      </w:r>
      <w:r w:rsidR="420D8836">
        <w:rPr>
          <w:rFonts w:cs="Times New Roman"/>
        </w:rPr>
        <w:t xml:space="preserve"> </w:t>
      </w:r>
      <w:r w:rsidR="36AA76B6" w:rsidRPr="006A3C6A">
        <w:rPr>
          <w:rFonts w:cs="Times New Roman"/>
        </w:rPr>
        <w:t xml:space="preserve">Met name </w:t>
      </w:r>
      <w:r w:rsidR="186B4108" w:rsidRPr="006A3C6A">
        <w:rPr>
          <w:rFonts w:cs="Times New Roman"/>
        </w:rPr>
        <w:t xml:space="preserve">de hacks van PGP-aanbieders EncroChat en SkyECC </w:t>
      </w:r>
      <w:r w:rsidR="36AA76B6" w:rsidRPr="006A3C6A">
        <w:rPr>
          <w:rFonts w:cs="Times New Roman"/>
        </w:rPr>
        <w:t>hebben veel gevolgen gehad voor het Nederlandse strafprocesrecht</w:t>
      </w:r>
      <w:r w:rsidR="63730E62" w:rsidRPr="006A3C6A">
        <w:rPr>
          <w:rFonts w:cs="Times New Roman"/>
        </w:rPr>
        <w:t>, waaronder een grote discussie over</w:t>
      </w:r>
      <w:r w:rsidR="358902AC" w:rsidRPr="006A3C6A">
        <w:rPr>
          <w:rFonts w:cs="Times New Roman"/>
        </w:rPr>
        <w:t xml:space="preserve"> </w:t>
      </w:r>
      <w:r w:rsidR="58464F5B" w:rsidRPr="006A3C6A">
        <w:rPr>
          <w:rFonts w:cs="Times New Roman"/>
        </w:rPr>
        <w:t xml:space="preserve">de </w:t>
      </w:r>
      <w:r w:rsidR="1A61FA15">
        <w:rPr>
          <w:rFonts w:cs="Times New Roman"/>
        </w:rPr>
        <w:t>positie van de verdediging ten aanzien van de berichten die uit deze hacks zijn verkrege</w:t>
      </w:r>
      <w:r w:rsidR="42EDA35B">
        <w:rPr>
          <w:rFonts w:cs="Times New Roman"/>
        </w:rPr>
        <w:t>n.</w:t>
      </w:r>
    </w:p>
    <w:p w14:paraId="4668957A" w14:textId="77777777" w:rsidR="008519C1" w:rsidRPr="00184605" w:rsidRDefault="008519C1" w:rsidP="00821865">
      <w:pPr>
        <w:rPr>
          <w:rFonts w:cs="Times New Roman"/>
        </w:rPr>
      </w:pPr>
    </w:p>
    <w:p w14:paraId="353B4EB3" w14:textId="31C13BA7" w:rsidR="008519C1" w:rsidRPr="00184605" w:rsidRDefault="36AA76B6" w:rsidP="41859A08">
      <w:pPr>
        <w:rPr>
          <w:rFonts w:cs="Times New Roman"/>
        </w:rPr>
      </w:pPr>
      <w:r w:rsidRPr="00184605">
        <w:rPr>
          <w:rFonts w:cs="Times New Roman"/>
        </w:rPr>
        <w:t>EncroChat en SkyECC zijn twee PGP-aanbieders die in 2020 door de Franse autoriteiten zijn gehackt. Via deze hacks hebben de Franse autoriteiten honderden miljoenen aan versleutelde berichten weten te onderscheppen.</w:t>
      </w:r>
      <w:r w:rsidR="008519C1" w:rsidRPr="00184605">
        <w:rPr>
          <w:rFonts w:cs="Times New Roman"/>
          <w:vertAlign w:val="superscript"/>
        </w:rPr>
        <w:footnoteReference w:id="3"/>
      </w:r>
      <w:r w:rsidRPr="00184605">
        <w:rPr>
          <w:rFonts w:cs="Times New Roman"/>
        </w:rPr>
        <w:t xml:space="preserve"> Op een later moment zijn de uit deze hacks verkregen chatberichten – onder andere met behulp van Nederland</w:t>
      </w:r>
      <w:r w:rsidR="008519C1" w:rsidRPr="00184605">
        <w:rPr>
          <w:rFonts w:cs="Times New Roman"/>
          <w:vertAlign w:val="superscript"/>
        </w:rPr>
        <w:footnoteReference w:id="4"/>
      </w:r>
      <w:r w:rsidRPr="00184605">
        <w:rPr>
          <w:rFonts w:cs="Times New Roman"/>
        </w:rPr>
        <w:t xml:space="preserve"> – ontsleuteld en </w:t>
      </w:r>
      <w:r w:rsidR="65B273E7" w:rsidRPr="41859A08">
        <w:rPr>
          <w:rFonts w:cs="Times New Roman"/>
        </w:rPr>
        <w:t>vervolgens</w:t>
      </w:r>
      <w:r w:rsidRPr="00184605">
        <w:rPr>
          <w:rFonts w:cs="Times New Roman"/>
        </w:rPr>
        <w:t xml:space="preserve"> gebruikt om criminelen op te sporen: volgens Europol hebben de ontsleutelde berichten van EncroChat op zichzelf al geleid tot meer dan 6500 arrestaties en is er voor een bedrag van 900 miljoen euro in beslag genomen.</w:t>
      </w:r>
      <w:r w:rsidR="008519C1" w:rsidRPr="00184605">
        <w:rPr>
          <w:rFonts w:cs="Times New Roman"/>
          <w:vertAlign w:val="superscript"/>
        </w:rPr>
        <w:footnoteReference w:id="5"/>
      </w:r>
      <w:r w:rsidRPr="00184605">
        <w:rPr>
          <w:rFonts w:cs="Times New Roman"/>
        </w:rPr>
        <w:t xml:space="preserve"> Ook in Nederland worden de data uit de hacks van EncroChat en SkyECC (maar ook van andere PGP-aanbieders) in talloze rechtszaken gebruikt.</w:t>
      </w:r>
      <w:r w:rsidR="008519C1" w:rsidRPr="00184605">
        <w:rPr>
          <w:rFonts w:cs="Times New Roman"/>
          <w:vertAlign w:val="superscript"/>
        </w:rPr>
        <w:footnoteReference w:id="6"/>
      </w:r>
      <w:r w:rsidRPr="00184605">
        <w:rPr>
          <w:rFonts w:cs="Times New Roman"/>
        </w:rPr>
        <w:t xml:space="preserve"> Sterker nog, deze data vormen in een groot aantal zaken zelfs het </w:t>
      </w:r>
      <w:r w:rsidRPr="00184605">
        <w:rPr>
          <w:rFonts w:cs="Times New Roman"/>
        </w:rPr>
        <w:lastRenderedPageBreak/>
        <w:t>doorslaggevend bewijs voor de bewezenverklaring.</w:t>
      </w:r>
      <w:r w:rsidR="008519C1" w:rsidRPr="00184605">
        <w:rPr>
          <w:rFonts w:cs="Times New Roman"/>
          <w:vertAlign w:val="superscript"/>
        </w:rPr>
        <w:footnoteReference w:id="7"/>
      </w:r>
      <w:r w:rsidRPr="00184605">
        <w:rPr>
          <w:rFonts w:cs="Times New Roman"/>
        </w:rPr>
        <w:t xml:space="preserve"> Bovendien zijn de hacks van EncroChat en SkyECC niet de laatste van hun soort: in 2023 is gebleken dat de Nederlandse politie vijf maanden</w:t>
      </w:r>
      <w:r w:rsidR="5735E72A" w:rsidRPr="00184605">
        <w:rPr>
          <w:rFonts w:cs="Times New Roman"/>
        </w:rPr>
        <w:t xml:space="preserve"> </w:t>
      </w:r>
      <w:r w:rsidRPr="00184605">
        <w:rPr>
          <w:rFonts w:cs="Times New Roman"/>
        </w:rPr>
        <w:t>mee heeft kunnen lezen met criminelen die gebruik maakten van PGP-aanbieder Exclu Messenger. Ook deze operatie heeft geleid tot meerdere aanhoudingen en doorzoekingen.</w:t>
      </w:r>
      <w:r w:rsidR="008519C1" w:rsidRPr="00184605">
        <w:rPr>
          <w:rFonts w:cs="Times New Roman"/>
          <w:vertAlign w:val="superscript"/>
        </w:rPr>
        <w:footnoteReference w:id="8"/>
      </w:r>
      <w:r w:rsidRPr="00184605">
        <w:rPr>
          <w:rFonts w:cs="Times New Roman"/>
        </w:rPr>
        <w:t xml:space="preserve"> Gezien de relevantie en de mate waarin PGP-data onderdeel uitmaken van het bewijs in strafzaken is het dan ook niet </w:t>
      </w:r>
      <w:r w:rsidR="7A5AA200" w:rsidRPr="41859A08">
        <w:rPr>
          <w:rFonts w:cs="Times New Roman"/>
        </w:rPr>
        <w:t>opvallend</w:t>
      </w:r>
      <w:r w:rsidRPr="00184605">
        <w:rPr>
          <w:rFonts w:cs="Times New Roman"/>
        </w:rPr>
        <w:t xml:space="preserve"> dat deze digitale en datagedreven opsporing wordt bestempeld als ‘de toekomst van de opsporing van georganiseerde criminaliteit’.</w:t>
      </w:r>
      <w:r w:rsidR="008519C1" w:rsidRPr="00184605">
        <w:rPr>
          <w:rFonts w:cs="Times New Roman"/>
          <w:vertAlign w:val="superscript"/>
        </w:rPr>
        <w:footnoteReference w:id="9"/>
      </w:r>
      <w:r w:rsidRPr="00184605">
        <w:rPr>
          <w:rFonts w:cs="Times New Roman"/>
        </w:rPr>
        <w:t xml:space="preserve"> </w:t>
      </w:r>
    </w:p>
    <w:p w14:paraId="3F46F9A7" w14:textId="77777777" w:rsidR="008519C1" w:rsidRPr="00184605" w:rsidRDefault="008519C1" w:rsidP="00821865">
      <w:pPr>
        <w:rPr>
          <w:rFonts w:cs="Times New Roman"/>
        </w:rPr>
      </w:pPr>
    </w:p>
    <w:p w14:paraId="20E4403B" w14:textId="2BE2C244" w:rsidR="008519C1" w:rsidRPr="00184605" w:rsidRDefault="008519C1" w:rsidP="00821865">
      <w:pPr>
        <w:rPr>
          <w:rFonts w:cs="Times New Roman"/>
        </w:rPr>
      </w:pPr>
      <w:r w:rsidRPr="00184605">
        <w:rPr>
          <w:rFonts w:cs="Times New Roman"/>
        </w:rPr>
        <w:t xml:space="preserve">Deze digitale, datagedreven opsporing en de daarbij behorende gigantische hoeveelheid aan chatberichten en gegevens – die per strafzaak valt op te delen in zogeheten </w:t>
      </w:r>
      <w:r w:rsidRPr="00184605">
        <w:rPr>
          <w:rFonts w:cs="Times New Roman"/>
          <w:i/>
          <w:iCs/>
        </w:rPr>
        <w:t>datasets</w:t>
      </w:r>
      <w:r w:rsidRPr="00184605">
        <w:rPr>
          <w:rFonts w:cs="Times New Roman"/>
          <w:vertAlign w:val="superscript"/>
        </w:rPr>
        <w:footnoteReference w:id="10"/>
      </w:r>
      <w:r w:rsidRPr="00184605">
        <w:rPr>
          <w:rFonts w:cs="Times New Roman"/>
        </w:rPr>
        <w:t xml:space="preserve"> – is echter een relatief nieuw fenomeen binnen het strafprocesrecht. De bestaande wetgeving en jurisprudentie op het moment dat de eerste PGP-aanbieder werd gehackt, was dan ook niet gericht op het gebruik van deze datasets voor de bewijsvoering.</w:t>
      </w:r>
      <w:r w:rsidRPr="00184605">
        <w:rPr>
          <w:rFonts w:cs="Times New Roman"/>
          <w:vertAlign w:val="superscript"/>
        </w:rPr>
        <w:footnoteReference w:id="11"/>
      </w:r>
      <w:r w:rsidRPr="00184605">
        <w:rPr>
          <w:rFonts w:cs="Times New Roman"/>
        </w:rPr>
        <w:t xml:space="preserve"> Als gevolg daarvan is er op een aantal punten onduidelijkheid ontstaan, waaronder de mate waarin en de wijze waarop de verdediging toegang moet krijgen tot datasets. Zo wordt er door advocaten in strafzaken en daarbuiten geklaagd over de manier waarop zij toegang krijgen tot datasets.</w:t>
      </w:r>
      <w:r w:rsidRPr="00184605">
        <w:rPr>
          <w:rFonts w:cs="Times New Roman"/>
          <w:vertAlign w:val="superscript"/>
        </w:rPr>
        <w:footnoteReference w:id="12"/>
      </w:r>
      <w:r w:rsidRPr="00184605">
        <w:rPr>
          <w:rFonts w:cs="Times New Roman"/>
        </w:rPr>
        <w:t xml:space="preserve"> Bovendien stellen zij zich op het standpunt dat de ver</w:t>
      </w:r>
      <w:r w:rsidR="000013B9">
        <w:rPr>
          <w:rFonts w:cs="Times New Roman"/>
        </w:rPr>
        <w:t>dediging in een strafzaak toegang moet krijgen tot</w:t>
      </w:r>
      <w:r w:rsidRPr="00184605">
        <w:rPr>
          <w:rFonts w:cs="Times New Roman"/>
        </w:rPr>
        <w:t xml:space="preserve"> al het berichtenverkeer dat uit het opsporingsonderz</w:t>
      </w:r>
      <w:r w:rsidR="00AD5CB6">
        <w:rPr>
          <w:rFonts w:cs="Times New Roman"/>
        </w:rPr>
        <w:t>oek is verkregen, terwijl het Openbaar Ministerie (hierna: OM)</w:t>
      </w:r>
      <w:r w:rsidRPr="00184605">
        <w:rPr>
          <w:rFonts w:cs="Times New Roman"/>
        </w:rPr>
        <w:t xml:space="preserve"> meent dat dit niet het geval is.</w:t>
      </w:r>
      <w:r w:rsidRPr="00184605">
        <w:rPr>
          <w:rFonts w:cs="Times New Roman"/>
          <w:vertAlign w:val="superscript"/>
        </w:rPr>
        <w:footnoteReference w:id="13"/>
      </w:r>
      <w:r w:rsidRPr="00184605">
        <w:rPr>
          <w:rFonts w:cs="Times New Roman"/>
        </w:rPr>
        <w:t xml:space="preserve"> Daarnaast betoogt Galič dat de </w:t>
      </w:r>
      <w:r w:rsidR="00E459AB">
        <w:rPr>
          <w:rFonts w:cs="Times New Roman"/>
        </w:rPr>
        <w:t>toegang</w:t>
      </w:r>
      <w:r w:rsidRPr="00184605">
        <w:rPr>
          <w:rFonts w:cs="Times New Roman"/>
        </w:rPr>
        <w:t xml:space="preserve"> die de verdediging toekomt op dezelfde wijze moet worden vormgegeven als die van het OM, terwijl Egberts juist pleit dat dit niet het geval is.</w:t>
      </w:r>
      <w:r w:rsidRPr="00184605">
        <w:rPr>
          <w:rFonts w:cs="Times New Roman"/>
          <w:vertAlign w:val="superscript"/>
        </w:rPr>
        <w:footnoteReference w:id="14"/>
      </w:r>
      <w:r w:rsidRPr="00184605">
        <w:rPr>
          <w:rFonts w:cs="Times New Roman"/>
        </w:rPr>
        <w:t xml:space="preserve"> </w:t>
      </w:r>
    </w:p>
    <w:p w14:paraId="6F80D2A0" w14:textId="77777777" w:rsidR="008519C1" w:rsidRPr="00184605" w:rsidRDefault="008519C1" w:rsidP="00821865">
      <w:pPr>
        <w:rPr>
          <w:rFonts w:cs="Times New Roman"/>
        </w:rPr>
      </w:pPr>
    </w:p>
    <w:p w14:paraId="4C2EAE43" w14:textId="77777777" w:rsidR="001432B4" w:rsidRPr="001432B4" w:rsidRDefault="001432B4" w:rsidP="001432B4">
      <w:pPr>
        <w:rPr>
          <w:rFonts w:eastAsia="Calibri" w:cs="Times New Roman"/>
        </w:rPr>
      </w:pPr>
      <w:r w:rsidRPr="001432B4">
        <w:rPr>
          <w:rFonts w:eastAsia="Calibri" w:cs="Times New Roman"/>
        </w:rPr>
        <w:t>Dit discours over de mate van toegang voor de verdediging tot datasets en de wijze waarop dat zou moeten geschieden ziet op de verhouding tussen het Openbaar Ministerie en de verdediging als procesdeelnemers. Hierdoor maakt deze discussie onderdeel uit van een grotere beweging binnen het strafprocesrecht: het Nederlandse strafproces heeft van oorsprong een inquisitoir karakter, maar verkrijgt afgelopen jaren steeds meer karaktertrekken van een adversair strafproces.</w:t>
      </w:r>
      <w:r w:rsidRPr="001432B4">
        <w:rPr>
          <w:rFonts w:eastAsia="Calibri" w:cs="Times New Roman"/>
          <w:vertAlign w:val="superscript"/>
        </w:rPr>
        <w:footnoteReference w:id="15"/>
      </w:r>
      <w:r w:rsidRPr="001432B4">
        <w:rPr>
          <w:rFonts w:eastAsia="Calibri" w:cs="Times New Roman"/>
        </w:rPr>
        <w:t xml:space="preserve"> Als gevolg hiervan komt aan tegenspraak in het strafproces een steeds groter belang toe.</w:t>
      </w:r>
      <w:r w:rsidRPr="001432B4">
        <w:rPr>
          <w:rFonts w:eastAsia="Calibri" w:cs="Times New Roman"/>
          <w:vertAlign w:val="superscript"/>
        </w:rPr>
        <w:footnoteReference w:id="16"/>
      </w:r>
      <w:r w:rsidRPr="001432B4">
        <w:rPr>
          <w:rFonts w:eastAsia="Calibri" w:cs="Times New Roman"/>
        </w:rPr>
        <w:t xml:space="preserve"> Het belang van </w:t>
      </w:r>
      <w:r w:rsidRPr="001432B4">
        <w:rPr>
          <w:rFonts w:eastAsia="Calibri" w:cs="Times New Roman"/>
        </w:rPr>
        <w:lastRenderedPageBreak/>
        <w:t>tegenspraak leidt er op zijn beurt toe dat er steeds meer verantwoordelijkheid komt te liggen bij de verdediging, juist terwijl er steeds hogere eisen worden gesteld aan zijn procesvoering.</w:t>
      </w:r>
      <w:r w:rsidRPr="001432B4">
        <w:rPr>
          <w:rFonts w:eastAsia="Calibri" w:cs="Times New Roman"/>
          <w:vertAlign w:val="superscript"/>
        </w:rPr>
        <w:footnoteReference w:id="17"/>
      </w:r>
      <w:r w:rsidRPr="001432B4">
        <w:rPr>
          <w:rFonts w:eastAsia="Calibri" w:cs="Times New Roman"/>
        </w:rPr>
        <w:t xml:space="preserve"> Dit zal in de toekomst ook steeds meer het geval zijn met de ‘beweging naar voren’ die in de modernisering van het Wetboek van Strafvordering is opgenomen: deze accentverschuiving naar het vooronderzoek bewerkstelligt dat een strafzaak geheel moet zijn voorbereid voordat de terechtzitting plaatsvindt.</w:t>
      </w:r>
      <w:r w:rsidRPr="001432B4">
        <w:rPr>
          <w:rFonts w:eastAsia="Calibri" w:cs="Times New Roman"/>
          <w:vertAlign w:val="superscript"/>
        </w:rPr>
        <w:footnoteReference w:id="18"/>
      </w:r>
      <w:r w:rsidRPr="001432B4">
        <w:rPr>
          <w:rFonts w:eastAsia="Calibri" w:cs="Times New Roman"/>
        </w:rPr>
        <w:t xml:space="preserve"> Binnen deze ‘beweging naar voren’ komt de nadruk nog sterker te liggen op het vooronderzoek, waardoor onder meer van de verdediging wordt verwacht dat hij in een vroeg stadium effectief tegenspraak levert.</w:t>
      </w:r>
      <w:r w:rsidRPr="001432B4">
        <w:rPr>
          <w:rFonts w:eastAsia="Calibri" w:cs="Times New Roman"/>
          <w:vertAlign w:val="superscript"/>
        </w:rPr>
        <w:footnoteReference w:id="19"/>
      </w:r>
    </w:p>
    <w:p w14:paraId="35E01443" w14:textId="77777777" w:rsidR="001432B4" w:rsidRPr="001432B4" w:rsidRDefault="001432B4" w:rsidP="001432B4">
      <w:pPr>
        <w:rPr>
          <w:rFonts w:eastAsia="Calibri" w:cs="Times New Roman"/>
        </w:rPr>
      </w:pPr>
    </w:p>
    <w:p w14:paraId="70761299" w14:textId="3B8422DA" w:rsidR="001432B4" w:rsidRPr="001432B4" w:rsidRDefault="001432B4" w:rsidP="001432B4">
      <w:pPr>
        <w:rPr>
          <w:rFonts w:eastAsia="Calibri" w:cs="Times New Roman"/>
        </w:rPr>
      </w:pPr>
      <w:r w:rsidRPr="001432B4">
        <w:rPr>
          <w:rFonts w:eastAsia="Calibri" w:cs="Times New Roman"/>
        </w:rPr>
        <w:t>Door de nadruk op tegenspraak en de toename van verantwoordelijkheden van de verdediging en het Openbaar Ministerie zijn de verhoudingen tussen de procespartijen veranderd.</w:t>
      </w:r>
      <w:r w:rsidRPr="001432B4">
        <w:rPr>
          <w:rFonts w:eastAsia="Calibri" w:cs="Times New Roman"/>
          <w:vertAlign w:val="superscript"/>
        </w:rPr>
        <w:footnoteReference w:id="20"/>
      </w:r>
      <w:r w:rsidRPr="001432B4">
        <w:rPr>
          <w:rFonts w:eastAsia="Calibri" w:cs="Times New Roman"/>
        </w:rPr>
        <w:t xml:space="preserve"> Hoewel er dus meer wordt verwacht van de verdediging als een adversaire procespartij, wordt evenwel geconstateerd dat de mogelijkheden hiervoor zijn achtergebleven: het Nederlandse strafproces is immers niet ingericht op tegenspraak.</w:t>
      </w:r>
      <w:r w:rsidRPr="001432B4">
        <w:rPr>
          <w:rFonts w:eastAsia="Calibri" w:cs="Times New Roman"/>
          <w:vertAlign w:val="superscript"/>
        </w:rPr>
        <w:footnoteReference w:id="21"/>
      </w:r>
      <w:r w:rsidRPr="001432B4">
        <w:rPr>
          <w:rFonts w:eastAsia="Calibri" w:cs="Times New Roman"/>
        </w:rPr>
        <w:t xml:space="preserve"> Daarnaast is de mogelijkheid voor de verdediging om zelfstandig onderzoek te doen zeer beperkt.</w:t>
      </w:r>
      <w:r w:rsidRPr="001432B4">
        <w:rPr>
          <w:rFonts w:eastAsia="Calibri" w:cs="Times New Roman"/>
          <w:vertAlign w:val="superscript"/>
        </w:rPr>
        <w:footnoteReference w:id="22"/>
      </w:r>
      <w:r w:rsidRPr="001432B4">
        <w:rPr>
          <w:rFonts w:eastAsia="Calibri" w:cs="Times New Roman"/>
        </w:rPr>
        <w:t xml:space="preserve"> De modernisering van het Wetboek van Strafvordering brengt daar ook</w:t>
      </w:r>
      <w:r w:rsidR="0045723F">
        <w:rPr>
          <w:rFonts w:eastAsia="Calibri" w:cs="Times New Roman"/>
        </w:rPr>
        <w:t xml:space="preserve"> weinig </w:t>
      </w:r>
      <w:r w:rsidRPr="001432B4">
        <w:rPr>
          <w:rFonts w:eastAsia="Calibri" w:cs="Times New Roman"/>
        </w:rPr>
        <w:t>verandering in: de wetgever meent immers dat de positie van de verdediging en de mogelijkheid tot tegenspraak reeds voldoende is geregeld in bestaande wetgeving.</w:t>
      </w:r>
      <w:r w:rsidRPr="001432B4">
        <w:rPr>
          <w:rFonts w:eastAsia="Calibri" w:cs="Times New Roman"/>
          <w:vertAlign w:val="superscript"/>
        </w:rPr>
        <w:footnoteReference w:id="23"/>
      </w:r>
      <w:r w:rsidRPr="001432B4">
        <w:rPr>
          <w:rFonts w:eastAsia="Calibri" w:cs="Times New Roman"/>
        </w:rPr>
        <w:t xml:space="preserve"> Dit uitgangspunt van de wetgever wordt echter in de rechtswetenschap en -praktijk betwist: volgens Scheele biedt de modernisering geen oplossing voor de huidige knelpunten bij de toegang tot bewijsmateriaal.</w:t>
      </w:r>
      <w:r w:rsidRPr="001432B4">
        <w:rPr>
          <w:rFonts w:eastAsia="Calibri" w:cs="Times New Roman"/>
          <w:vertAlign w:val="superscript"/>
        </w:rPr>
        <w:footnoteReference w:id="24"/>
      </w:r>
      <w:r w:rsidRPr="001432B4">
        <w:rPr>
          <w:rFonts w:eastAsia="Calibri" w:cs="Times New Roman"/>
        </w:rPr>
        <w:t xml:space="preserve"> Ook Van Kampen e.a. menen dat de informatiepositie van de verdachte onvoldoende is geregeld.</w:t>
      </w:r>
      <w:r w:rsidRPr="001432B4">
        <w:rPr>
          <w:rFonts w:eastAsia="Calibri" w:cs="Times New Roman"/>
          <w:vertAlign w:val="superscript"/>
        </w:rPr>
        <w:footnoteReference w:id="25"/>
      </w:r>
      <w:r w:rsidRPr="001432B4">
        <w:rPr>
          <w:rFonts w:eastAsia="Calibri" w:cs="Times New Roman"/>
        </w:rPr>
        <w:t xml:space="preserve"> Volgens Lochs blijft de modernisering achter in het versterken van het tegensprekelijke karakter van het strafproces en biedt zij de verdediging te weinig mogelijkheden om effectief tegenspraak te leveren.</w:t>
      </w:r>
      <w:r w:rsidRPr="001432B4">
        <w:rPr>
          <w:rFonts w:eastAsia="Calibri" w:cs="Times New Roman"/>
          <w:vertAlign w:val="superscript"/>
        </w:rPr>
        <w:footnoteReference w:id="26"/>
      </w:r>
      <w:r w:rsidRPr="001432B4">
        <w:rPr>
          <w:rFonts w:eastAsia="Calibri" w:cs="Times New Roman"/>
        </w:rPr>
        <w:t xml:space="preserve"> In het verlengde daarvan pleit Van der Meij </w:t>
      </w:r>
      <w:r w:rsidR="00C35630">
        <w:rPr>
          <w:rFonts w:eastAsia="Calibri" w:cs="Times New Roman"/>
        </w:rPr>
        <w:t xml:space="preserve">dat er </w:t>
      </w:r>
      <w:r w:rsidR="00B26042">
        <w:rPr>
          <w:rFonts w:eastAsia="Calibri" w:cs="Times New Roman"/>
        </w:rPr>
        <w:t>bij de beweging naar voren</w:t>
      </w:r>
      <w:r w:rsidR="00C35630">
        <w:rPr>
          <w:rFonts w:eastAsia="Calibri" w:cs="Times New Roman"/>
        </w:rPr>
        <w:t xml:space="preserve"> meer aandacht dient te worden besteed aan</w:t>
      </w:r>
      <w:r w:rsidRPr="001432B4">
        <w:rPr>
          <w:rFonts w:eastAsia="Calibri" w:cs="Times New Roman"/>
        </w:rPr>
        <w:t xml:space="preserve"> de positie van de verdediging in het vooronderzoek en de facilitering van meer mogelijkheden </w:t>
      </w:r>
      <w:r w:rsidR="000C1D3C">
        <w:rPr>
          <w:rFonts w:eastAsia="Calibri" w:cs="Times New Roman"/>
        </w:rPr>
        <w:t xml:space="preserve">voor de verdediging </w:t>
      </w:r>
      <w:r w:rsidRPr="001432B4">
        <w:rPr>
          <w:rFonts w:eastAsia="Calibri" w:cs="Times New Roman"/>
        </w:rPr>
        <w:t>daarin.</w:t>
      </w:r>
      <w:r w:rsidRPr="001432B4">
        <w:rPr>
          <w:rFonts w:eastAsia="Calibri" w:cs="Times New Roman"/>
          <w:vertAlign w:val="superscript"/>
        </w:rPr>
        <w:footnoteReference w:id="27"/>
      </w:r>
      <w:r w:rsidRPr="001432B4">
        <w:rPr>
          <w:rFonts w:eastAsia="Calibri" w:cs="Times New Roman"/>
        </w:rPr>
        <w:t xml:space="preserve"> In deze context is een adequate regeling omtrent de toegang tot bewijsmateriaal en datasets voor de verdediging des te meer van belang en vormt het uitblijven daarvan een probleem.</w:t>
      </w:r>
      <w:r w:rsidRPr="001432B4">
        <w:rPr>
          <w:rFonts w:eastAsia="Aptos" w:cs="Times New Roman"/>
        </w:rPr>
        <w:t xml:space="preserve"> </w:t>
      </w:r>
    </w:p>
    <w:p w14:paraId="097D134C" w14:textId="77777777" w:rsidR="009F7A8A" w:rsidRDefault="009F7A8A" w:rsidP="00821865">
      <w:pPr>
        <w:rPr>
          <w:rFonts w:cs="Times New Roman"/>
        </w:rPr>
      </w:pPr>
    </w:p>
    <w:p w14:paraId="6FB78907" w14:textId="38327B4D" w:rsidR="004C21E3" w:rsidRDefault="004C21E3" w:rsidP="004C21E3">
      <w:pPr>
        <w:rPr>
          <w:rFonts w:eastAsia="Calibri" w:cs="Times New Roman"/>
        </w:rPr>
      </w:pPr>
      <w:r>
        <w:rPr>
          <w:rFonts w:eastAsia="Calibri" w:cs="Times New Roman"/>
        </w:rPr>
        <w:lastRenderedPageBreak/>
        <w:t>Het is dan ook de vraag of de regeling omtrent de toegang tot datasets voor de verdediging op een adequate wijze is geregeld</w:t>
      </w:r>
      <w:r w:rsidR="005D6460">
        <w:rPr>
          <w:rFonts w:eastAsia="Calibri" w:cs="Times New Roman"/>
        </w:rPr>
        <w:t xml:space="preserve"> en daarbij</w:t>
      </w:r>
      <w:r>
        <w:rPr>
          <w:rFonts w:eastAsia="Calibri" w:cs="Times New Roman"/>
        </w:rPr>
        <w:t xml:space="preserve"> tegemoetkomt aan </w:t>
      </w:r>
      <w:r w:rsidR="001114A1">
        <w:rPr>
          <w:rFonts w:eastAsia="Calibri" w:cs="Times New Roman"/>
        </w:rPr>
        <w:t>het meer contradictoire karakter van het strafproces</w:t>
      </w:r>
      <w:r>
        <w:rPr>
          <w:rFonts w:eastAsia="Calibri" w:cs="Times New Roman"/>
        </w:rPr>
        <w:t>. Om dit te beoordelen</w:t>
      </w:r>
      <w:r w:rsidR="00E65BC4">
        <w:rPr>
          <w:rFonts w:eastAsia="Calibri" w:cs="Times New Roman"/>
        </w:rPr>
        <w:t xml:space="preserve"> </w:t>
      </w:r>
      <w:r w:rsidR="0074021A">
        <w:rPr>
          <w:rFonts w:eastAsia="Calibri" w:cs="Times New Roman"/>
        </w:rPr>
        <w:t>wordt in deze scriptie een</w:t>
      </w:r>
      <w:r w:rsidR="00E65BC4">
        <w:rPr>
          <w:rFonts w:eastAsia="Calibri" w:cs="Times New Roman"/>
        </w:rPr>
        <w:t xml:space="preserve"> vergelijking </w:t>
      </w:r>
      <w:r w:rsidR="0074021A">
        <w:rPr>
          <w:rFonts w:eastAsia="Calibri" w:cs="Times New Roman"/>
        </w:rPr>
        <w:t xml:space="preserve">gemaakt </w:t>
      </w:r>
      <w:r w:rsidR="00E65BC4">
        <w:rPr>
          <w:rFonts w:eastAsia="Calibri" w:cs="Times New Roman"/>
        </w:rPr>
        <w:t>met</w:t>
      </w:r>
      <w:r>
        <w:rPr>
          <w:rFonts w:eastAsia="Calibri" w:cs="Times New Roman"/>
        </w:rPr>
        <w:t xml:space="preserve"> een rechtsstelsel met een adversair strafproces: daar staat eveneens tegenspraak centraal en dient de verdediging ook voldoende middelen te hebben om zijn strafzaak voor te bereiden.</w:t>
      </w:r>
      <w:r w:rsidR="00E65BC4">
        <w:rPr>
          <w:rStyle w:val="Voetnootmarkering"/>
          <w:rFonts w:eastAsia="Calibri" w:cs="Times New Roman"/>
        </w:rPr>
        <w:footnoteReference w:id="28"/>
      </w:r>
      <w:r>
        <w:rPr>
          <w:rFonts w:eastAsia="Calibri" w:cs="Times New Roman"/>
        </w:rPr>
        <w:t xml:space="preserve"> De keuze voor het rechtsstelsel is gevallen op </w:t>
      </w:r>
      <w:r w:rsidRPr="002033E7">
        <w:rPr>
          <w:rFonts w:eastAsia="Calibri" w:cs="Times New Roman"/>
        </w:rPr>
        <w:t xml:space="preserve">Engeland &amp; Wales, aangezien ook daar PGP-bewijs wordt gebruikt in strafzaken en het naburige landen zijn met een rechtsstelsel dat is gebaseerd op </w:t>
      </w:r>
      <w:r w:rsidRPr="002033E7">
        <w:rPr>
          <w:rFonts w:eastAsia="Calibri" w:cs="Times New Roman"/>
          <w:i/>
          <w:iCs/>
        </w:rPr>
        <w:t>common law</w:t>
      </w:r>
      <w:r w:rsidRPr="002033E7">
        <w:rPr>
          <w:rFonts w:eastAsia="Calibri" w:cs="Times New Roman"/>
        </w:rPr>
        <w:t xml:space="preserve"> en </w:t>
      </w:r>
      <w:r w:rsidR="00130833">
        <w:rPr>
          <w:rFonts w:eastAsia="Calibri" w:cs="Times New Roman"/>
        </w:rPr>
        <w:t>als gevolg daarvan</w:t>
      </w:r>
      <w:r w:rsidRPr="002033E7">
        <w:rPr>
          <w:rFonts w:eastAsia="Calibri" w:cs="Times New Roman"/>
        </w:rPr>
        <w:t xml:space="preserve"> een adversair strafproces kent.</w:t>
      </w:r>
      <w:r w:rsidRPr="002033E7">
        <w:rPr>
          <w:rFonts w:eastAsia="Calibri" w:cs="Times New Roman"/>
          <w:vertAlign w:val="superscript"/>
        </w:rPr>
        <w:footnoteReference w:id="29"/>
      </w:r>
      <w:r w:rsidRPr="002033E7">
        <w:rPr>
          <w:rFonts w:eastAsia="Calibri" w:cs="Times New Roman"/>
        </w:rPr>
        <w:t xml:space="preserve"> De wijze waarop de toegang tot datasets in Engeland &amp; Wales is geregeld, zou mogelijk inzichten kunnen bieden voor het Nederlandse strafproces.</w:t>
      </w:r>
    </w:p>
    <w:p w14:paraId="3CBAC6D1" w14:textId="77777777" w:rsidR="008519C1" w:rsidRPr="00184605" w:rsidRDefault="008519C1" w:rsidP="00821865">
      <w:pPr>
        <w:rPr>
          <w:rFonts w:cs="Times New Roman"/>
        </w:rPr>
      </w:pPr>
    </w:p>
    <w:p w14:paraId="646A2647" w14:textId="77777777" w:rsidR="008519C1" w:rsidRPr="00184605" w:rsidRDefault="008519C1" w:rsidP="00821865">
      <w:pPr>
        <w:rPr>
          <w:rFonts w:cs="Times New Roman"/>
          <w:b/>
          <w:bCs/>
        </w:rPr>
      </w:pPr>
      <w:r w:rsidRPr="00184605">
        <w:rPr>
          <w:rFonts w:cs="Times New Roman"/>
          <w:b/>
          <w:bCs/>
        </w:rPr>
        <w:t>1.2   Onderzoeksdoel</w:t>
      </w:r>
    </w:p>
    <w:p w14:paraId="574B5047" w14:textId="179550A7" w:rsidR="008519C1" w:rsidRPr="00184605" w:rsidRDefault="36AA76B6" w:rsidP="00821865">
      <w:pPr>
        <w:rPr>
          <w:rFonts w:cs="Times New Roman"/>
        </w:rPr>
      </w:pPr>
      <w:r w:rsidRPr="41859A08">
        <w:rPr>
          <w:rFonts w:cs="Times New Roman"/>
        </w:rPr>
        <w:t xml:space="preserve">Met dit onderzoek wordt getracht om de overeenkomsten en verschillen ten aanzien van de </w:t>
      </w:r>
      <w:r w:rsidR="005D6C4C">
        <w:rPr>
          <w:rFonts w:cs="Times New Roman"/>
        </w:rPr>
        <w:t>toegang tot dataset</w:t>
      </w:r>
      <w:r w:rsidR="0074021A">
        <w:rPr>
          <w:rFonts w:cs="Times New Roman"/>
        </w:rPr>
        <w:t>s</w:t>
      </w:r>
      <w:r w:rsidR="005D6C4C">
        <w:rPr>
          <w:rFonts w:cs="Times New Roman"/>
        </w:rPr>
        <w:t xml:space="preserve"> voor de</w:t>
      </w:r>
      <w:r w:rsidRPr="41859A08">
        <w:rPr>
          <w:rFonts w:cs="Times New Roman"/>
        </w:rPr>
        <w:t xml:space="preserve"> verdediging tussen Nederland en Engeland &amp; Wales vast te stellen. Deze</w:t>
      </w:r>
      <w:r w:rsidR="005D6C4C">
        <w:rPr>
          <w:rFonts w:cs="Times New Roman"/>
        </w:rPr>
        <w:t xml:space="preserve"> </w:t>
      </w:r>
      <w:r w:rsidRPr="41859A08">
        <w:rPr>
          <w:rFonts w:cs="Times New Roman"/>
        </w:rPr>
        <w:t xml:space="preserve">overeenkomsten en verschillen kunnen vervolgens worden gebruikt om de huidige regeling van </w:t>
      </w:r>
      <w:r w:rsidR="005D6C4C">
        <w:rPr>
          <w:rFonts w:cs="Times New Roman"/>
        </w:rPr>
        <w:t>de toegang tot datasets</w:t>
      </w:r>
      <w:r w:rsidRPr="41859A08">
        <w:rPr>
          <w:rFonts w:cs="Times New Roman"/>
        </w:rPr>
        <w:t xml:space="preserve"> in het Nederlandse strafprocesrecht te waarderen. Aan de hand van deze waardering zal verduidelijkt worden </w:t>
      </w:r>
      <w:r w:rsidR="00AF7ECC">
        <w:rPr>
          <w:rFonts w:cs="Times New Roman"/>
        </w:rPr>
        <w:t xml:space="preserve">op welke wijze </w:t>
      </w:r>
      <w:r w:rsidRPr="41859A08">
        <w:rPr>
          <w:rFonts w:cs="Times New Roman"/>
        </w:rPr>
        <w:t xml:space="preserve">Nederland kan leren van het </w:t>
      </w:r>
      <w:r w:rsidR="00CC0BDE">
        <w:rPr>
          <w:rFonts w:cs="Times New Roman"/>
        </w:rPr>
        <w:t>rechtsstelsel</w:t>
      </w:r>
      <w:r w:rsidRPr="41859A08">
        <w:rPr>
          <w:rFonts w:cs="Times New Roman"/>
        </w:rPr>
        <w:t xml:space="preserve"> van Engeland &amp; Wales en in hoeverre deze lessen toepasbaar zijn.</w:t>
      </w:r>
    </w:p>
    <w:p w14:paraId="7F538F80" w14:textId="77777777" w:rsidR="008519C1" w:rsidRPr="00184605" w:rsidRDefault="008519C1" w:rsidP="00821865">
      <w:pPr>
        <w:rPr>
          <w:rFonts w:cs="Times New Roman"/>
        </w:rPr>
      </w:pPr>
    </w:p>
    <w:p w14:paraId="43B52E4A" w14:textId="63416CAE" w:rsidR="008519C1" w:rsidRPr="00184605" w:rsidRDefault="006E7590" w:rsidP="00821865">
      <w:pPr>
        <w:rPr>
          <w:rFonts w:cs="Times New Roman"/>
        </w:rPr>
      </w:pPr>
      <w:r w:rsidRPr="006E7590">
        <w:rPr>
          <w:rFonts w:cs="Times New Roman"/>
        </w:rPr>
        <w:t xml:space="preserve">Om tot deze inzichten te komen dient een beschrijving plaats te vinden van de Nederlandse regeling van </w:t>
      </w:r>
      <w:r>
        <w:rPr>
          <w:rFonts w:cs="Times New Roman"/>
        </w:rPr>
        <w:t>de toegang tot datasets</w:t>
      </w:r>
      <w:r w:rsidRPr="006E7590">
        <w:rPr>
          <w:rFonts w:cs="Times New Roman"/>
        </w:rPr>
        <w:t xml:space="preserve">, en van deze regeling binnen het strafprocesrecht van Engeland &amp; Wales. </w:t>
      </w:r>
      <w:r w:rsidR="008519C1" w:rsidRPr="00184605">
        <w:rPr>
          <w:rFonts w:cs="Times New Roman"/>
        </w:rPr>
        <w:t xml:space="preserve">Vervolgens </w:t>
      </w:r>
      <w:r w:rsidR="00F117D8">
        <w:rPr>
          <w:rFonts w:cs="Times New Roman"/>
        </w:rPr>
        <w:t>worden</w:t>
      </w:r>
      <w:r w:rsidR="008519C1" w:rsidRPr="00184605">
        <w:rPr>
          <w:rFonts w:cs="Times New Roman"/>
        </w:rPr>
        <w:t xml:space="preserve"> </w:t>
      </w:r>
      <w:r w:rsidR="00A917B1">
        <w:rPr>
          <w:rFonts w:cs="Times New Roman"/>
        </w:rPr>
        <w:t xml:space="preserve">de </w:t>
      </w:r>
      <w:r w:rsidR="008519C1" w:rsidRPr="00184605">
        <w:rPr>
          <w:rFonts w:cs="Times New Roman"/>
        </w:rPr>
        <w:t>overeenkomsten en verschillen tussen deze regelingen beschreven</w:t>
      </w:r>
      <w:r w:rsidR="00830ACF">
        <w:rPr>
          <w:rFonts w:cs="Times New Roman"/>
        </w:rPr>
        <w:t xml:space="preserve"> en verklaard</w:t>
      </w:r>
      <w:r w:rsidR="0025364E">
        <w:rPr>
          <w:rFonts w:cs="Times New Roman"/>
        </w:rPr>
        <w:t>,</w:t>
      </w:r>
      <w:r w:rsidR="008519C1" w:rsidRPr="00184605">
        <w:rPr>
          <w:rFonts w:cs="Times New Roman"/>
        </w:rPr>
        <w:t xml:space="preserve"> aan de hand waarvan de plaats van de huidige regeling uit het Nederlandse strafprocesrecht </w:t>
      </w:r>
      <w:r w:rsidR="00F117D8">
        <w:rPr>
          <w:rFonts w:cs="Times New Roman"/>
        </w:rPr>
        <w:t>kan</w:t>
      </w:r>
      <w:r w:rsidR="008519C1" w:rsidRPr="00184605">
        <w:rPr>
          <w:rFonts w:cs="Times New Roman"/>
        </w:rPr>
        <w:t xml:space="preserve"> worden gewaardeerd.  </w:t>
      </w:r>
    </w:p>
    <w:p w14:paraId="18BDB26A" w14:textId="77777777" w:rsidR="008519C1" w:rsidRPr="00184605" w:rsidRDefault="008519C1" w:rsidP="00821865">
      <w:pPr>
        <w:rPr>
          <w:rFonts w:cs="Times New Roman"/>
        </w:rPr>
      </w:pPr>
    </w:p>
    <w:p w14:paraId="407244B4" w14:textId="77777777" w:rsidR="008519C1" w:rsidRPr="00184605" w:rsidRDefault="008519C1" w:rsidP="00821865">
      <w:pPr>
        <w:rPr>
          <w:rFonts w:cs="Times New Roman"/>
          <w:b/>
          <w:bCs/>
        </w:rPr>
      </w:pPr>
      <w:r w:rsidRPr="00184605">
        <w:rPr>
          <w:rFonts w:cs="Times New Roman"/>
          <w:b/>
          <w:bCs/>
        </w:rPr>
        <w:t>1.3   Onderzoeksvraag</w:t>
      </w:r>
    </w:p>
    <w:p w14:paraId="7AC29011" w14:textId="265A88DE" w:rsidR="008519C1" w:rsidRPr="00184605" w:rsidRDefault="008519C1" w:rsidP="00821865">
      <w:pPr>
        <w:rPr>
          <w:rFonts w:cs="Times New Roman"/>
        </w:rPr>
      </w:pPr>
      <w:r w:rsidRPr="00184605">
        <w:rPr>
          <w:rFonts w:cs="Times New Roman"/>
        </w:rPr>
        <w:t>De hiervoor uitgeschreven probleemstelling</w:t>
      </w:r>
      <w:r w:rsidR="0016222A">
        <w:rPr>
          <w:rFonts w:cs="Times New Roman"/>
        </w:rPr>
        <w:t xml:space="preserve"> en het onderzoeksdoel</w:t>
      </w:r>
      <w:r w:rsidRPr="00184605">
        <w:rPr>
          <w:rFonts w:cs="Times New Roman"/>
        </w:rPr>
        <w:t xml:space="preserve"> </w:t>
      </w:r>
      <w:r w:rsidR="00F117D8">
        <w:rPr>
          <w:rFonts w:cs="Times New Roman"/>
        </w:rPr>
        <w:t>resulteren</w:t>
      </w:r>
      <w:r w:rsidRPr="00184605">
        <w:rPr>
          <w:rFonts w:cs="Times New Roman"/>
        </w:rPr>
        <w:t xml:space="preserve"> in de volgende onderzoeksvraag:</w:t>
      </w:r>
    </w:p>
    <w:p w14:paraId="151DE4D9" w14:textId="77777777" w:rsidR="008519C1" w:rsidRPr="00184605" w:rsidRDefault="008519C1" w:rsidP="00821865">
      <w:pPr>
        <w:rPr>
          <w:rFonts w:cs="Times New Roman"/>
        </w:rPr>
      </w:pPr>
    </w:p>
    <w:p w14:paraId="36E1184C" w14:textId="0E8CC396" w:rsidR="008519C1" w:rsidRPr="00184605" w:rsidRDefault="008519C1" w:rsidP="00821865">
      <w:pPr>
        <w:rPr>
          <w:rFonts w:cs="Times New Roman"/>
          <w:i/>
          <w:iCs/>
        </w:rPr>
      </w:pPr>
      <w:r w:rsidRPr="00184605">
        <w:rPr>
          <w:rFonts w:cs="Times New Roman"/>
          <w:i/>
          <w:iCs/>
        </w:rPr>
        <w:t xml:space="preserve">"Hoe is de </w:t>
      </w:r>
      <w:r w:rsidR="00AE382F">
        <w:rPr>
          <w:rFonts w:cs="Times New Roman"/>
          <w:i/>
          <w:iCs/>
        </w:rPr>
        <w:t>toegang tot bewijs</w:t>
      </w:r>
      <w:r w:rsidRPr="00184605">
        <w:rPr>
          <w:rFonts w:cs="Times New Roman"/>
          <w:i/>
          <w:iCs/>
        </w:rPr>
        <w:t xml:space="preserve"> voor de verdediging ten aanzien van datasets vormgegeven binnen de strafrechtsstelsels van Nederland en Engeland &amp; Wales, welke overeenkomsten en verschillen bestaan hierin en welke lering valt hieruit te trekken voor het Nederlandse strafprocesrecht?"</w:t>
      </w:r>
    </w:p>
    <w:p w14:paraId="746DEFAD" w14:textId="77777777" w:rsidR="008519C1" w:rsidRPr="00184605" w:rsidRDefault="008519C1" w:rsidP="00821865">
      <w:pPr>
        <w:rPr>
          <w:rFonts w:cs="Times New Roman"/>
        </w:rPr>
      </w:pPr>
    </w:p>
    <w:p w14:paraId="3890B868" w14:textId="51A52C9D" w:rsidR="008519C1" w:rsidRPr="00184605" w:rsidRDefault="008519C1" w:rsidP="00821865">
      <w:pPr>
        <w:rPr>
          <w:rFonts w:cs="Times New Roman"/>
        </w:rPr>
      </w:pPr>
      <w:r w:rsidRPr="00184605">
        <w:rPr>
          <w:rFonts w:cs="Times New Roman"/>
        </w:rPr>
        <w:t xml:space="preserve">Ter beantwoording van deze vraag zal ten eerste worden ingegaan op het inquisitoire </w:t>
      </w:r>
      <w:r w:rsidR="00B54C4A">
        <w:rPr>
          <w:rFonts w:cs="Times New Roman"/>
        </w:rPr>
        <w:t xml:space="preserve">karakter van het </w:t>
      </w:r>
      <w:r w:rsidRPr="00184605">
        <w:rPr>
          <w:rFonts w:cs="Times New Roman"/>
        </w:rPr>
        <w:t xml:space="preserve">Nederlandse strafproces en hoe de </w:t>
      </w:r>
      <w:r w:rsidR="00C72DD8">
        <w:rPr>
          <w:rFonts w:cs="Times New Roman"/>
        </w:rPr>
        <w:t>toegang</w:t>
      </w:r>
      <w:r w:rsidRPr="00184605">
        <w:rPr>
          <w:rFonts w:cs="Times New Roman"/>
        </w:rPr>
        <w:t xml:space="preserve"> tot datasets daarin gestalte heeft gekregen. Hierna zal </w:t>
      </w:r>
      <w:r w:rsidRPr="00184605">
        <w:rPr>
          <w:rFonts w:cs="Times New Roman"/>
        </w:rPr>
        <w:lastRenderedPageBreak/>
        <w:t xml:space="preserve">overeenkomstig worden ingegaan op deze regeling binnen het adversaire strafproces van Engeland &amp; Wales. </w:t>
      </w:r>
      <w:r w:rsidR="00254B3B">
        <w:rPr>
          <w:rFonts w:cs="Times New Roman"/>
        </w:rPr>
        <w:t>Vervolgens</w:t>
      </w:r>
      <w:r w:rsidRPr="00184605">
        <w:rPr>
          <w:rFonts w:cs="Times New Roman"/>
        </w:rPr>
        <w:t xml:space="preserve"> zal aan de hand van deze beschrijvingen worden ingegaan op de </w:t>
      </w:r>
      <w:r w:rsidR="00E53F2E">
        <w:rPr>
          <w:rFonts w:cs="Times New Roman"/>
        </w:rPr>
        <w:t>overeenkomsten en verschillen</w:t>
      </w:r>
      <w:r w:rsidRPr="00184605">
        <w:rPr>
          <w:rFonts w:cs="Times New Roman"/>
        </w:rPr>
        <w:t xml:space="preserve"> tussen beide regelingen, waarna lering kan worden getrokken over de positie van het Nederlandse strafproces en </w:t>
      </w:r>
      <w:r w:rsidR="007D0BDE">
        <w:rPr>
          <w:rFonts w:cs="Times New Roman"/>
        </w:rPr>
        <w:t xml:space="preserve">over </w:t>
      </w:r>
      <w:r w:rsidRPr="00184605">
        <w:rPr>
          <w:rFonts w:cs="Times New Roman"/>
        </w:rPr>
        <w:t>wat wellicht kan worden verbeterd. Bovendien zal worden gepoogd hieromtrent enkele aanbevelingen te doen in het kader van de lopende modernisering van het Wetboek van Strafvordering.</w:t>
      </w:r>
    </w:p>
    <w:p w14:paraId="22FF51AA" w14:textId="77777777" w:rsidR="008519C1" w:rsidRPr="00184605" w:rsidRDefault="008519C1" w:rsidP="00821865">
      <w:pPr>
        <w:rPr>
          <w:rFonts w:cs="Times New Roman"/>
        </w:rPr>
      </w:pPr>
    </w:p>
    <w:p w14:paraId="7606B595" w14:textId="77777777" w:rsidR="00A5168B" w:rsidRPr="00A5168B" w:rsidRDefault="00A5168B" w:rsidP="00A5168B">
      <w:pPr>
        <w:rPr>
          <w:rFonts w:eastAsia="Calibri" w:cs="Times New Roman"/>
          <w:b/>
          <w:bCs/>
        </w:rPr>
      </w:pPr>
      <w:r w:rsidRPr="00A5168B">
        <w:rPr>
          <w:rFonts w:eastAsia="Calibri" w:cs="Times New Roman"/>
          <w:b/>
          <w:bCs/>
        </w:rPr>
        <w:t>1.4   Methodologie</w:t>
      </w:r>
    </w:p>
    <w:p w14:paraId="7A710F09" w14:textId="11C0C539" w:rsidR="00A5168B" w:rsidRPr="00A5168B" w:rsidRDefault="00E53F2E" w:rsidP="00A5168B">
      <w:pPr>
        <w:rPr>
          <w:rFonts w:eastAsia="Calibri" w:cs="Times New Roman"/>
        </w:rPr>
      </w:pPr>
      <w:r>
        <w:rPr>
          <w:rFonts w:eastAsia="Calibri" w:cs="Times New Roman"/>
        </w:rPr>
        <w:t xml:space="preserve">Voor het beantwoorden van de onderzoeksvraag </w:t>
      </w:r>
      <w:r w:rsidR="39159AE4" w:rsidRPr="00A5168B">
        <w:rPr>
          <w:rFonts w:eastAsia="Calibri" w:cs="Times New Roman"/>
        </w:rPr>
        <w:t xml:space="preserve">zal gebruik worden gemaakt van de onderzoeksmethode van rechtsvergelijking. Het </w:t>
      </w:r>
      <w:r w:rsidR="019815A0">
        <w:rPr>
          <w:rFonts w:eastAsia="Calibri" w:cs="Times New Roman"/>
        </w:rPr>
        <w:t>proces van rechtsvergelijking</w:t>
      </w:r>
      <w:r w:rsidR="39159AE4" w:rsidRPr="00A5168B">
        <w:rPr>
          <w:rFonts w:eastAsia="Calibri" w:cs="Times New Roman"/>
        </w:rPr>
        <w:t xml:space="preserve"> kent vier fasen: kennen, vergelijken, verklaren en waarderen. De fase van het ‘kennen’ vertaalt zich in de beschrijving van beide rechtsstelsels: hiermee vormt dit het analytische deel van de rechtsvergelijking. Vervolgens zullen er verbanden worden gelegd tussen beide rechtsstelsels in de vorm van overeenkomsten en verschillen. Daarna zullen deze overeenkomsten en verschillen worden verklaard en gewaardeerd.</w:t>
      </w:r>
      <w:r w:rsidR="00A5168B" w:rsidRPr="00A5168B">
        <w:rPr>
          <w:rFonts w:eastAsia="Calibri" w:cs="Times New Roman"/>
          <w:vertAlign w:val="superscript"/>
        </w:rPr>
        <w:footnoteReference w:id="30"/>
      </w:r>
      <w:r w:rsidR="39159AE4" w:rsidRPr="00A5168B">
        <w:rPr>
          <w:rFonts w:eastAsia="Calibri" w:cs="Times New Roman"/>
        </w:rPr>
        <w:t xml:space="preserve"> </w:t>
      </w:r>
    </w:p>
    <w:p w14:paraId="5E5ABA7D" w14:textId="77777777" w:rsidR="00A5168B" w:rsidRPr="00A5168B" w:rsidRDefault="00A5168B" w:rsidP="00A5168B">
      <w:pPr>
        <w:rPr>
          <w:rFonts w:eastAsia="Calibri" w:cs="Times New Roman"/>
        </w:rPr>
      </w:pPr>
    </w:p>
    <w:p w14:paraId="7D5B06FC" w14:textId="5B7F297A" w:rsidR="00A5168B" w:rsidRDefault="00A5168B" w:rsidP="00A5168B">
      <w:pPr>
        <w:rPr>
          <w:rFonts w:eastAsia="Calibri" w:cs="Times New Roman"/>
        </w:rPr>
      </w:pPr>
      <w:r w:rsidRPr="00A5168B">
        <w:rPr>
          <w:rFonts w:eastAsia="Calibri" w:cs="Times New Roman"/>
        </w:rPr>
        <w:t xml:space="preserve">Voor de beschrijving van de Nederlandse regeling omtrent </w:t>
      </w:r>
      <w:r w:rsidR="002A3203">
        <w:rPr>
          <w:rFonts w:eastAsia="Calibri" w:cs="Times New Roman"/>
        </w:rPr>
        <w:t xml:space="preserve">de </w:t>
      </w:r>
      <w:r w:rsidRPr="00A5168B">
        <w:rPr>
          <w:rFonts w:eastAsia="Calibri" w:cs="Times New Roman"/>
        </w:rPr>
        <w:t>toegang tot datasets zal ten eerste een zoekslag worden gemaakt in wetenschappelijke literatuur voor een begripsbepaling. Daarnaast zal het onderzoek hoofdzakelijk bestaan uit jurisprudentieonderzoek: er zal worden gezocht naar Nederlandse rechtspraak waarin datasets worden gebruikt voor de bewijsvoering. Gezien het reeds beschreven PGP-bewijs een toonbeeld is van het gebruik van datasets in strafzaken, zal met name uit dergelijke strafzaken worden geput.</w:t>
      </w:r>
    </w:p>
    <w:p w14:paraId="5E51551E" w14:textId="77777777" w:rsidR="00E6587A" w:rsidRPr="00A5168B" w:rsidRDefault="00E6587A" w:rsidP="00A5168B">
      <w:pPr>
        <w:rPr>
          <w:rFonts w:eastAsia="Calibri" w:cs="Times New Roman"/>
        </w:rPr>
      </w:pPr>
    </w:p>
    <w:p w14:paraId="2827FB31" w14:textId="528BFE7B" w:rsidR="00A5168B" w:rsidRPr="00A5168B" w:rsidRDefault="00A5168B" w:rsidP="00A5168B">
      <w:pPr>
        <w:rPr>
          <w:rFonts w:eastAsia="Calibri" w:cs="Times New Roman"/>
        </w:rPr>
      </w:pPr>
      <w:r w:rsidRPr="00A5168B">
        <w:rPr>
          <w:rFonts w:eastAsia="Calibri" w:cs="Times New Roman"/>
        </w:rPr>
        <w:t>Voor de beschrijving van de regeling van</w:t>
      </w:r>
      <w:r w:rsidR="002A3203">
        <w:rPr>
          <w:rFonts w:eastAsia="Calibri" w:cs="Times New Roman"/>
        </w:rPr>
        <w:t xml:space="preserve"> de</w:t>
      </w:r>
      <w:r w:rsidRPr="00A5168B">
        <w:rPr>
          <w:rFonts w:eastAsia="Calibri" w:cs="Times New Roman"/>
        </w:rPr>
        <w:t xml:space="preserve"> </w:t>
      </w:r>
      <w:r w:rsidR="003B635E">
        <w:rPr>
          <w:rFonts w:eastAsia="Calibri" w:cs="Times New Roman"/>
        </w:rPr>
        <w:t>toegang tot datasets</w:t>
      </w:r>
      <w:r w:rsidRPr="00A5168B">
        <w:rPr>
          <w:rFonts w:eastAsia="Calibri" w:cs="Times New Roman"/>
        </w:rPr>
        <w:t xml:space="preserve"> binnen Engeland &amp; Wales zal ten eerste een zoekslag worden gemaakt in de literatuur. Daarbij zal met name worden geleund op handboeken van het strafprocesrecht van Engeland &amp; Wales en zal in juridische databases worden gezocht naar jurisprudentie over</w:t>
      </w:r>
      <w:r w:rsidR="000915CA">
        <w:rPr>
          <w:rFonts w:eastAsia="Calibri" w:cs="Times New Roman"/>
        </w:rPr>
        <w:t xml:space="preserve"> de</w:t>
      </w:r>
      <w:r w:rsidRPr="00A5168B">
        <w:rPr>
          <w:rFonts w:eastAsia="Calibri" w:cs="Times New Roman"/>
        </w:rPr>
        <w:t xml:space="preserve"> toegang tot datasets. Deze jurisprudentie zal met name afkomstig zijn van het Court of Appeal van Engeland &amp; Wales: rechtspraak van strafzaken in eerste aanleg wordt immers niet</w:t>
      </w:r>
      <w:r w:rsidR="002C6C88">
        <w:rPr>
          <w:rFonts w:eastAsia="Calibri" w:cs="Times New Roman"/>
        </w:rPr>
        <w:t xml:space="preserve"> of nauwelijks</w:t>
      </w:r>
      <w:r w:rsidRPr="00A5168B">
        <w:rPr>
          <w:rFonts w:eastAsia="Calibri" w:cs="Times New Roman"/>
        </w:rPr>
        <w:t xml:space="preserve"> gepubliceerd.</w:t>
      </w:r>
      <w:r w:rsidRPr="00A5168B">
        <w:rPr>
          <w:rFonts w:eastAsia="Calibri" w:cs="Times New Roman"/>
          <w:vertAlign w:val="superscript"/>
        </w:rPr>
        <w:footnoteReference w:id="31"/>
      </w:r>
      <w:r w:rsidRPr="00A5168B">
        <w:rPr>
          <w:rFonts w:eastAsia="Calibri" w:cs="Times New Roman"/>
        </w:rPr>
        <w:t xml:space="preserve"> Daarnaast zal ook gebruik worden gemaakt van</w:t>
      </w:r>
      <w:r w:rsidR="000915CA">
        <w:rPr>
          <w:rFonts w:eastAsia="Calibri" w:cs="Times New Roman"/>
        </w:rPr>
        <w:t xml:space="preserve"> diverse</w:t>
      </w:r>
      <w:r w:rsidRPr="00A5168B">
        <w:rPr>
          <w:rFonts w:eastAsia="Calibri" w:cs="Times New Roman"/>
        </w:rPr>
        <w:t xml:space="preserve"> </w:t>
      </w:r>
      <w:r w:rsidR="00E96650">
        <w:rPr>
          <w:rFonts w:eastAsia="Calibri" w:cs="Times New Roman"/>
        </w:rPr>
        <w:t>richtlijnen</w:t>
      </w:r>
      <w:r w:rsidR="006946C9">
        <w:rPr>
          <w:rFonts w:eastAsia="Calibri" w:cs="Times New Roman"/>
        </w:rPr>
        <w:t xml:space="preserve"> </w:t>
      </w:r>
      <w:r w:rsidR="000915CA">
        <w:rPr>
          <w:rFonts w:eastAsia="Calibri" w:cs="Times New Roman"/>
        </w:rPr>
        <w:t>uit de</w:t>
      </w:r>
      <w:r w:rsidR="006946C9">
        <w:rPr>
          <w:rFonts w:eastAsia="Calibri" w:cs="Times New Roman"/>
        </w:rPr>
        <w:t xml:space="preserve"> strafrechtketen</w:t>
      </w:r>
      <w:r w:rsidRPr="00A5168B">
        <w:rPr>
          <w:rFonts w:eastAsia="Calibri" w:cs="Times New Roman"/>
        </w:rPr>
        <w:t xml:space="preserve"> waarin onder meer de toegang tot datasets wordt </w:t>
      </w:r>
      <w:r w:rsidR="005800D8">
        <w:rPr>
          <w:rFonts w:eastAsia="Calibri" w:cs="Times New Roman"/>
        </w:rPr>
        <w:t>besproken.</w:t>
      </w:r>
    </w:p>
    <w:p w14:paraId="20DC5434" w14:textId="77777777" w:rsidR="00A5168B" w:rsidRPr="00A5168B" w:rsidRDefault="00A5168B" w:rsidP="00A5168B">
      <w:pPr>
        <w:rPr>
          <w:rFonts w:eastAsia="Calibri" w:cs="Times New Roman"/>
        </w:rPr>
      </w:pPr>
    </w:p>
    <w:p w14:paraId="3F971AB8" w14:textId="0BB024CD" w:rsidR="00A5168B" w:rsidRPr="00A5168B" w:rsidRDefault="00A5168B" w:rsidP="00A5168B">
      <w:pPr>
        <w:rPr>
          <w:rFonts w:eastAsia="Calibri" w:cs="Times New Roman"/>
        </w:rPr>
      </w:pPr>
      <w:r w:rsidRPr="00A5168B">
        <w:rPr>
          <w:rFonts w:eastAsia="Calibri" w:cs="Times New Roman"/>
        </w:rPr>
        <w:t xml:space="preserve">Zowel Nederland als Engeland &amp; Wales zijn beide partij bij het </w:t>
      </w:r>
      <w:r w:rsidR="007F5111">
        <w:rPr>
          <w:rFonts w:eastAsia="Calibri" w:cs="Times New Roman"/>
        </w:rPr>
        <w:t xml:space="preserve">Europees Verdrag </w:t>
      </w:r>
      <w:r w:rsidR="00760522">
        <w:rPr>
          <w:rFonts w:eastAsia="Calibri" w:cs="Times New Roman"/>
        </w:rPr>
        <w:t>voor</w:t>
      </w:r>
      <w:r w:rsidR="007F5111">
        <w:rPr>
          <w:rFonts w:eastAsia="Calibri" w:cs="Times New Roman"/>
        </w:rPr>
        <w:t xml:space="preserve"> de Rechten van de Mens</w:t>
      </w:r>
      <w:r w:rsidR="00760522">
        <w:rPr>
          <w:rFonts w:eastAsia="Calibri" w:cs="Times New Roman"/>
        </w:rPr>
        <w:t xml:space="preserve"> (hierna: EVRM)</w:t>
      </w:r>
      <w:r w:rsidRPr="00A5168B">
        <w:rPr>
          <w:rFonts w:eastAsia="Calibri" w:cs="Times New Roman"/>
        </w:rPr>
        <w:t xml:space="preserve">. Daarom zal ook worden gezocht of het </w:t>
      </w:r>
      <w:r w:rsidR="00760522">
        <w:rPr>
          <w:rFonts w:eastAsia="Calibri" w:cs="Times New Roman"/>
        </w:rPr>
        <w:t>Europees Hof voor de Rechten van de Mens (hierna: EHRM)</w:t>
      </w:r>
      <w:r w:rsidRPr="00A5168B">
        <w:rPr>
          <w:rFonts w:eastAsia="Calibri" w:cs="Times New Roman"/>
        </w:rPr>
        <w:t xml:space="preserve"> zich heeft uitgelaten over de toegang tot datasets in het strafproces. </w:t>
      </w:r>
      <w:r w:rsidR="005C332F">
        <w:rPr>
          <w:rFonts w:eastAsia="Calibri" w:cs="Times New Roman"/>
        </w:rPr>
        <w:t xml:space="preserve">Voor de </w:t>
      </w:r>
      <w:r w:rsidR="005C332F">
        <w:rPr>
          <w:rFonts w:eastAsia="Calibri" w:cs="Times New Roman"/>
        </w:rPr>
        <w:lastRenderedPageBreak/>
        <w:t>beschrijving van de Nederlandse regeling</w:t>
      </w:r>
      <w:r w:rsidR="00033A31">
        <w:rPr>
          <w:rFonts w:eastAsia="Calibri" w:cs="Times New Roman"/>
        </w:rPr>
        <w:t xml:space="preserve"> zal tevens</w:t>
      </w:r>
      <w:r w:rsidRPr="00A5168B">
        <w:rPr>
          <w:rFonts w:eastAsia="Calibri" w:cs="Times New Roman"/>
        </w:rPr>
        <w:t xml:space="preserve"> een zoekslag worden gemaakt in de jurisprudentie van het </w:t>
      </w:r>
      <w:r w:rsidR="009B4E37">
        <w:rPr>
          <w:rFonts w:eastAsia="Calibri" w:cs="Times New Roman"/>
        </w:rPr>
        <w:t>Hof van Justitie van de Europese Unie</w:t>
      </w:r>
      <w:r w:rsidRPr="00A5168B">
        <w:rPr>
          <w:rFonts w:eastAsia="Calibri" w:cs="Times New Roman"/>
        </w:rPr>
        <w:t xml:space="preserve"> om te ondervinden of de toegang tot datasets daarin wordt besproken.</w:t>
      </w:r>
    </w:p>
    <w:p w14:paraId="5769CB78" w14:textId="77777777" w:rsidR="008519C1" w:rsidRPr="00184605" w:rsidRDefault="008519C1" w:rsidP="00821865">
      <w:pPr>
        <w:rPr>
          <w:rFonts w:cs="Times New Roman"/>
        </w:rPr>
      </w:pPr>
    </w:p>
    <w:p w14:paraId="10AFA226" w14:textId="77777777" w:rsidR="008519C1" w:rsidRPr="00184605" w:rsidRDefault="008519C1" w:rsidP="00821865">
      <w:pPr>
        <w:rPr>
          <w:rFonts w:cs="Times New Roman"/>
          <w:b/>
          <w:bCs/>
        </w:rPr>
      </w:pPr>
      <w:r w:rsidRPr="00184605">
        <w:rPr>
          <w:rFonts w:cs="Times New Roman"/>
          <w:b/>
          <w:bCs/>
        </w:rPr>
        <w:t>1.5   Leeswijzer</w:t>
      </w:r>
    </w:p>
    <w:p w14:paraId="3CEC4054" w14:textId="50C8068D" w:rsidR="008519C1" w:rsidRPr="00184605" w:rsidRDefault="008519C1" w:rsidP="00821865">
      <w:pPr>
        <w:rPr>
          <w:rFonts w:cs="Times New Roman"/>
        </w:rPr>
      </w:pPr>
      <w:r w:rsidRPr="00184605">
        <w:rPr>
          <w:rFonts w:cs="Times New Roman"/>
        </w:rPr>
        <w:t xml:space="preserve">In dit eerste hoofdstuk is een probleemstelling gegeven, op basis waarvan een onderzoeksdoel en onderzoeksvraag zijn geformuleerd. Ook is daarbij een uiteenzetting van de onderzoeksmethode gegeven. In het tweede hoofdstuk zal de toegang tot datasets in het Nederlandse strafprocesrecht worden beschreven. Daarna zal </w:t>
      </w:r>
      <w:r w:rsidR="001F2F9E">
        <w:rPr>
          <w:rFonts w:cs="Times New Roman"/>
        </w:rPr>
        <w:t xml:space="preserve">in het derde hoofdstuk </w:t>
      </w:r>
      <w:r w:rsidRPr="00184605">
        <w:rPr>
          <w:rFonts w:cs="Times New Roman"/>
        </w:rPr>
        <w:t>een beschrijving worden gegeven van het adversaire strafproces van Engeland &amp; Wales en hoe de toegang tot datasets daarin is vormgegeven. Vervolgens zullen in het vierde hoofdstuk de overeenkomsten en verschillen tussen beide regelingen worden geconstateerd</w:t>
      </w:r>
      <w:r w:rsidR="00D3261D">
        <w:rPr>
          <w:rFonts w:cs="Times New Roman"/>
        </w:rPr>
        <w:t xml:space="preserve"> en verklaard</w:t>
      </w:r>
      <w:r w:rsidRPr="00184605">
        <w:rPr>
          <w:rFonts w:cs="Times New Roman"/>
        </w:rPr>
        <w:t>, waarna wordt beoordeeld in hoeverre het Nederlandse strafprocesrecht kan leren van dat van Engeland &amp; Wales. De resultaten hiervan zullen worden besproken in de daarop volgende conclusie.</w:t>
      </w:r>
    </w:p>
    <w:p w14:paraId="4E6CBD04" w14:textId="77777777" w:rsidR="008519C1" w:rsidRPr="00184605" w:rsidRDefault="008519C1" w:rsidP="00821865">
      <w:pPr>
        <w:rPr>
          <w:rFonts w:cs="Times New Roman"/>
        </w:rPr>
      </w:pPr>
      <w:r w:rsidRPr="00184605">
        <w:rPr>
          <w:rFonts w:cs="Times New Roman"/>
        </w:rPr>
        <w:br w:type="page"/>
      </w:r>
    </w:p>
    <w:p w14:paraId="3C9C2EE0" w14:textId="22B2A6D3" w:rsidR="008519C1" w:rsidRPr="00673364" w:rsidRDefault="008519C1" w:rsidP="00821865">
      <w:pPr>
        <w:rPr>
          <w:rFonts w:cs="Times New Roman"/>
          <w:b/>
          <w:bCs/>
          <w:sz w:val="28"/>
          <w:szCs w:val="28"/>
        </w:rPr>
      </w:pPr>
      <w:r w:rsidRPr="00673364">
        <w:rPr>
          <w:rFonts w:cs="Times New Roman"/>
          <w:b/>
          <w:bCs/>
          <w:sz w:val="28"/>
          <w:szCs w:val="28"/>
        </w:rPr>
        <w:lastRenderedPageBreak/>
        <w:t xml:space="preserve">Hoofdstuk 2: </w:t>
      </w:r>
      <w:r w:rsidR="004538DB">
        <w:rPr>
          <w:rFonts w:cs="Times New Roman"/>
          <w:b/>
          <w:bCs/>
          <w:sz w:val="28"/>
          <w:szCs w:val="28"/>
        </w:rPr>
        <w:t>T</w:t>
      </w:r>
      <w:r w:rsidRPr="00673364">
        <w:rPr>
          <w:rFonts w:cs="Times New Roman"/>
          <w:b/>
          <w:bCs/>
          <w:sz w:val="28"/>
          <w:szCs w:val="28"/>
        </w:rPr>
        <w:t>oegang tot datasets in het Nederlandse strafprocesrecht</w:t>
      </w:r>
    </w:p>
    <w:p w14:paraId="4EBF1AD8" w14:textId="77777777" w:rsidR="008519C1" w:rsidRPr="00184605" w:rsidRDefault="008519C1" w:rsidP="00821865">
      <w:pPr>
        <w:rPr>
          <w:rFonts w:cs="Times New Roman"/>
        </w:rPr>
      </w:pPr>
    </w:p>
    <w:p w14:paraId="1475B7A6" w14:textId="77777777" w:rsidR="008519C1" w:rsidRPr="00184605" w:rsidRDefault="008519C1" w:rsidP="00821865">
      <w:pPr>
        <w:rPr>
          <w:rFonts w:cs="Times New Roman"/>
        </w:rPr>
      </w:pPr>
      <w:r w:rsidRPr="00184605">
        <w:rPr>
          <w:rFonts w:cs="Times New Roman"/>
          <w:b/>
          <w:bCs/>
        </w:rPr>
        <w:t>2.1   Inleiding</w:t>
      </w:r>
    </w:p>
    <w:p w14:paraId="0313135B" w14:textId="757B5855" w:rsidR="008519C1" w:rsidRPr="00184605" w:rsidRDefault="008519C1" w:rsidP="00821865">
      <w:pPr>
        <w:rPr>
          <w:rFonts w:cs="Times New Roman"/>
        </w:rPr>
      </w:pPr>
      <w:r w:rsidRPr="00184605">
        <w:rPr>
          <w:rFonts w:cs="Times New Roman"/>
        </w:rPr>
        <w:t>In dit hoofdstuk staat de toegang tot datasets voor de verdediging in het Nederlandse strafprocesrecht centraal. Allereerst zal een achtergrond worden gegeven van de inrichting van het Nederlandse strafproces</w:t>
      </w:r>
      <w:r w:rsidR="00FA48DC">
        <w:rPr>
          <w:rFonts w:cs="Times New Roman"/>
        </w:rPr>
        <w:t>recht</w:t>
      </w:r>
      <w:r w:rsidRPr="00184605">
        <w:rPr>
          <w:rFonts w:cs="Times New Roman"/>
        </w:rPr>
        <w:t xml:space="preserve"> aan de hand van een historische verkenning. Daarna zal de wettelijke regeling van het algemene inzagerecht worden besproken. Tevens zal deze regeling aan de hand van Europese jurisprudentie verder worden verduidelijkt, voordat zal worden overgegaan tot een nadere specificering ten aanzien van datasets. </w:t>
      </w:r>
      <w:r w:rsidR="002B5244">
        <w:rPr>
          <w:rFonts w:cs="Times New Roman"/>
        </w:rPr>
        <w:t>Ten slotte worden</w:t>
      </w:r>
      <w:r w:rsidRPr="00184605">
        <w:rPr>
          <w:rFonts w:cs="Times New Roman"/>
        </w:rPr>
        <w:t xml:space="preserve"> de bel</w:t>
      </w:r>
      <w:r w:rsidR="002B5244">
        <w:rPr>
          <w:rFonts w:cs="Times New Roman"/>
        </w:rPr>
        <w:t xml:space="preserve">angrijkste overwegingen beknopt </w:t>
      </w:r>
      <w:r w:rsidRPr="00184605">
        <w:rPr>
          <w:rFonts w:cs="Times New Roman"/>
        </w:rPr>
        <w:t>herhaald in de conclusie.</w:t>
      </w:r>
    </w:p>
    <w:p w14:paraId="0DDA3871" w14:textId="77777777" w:rsidR="008519C1" w:rsidRPr="00184605" w:rsidRDefault="008519C1" w:rsidP="00821865">
      <w:pPr>
        <w:rPr>
          <w:rFonts w:cs="Times New Roman"/>
        </w:rPr>
      </w:pPr>
    </w:p>
    <w:p w14:paraId="07B40B3E" w14:textId="273BF1C1" w:rsidR="008519C1" w:rsidRPr="00184605" w:rsidRDefault="008519C1" w:rsidP="00821865">
      <w:pPr>
        <w:rPr>
          <w:rFonts w:cs="Times New Roman"/>
        </w:rPr>
      </w:pPr>
      <w:r w:rsidRPr="00184605">
        <w:rPr>
          <w:rFonts w:cs="Times New Roman"/>
          <w:b/>
          <w:bCs/>
        </w:rPr>
        <w:t xml:space="preserve">2.2   De </w:t>
      </w:r>
      <w:r w:rsidR="00016E3A">
        <w:rPr>
          <w:rFonts w:cs="Times New Roman"/>
          <w:b/>
          <w:bCs/>
        </w:rPr>
        <w:t>achtergrond en inrichting</w:t>
      </w:r>
      <w:r w:rsidRPr="00184605">
        <w:rPr>
          <w:rFonts w:cs="Times New Roman"/>
          <w:b/>
          <w:bCs/>
        </w:rPr>
        <w:t xml:space="preserve"> van het Nederlandse strafproces</w:t>
      </w:r>
      <w:r w:rsidR="00FA48DC">
        <w:rPr>
          <w:rFonts w:cs="Times New Roman"/>
          <w:b/>
          <w:bCs/>
        </w:rPr>
        <w:t>recht</w:t>
      </w:r>
    </w:p>
    <w:p w14:paraId="211FF8E1" w14:textId="6AAFDCA9" w:rsidR="008519C1" w:rsidRDefault="008519C1" w:rsidP="00821865">
      <w:pPr>
        <w:rPr>
          <w:rFonts w:cs="Times New Roman"/>
        </w:rPr>
      </w:pPr>
      <w:r w:rsidRPr="00184605">
        <w:rPr>
          <w:rFonts w:cs="Times New Roman"/>
        </w:rPr>
        <w:t xml:space="preserve">Het Nederlandse strafprocesrecht vindt zijn oorsprong in de Franse </w:t>
      </w:r>
      <w:r w:rsidR="00E164B0">
        <w:rPr>
          <w:rFonts w:cs="Times New Roman"/>
        </w:rPr>
        <w:t>b</w:t>
      </w:r>
      <w:r w:rsidRPr="00184605">
        <w:rPr>
          <w:rFonts w:cs="Times New Roman"/>
        </w:rPr>
        <w:t xml:space="preserve">ezetting van Nederland. Tijdens deze bezetting werd in 1811 de Napoleontische </w:t>
      </w:r>
      <w:r w:rsidRPr="00184605">
        <w:rPr>
          <w:rFonts w:cs="Times New Roman"/>
          <w:i/>
          <w:iCs/>
        </w:rPr>
        <w:t xml:space="preserve">Code d’Instruction Criminelle </w:t>
      </w:r>
      <w:r w:rsidRPr="00184605">
        <w:rPr>
          <w:rFonts w:cs="Times New Roman"/>
        </w:rPr>
        <w:t xml:space="preserve">ingevoerd. Met dit Franse wetboek werd voor het eerst in Nederland eenheid geschapen in het strafprocesrecht, en zelfs na de bezetting bleef het wetboek </w:t>
      </w:r>
      <w:r w:rsidR="00396FCE">
        <w:rPr>
          <w:rFonts w:cs="Times New Roman"/>
        </w:rPr>
        <w:t>nog in werking</w:t>
      </w:r>
      <w:r w:rsidRPr="00184605">
        <w:rPr>
          <w:rFonts w:cs="Times New Roman"/>
        </w:rPr>
        <w:t>. Dit kwam in 1838 tot zijn einde toen de Code d’Instruction Criminelle werd vervangen door het allereer</w:t>
      </w:r>
      <w:r w:rsidR="00DB2E33">
        <w:rPr>
          <w:rFonts w:cs="Times New Roman"/>
        </w:rPr>
        <w:t xml:space="preserve">ste Wetboek van Strafvordering. </w:t>
      </w:r>
      <w:r w:rsidR="00D94477" w:rsidRPr="00D94477">
        <w:rPr>
          <w:rFonts w:cs="Times New Roman"/>
        </w:rPr>
        <w:t>Desalniettemin bleef de geest van de Na</w:t>
      </w:r>
      <w:r w:rsidR="00DB2E33">
        <w:rPr>
          <w:rFonts w:cs="Times New Roman"/>
        </w:rPr>
        <w:t xml:space="preserve">poleontische strafrechtspleging </w:t>
      </w:r>
      <w:r w:rsidR="00DB2E33" w:rsidRPr="00D94477">
        <w:rPr>
          <w:rFonts w:cs="Times New Roman"/>
        </w:rPr>
        <w:t>in dit Wetboek van Strafvordering</w:t>
      </w:r>
      <w:r w:rsidR="00DB2E33">
        <w:rPr>
          <w:rFonts w:cs="Times New Roman"/>
        </w:rPr>
        <w:t xml:space="preserve"> bestaan</w:t>
      </w:r>
      <w:r w:rsidRPr="00184605">
        <w:rPr>
          <w:rFonts w:cs="Times New Roman"/>
        </w:rPr>
        <w:t>.</w:t>
      </w:r>
      <w:r w:rsidRPr="00184605">
        <w:rPr>
          <w:rFonts w:cs="Times New Roman"/>
          <w:vertAlign w:val="superscript"/>
        </w:rPr>
        <w:footnoteReference w:id="32"/>
      </w:r>
      <w:r w:rsidRPr="00184605">
        <w:rPr>
          <w:rFonts w:cs="Times New Roman"/>
        </w:rPr>
        <w:t xml:space="preserve"> Met de introductie van het eerste Wetboek van Strafrecht in 1886 heeft het Wetboek van Strafvordering enige wijzigingen ondergaan, maar nog steeds berustte het strafprocesrecht op dezelfde beginselen als de Code d’Instruction Criminelle uit 18</w:t>
      </w:r>
      <w:r w:rsidR="00756D50">
        <w:rPr>
          <w:rFonts w:cs="Times New Roman"/>
        </w:rPr>
        <w:t>1</w:t>
      </w:r>
      <w:r w:rsidRPr="00184605">
        <w:rPr>
          <w:rFonts w:cs="Times New Roman"/>
        </w:rPr>
        <w:t>1. De basis van de Code d’Instruction Criminelle voert terug tot de Criminele Ordonnantiën van 1808</w:t>
      </w:r>
      <w:r w:rsidRPr="00184605">
        <w:rPr>
          <w:rFonts w:cs="Times New Roman"/>
          <w:vertAlign w:val="superscript"/>
        </w:rPr>
        <w:footnoteReference w:id="33"/>
      </w:r>
      <w:r w:rsidRPr="00184605">
        <w:rPr>
          <w:rFonts w:cs="Times New Roman"/>
        </w:rPr>
        <w:t xml:space="preserve"> en de regeling van het vooronderzoek is zelfs gebaseerd op de Criminele Ordonnantiën van Lodewijk XX uit 1670.</w:t>
      </w:r>
      <w:r w:rsidRPr="00184605">
        <w:rPr>
          <w:rFonts w:cs="Times New Roman"/>
          <w:vertAlign w:val="superscript"/>
        </w:rPr>
        <w:footnoteReference w:id="34"/>
      </w:r>
      <w:r w:rsidRPr="00184605">
        <w:rPr>
          <w:rFonts w:cs="Times New Roman"/>
        </w:rPr>
        <w:t xml:space="preserve"> Met dit gedachtegoed werd het Nederlandse strafproces op dat moment gekenmerkt door een zuiver inquisitoir karakter: het betrof een schriftelijk onderzoek dat buiten de verdachte om werd uitgevoerd zonder enige individuele rechtsbescherming voor de verdachte.</w:t>
      </w:r>
      <w:r w:rsidRPr="00184605">
        <w:rPr>
          <w:rFonts w:cs="Times New Roman"/>
          <w:vertAlign w:val="superscript"/>
        </w:rPr>
        <w:footnoteReference w:id="35"/>
      </w:r>
    </w:p>
    <w:p w14:paraId="66863116" w14:textId="77777777" w:rsidR="0060502C" w:rsidRPr="00184605" w:rsidRDefault="0060502C" w:rsidP="00821865">
      <w:pPr>
        <w:rPr>
          <w:rFonts w:cs="Times New Roman"/>
        </w:rPr>
      </w:pPr>
    </w:p>
    <w:p w14:paraId="079A71E4" w14:textId="0246CE37" w:rsidR="008519C1" w:rsidRPr="00184605" w:rsidRDefault="008519C1" w:rsidP="00821865">
      <w:pPr>
        <w:rPr>
          <w:rFonts w:cs="Times New Roman"/>
        </w:rPr>
      </w:pPr>
      <w:r w:rsidRPr="00184605">
        <w:rPr>
          <w:rFonts w:cs="Times New Roman"/>
        </w:rPr>
        <w:t>Men kwam tot de constatering dat het Wetboek van Strafvordering en het daaraan verbonden zuiver inquisitoire strafproces om voornoemde reden sterk verouderd waren en dat het strafprocesrecht een grondige wijziging behoefde.</w:t>
      </w:r>
      <w:r w:rsidRPr="00184605">
        <w:rPr>
          <w:rFonts w:cs="Times New Roman"/>
          <w:vertAlign w:val="superscript"/>
        </w:rPr>
        <w:footnoteReference w:id="36"/>
      </w:r>
      <w:r w:rsidRPr="00184605">
        <w:rPr>
          <w:rFonts w:cs="Times New Roman"/>
        </w:rPr>
        <w:t xml:space="preserve"> Onder leiding van de Commissie Ort werd gewerkt aan een nieuw Wetboek van Strafvordering, dat in 1926 in werking trad. Het vooronderzoek onderging met de introductie van het nieuwe wetboek een verschuiving van een zuiver inquisitoir naar een overwegend </w:t>
      </w:r>
      <w:r w:rsidRPr="00184605">
        <w:rPr>
          <w:rFonts w:cs="Times New Roman"/>
        </w:rPr>
        <w:lastRenderedPageBreak/>
        <w:t xml:space="preserve">inquisitoir karakter: de verdachte kreeg meerdere processuele rechten toebedeeld waarvan hij gebruik kon maken zolang het belang van het onderzoek niet werd geschaad. Daarnaast </w:t>
      </w:r>
      <w:r w:rsidR="00F265B1">
        <w:rPr>
          <w:rFonts w:cs="Times New Roman"/>
        </w:rPr>
        <w:t>kregen</w:t>
      </w:r>
      <w:r w:rsidRPr="00184605">
        <w:rPr>
          <w:rFonts w:cs="Times New Roman"/>
        </w:rPr>
        <w:t xml:space="preserve"> opsporingsambtenaren met het nieuwe wetboek een scala aan nieuwe opsporingsbevoegdheden. Daarentegen zijn er bepaalde aspecten uit het oude – op het Franse recht gestoelde – Wetboek van Strafvordering in stand gehouden: zowel het opportuniteitsbeginsel als het gerechtelijk vooronderzoek bleven bestaan.</w:t>
      </w:r>
      <w:r w:rsidRPr="00184605">
        <w:rPr>
          <w:rFonts w:cs="Times New Roman"/>
          <w:vertAlign w:val="superscript"/>
        </w:rPr>
        <w:footnoteReference w:id="37"/>
      </w:r>
      <w:r w:rsidRPr="00184605">
        <w:rPr>
          <w:rFonts w:cs="Times New Roman"/>
        </w:rPr>
        <w:t xml:space="preserve"> </w:t>
      </w:r>
    </w:p>
    <w:p w14:paraId="4B0FF173" w14:textId="77777777" w:rsidR="008519C1" w:rsidRPr="00184605" w:rsidRDefault="008519C1" w:rsidP="00821865">
      <w:pPr>
        <w:rPr>
          <w:rFonts w:cs="Times New Roman"/>
        </w:rPr>
      </w:pPr>
    </w:p>
    <w:p w14:paraId="3DAE9667" w14:textId="189EBB1C" w:rsidR="008519C1" w:rsidRDefault="00FB3097" w:rsidP="00821865">
      <w:pPr>
        <w:rPr>
          <w:rFonts w:cs="Times New Roman"/>
        </w:rPr>
      </w:pPr>
      <w:r>
        <w:rPr>
          <w:rFonts w:cs="Times New Roman"/>
        </w:rPr>
        <w:t xml:space="preserve">Sindsdien heeft het </w:t>
      </w:r>
      <w:r w:rsidR="008519C1" w:rsidRPr="00184605">
        <w:rPr>
          <w:rFonts w:cs="Times New Roman"/>
        </w:rPr>
        <w:t xml:space="preserve">Wetboek van Strafvordering meerdere wijzigingen </w:t>
      </w:r>
      <w:r w:rsidR="00AC137A">
        <w:rPr>
          <w:rFonts w:cs="Times New Roman"/>
        </w:rPr>
        <w:t>ondergaan</w:t>
      </w:r>
      <w:r>
        <w:rPr>
          <w:rFonts w:cs="Times New Roman"/>
        </w:rPr>
        <w:t xml:space="preserve">, waarbij het overwegend inquisitoire karakter van het strafproces steeds bleef behouden. </w:t>
      </w:r>
      <w:r w:rsidR="008519C1" w:rsidRPr="00184605">
        <w:rPr>
          <w:rFonts w:cs="Times New Roman"/>
        </w:rPr>
        <w:t>Het afgelopen decennium is in de literatuur echter geconstateerd dat het Nederlandse strafproces steeds meer adversaire trekken krijgt: zo stelde Van der Meij in 2012 dat wegens een aantal wetswijzigingen in de positie van de verdachte en de rechter-commissaris het vooronderzoek een adversair karakter zou kunnen krijgen.</w:t>
      </w:r>
      <w:r w:rsidR="008519C1" w:rsidRPr="00184605">
        <w:rPr>
          <w:rFonts w:cs="Times New Roman"/>
          <w:vertAlign w:val="superscript"/>
        </w:rPr>
        <w:footnoteReference w:id="38"/>
      </w:r>
      <w:r w:rsidR="008519C1" w:rsidRPr="00184605">
        <w:rPr>
          <w:rFonts w:cs="Times New Roman"/>
        </w:rPr>
        <w:t xml:space="preserve"> Ook De Hert &amp; Decaigny stellen in 2013 vast dat de wijziging van een gerechtelijk vooronderzoek naar een opsporingsonderzoek en de verruiming van buitengerechtelijke afhandelingen het Nederlandse strafproces in</w:t>
      </w:r>
      <w:r w:rsidR="00F212C9">
        <w:rPr>
          <w:rFonts w:cs="Times New Roman"/>
        </w:rPr>
        <w:t xml:space="preserve"> een</w:t>
      </w:r>
      <w:r w:rsidR="008519C1" w:rsidRPr="00184605">
        <w:rPr>
          <w:rFonts w:cs="Times New Roman"/>
        </w:rPr>
        <w:t xml:space="preserve"> adversaire richting doen bewegen. Evenwel behoudt het Nederlandse strafproces zijn overwegend inquisitoire karakter.</w:t>
      </w:r>
      <w:r w:rsidR="008519C1" w:rsidRPr="00184605">
        <w:rPr>
          <w:rFonts w:cs="Times New Roman"/>
          <w:vertAlign w:val="superscript"/>
        </w:rPr>
        <w:footnoteReference w:id="39"/>
      </w:r>
      <w:r w:rsidR="008519C1" w:rsidRPr="00184605">
        <w:rPr>
          <w:rFonts w:cs="Times New Roman"/>
        </w:rPr>
        <w:t xml:space="preserve"> Daarnaast draagt de lopende modernisering van het Wetboek van Strafvordering bij aan de beweging</w:t>
      </w:r>
      <w:r w:rsidR="006E0083">
        <w:rPr>
          <w:rFonts w:cs="Times New Roman"/>
        </w:rPr>
        <w:t xml:space="preserve"> richting </w:t>
      </w:r>
      <w:r w:rsidR="00EF3908">
        <w:rPr>
          <w:rFonts w:cs="Times New Roman"/>
        </w:rPr>
        <w:t>een adversair karakter</w:t>
      </w:r>
      <w:r w:rsidR="008519C1" w:rsidRPr="00184605">
        <w:rPr>
          <w:rFonts w:cs="Times New Roman"/>
        </w:rPr>
        <w:t xml:space="preserve">: de nieuwe beoogde wetgeving schept de verwachting </w:t>
      </w:r>
      <w:r w:rsidR="00655999">
        <w:rPr>
          <w:rFonts w:cs="Times New Roman"/>
        </w:rPr>
        <w:t>dat</w:t>
      </w:r>
      <w:r w:rsidR="008519C1" w:rsidRPr="00184605">
        <w:rPr>
          <w:rFonts w:cs="Times New Roman"/>
        </w:rPr>
        <w:t xml:space="preserve"> de verdediging actief procedeert en tegenspraak levert in het strafproces.</w:t>
      </w:r>
      <w:r w:rsidR="008519C1" w:rsidRPr="00184605">
        <w:rPr>
          <w:rFonts w:cs="Times New Roman"/>
          <w:vertAlign w:val="superscript"/>
        </w:rPr>
        <w:footnoteReference w:id="40"/>
      </w:r>
    </w:p>
    <w:p w14:paraId="6DCCCE26" w14:textId="77777777" w:rsidR="008519C1" w:rsidRDefault="008519C1" w:rsidP="00821865">
      <w:pPr>
        <w:rPr>
          <w:rFonts w:cs="Times New Roman"/>
        </w:rPr>
      </w:pPr>
    </w:p>
    <w:p w14:paraId="437411EA" w14:textId="11F623BB" w:rsidR="00CE6441" w:rsidRPr="004D194A" w:rsidRDefault="00CE6441" w:rsidP="00CE6441">
      <w:pPr>
        <w:rPr>
          <w:rFonts w:eastAsia="Aptos" w:cs="Times New Roman"/>
        </w:rPr>
      </w:pPr>
      <w:r w:rsidRPr="00821321">
        <w:rPr>
          <w:rFonts w:eastAsia="Aptos" w:cs="Times New Roman"/>
        </w:rPr>
        <w:t xml:space="preserve">In </w:t>
      </w:r>
      <w:r w:rsidR="00D27842">
        <w:rPr>
          <w:rFonts w:eastAsia="Aptos" w:cs="Times New Roman"/>
        </w:rPr>
        <w:t xml:space="preserve">het </w:t>
      </w:r>
      <w:r>
        <w:rPr>
          <w:rFonts w:eastAsia="Aptos" w:cs="Times New Roman"/>
        </w:rPr>
        <w:t>inquisitoir</w:t>
      </w:r>
      <w:r w:rsidR="00D27842">
        <w:rPr>
          <w:rFonts w:eastAsia="Aptos" w:cs="Times New Roman"/>
        </w:rPr>
        <w:t>e</w:t>
      </w:r>
      <w:r>
        <w:rPr>
          <w:rFonts w:eastAsia="Aptos" w:cs="Times New Roman"/>
        </w:rPr>
        <w:t xml:space="preserve"> strafproces </w:t>
      </w:r>
      <w:r w:rsidRPr="00821321">
        <w:rPr>
          <w:rFonts w:eastAsia="Aptos" w:cs="Times New Roman"/>
        </w:rPr>
        <w:t xml:space="preserve">ligt het initiatief tot het instellen van een strafvervolging bij een van staatswege daartoe ingestelde autoriteit. Onafhankelijk van de wensen van </w:t>
      </w:r>
      <w:r>
        <w:rPr>
          <w:rFonts w:eastAsia="Aptos" w:cs="Times New Roman"/>
        </w:rPr>
        <w:t>betrokkenen</w:t>
      </w:r>
      <w:r w:rsidRPr="00821321">
        <w:rPr>
          <w:rFonts w:eastAsia="Aptos" w:cs="Times New Roman"/>
        </w:rPr>
        <w:t xml:space="preserve"> stelt deze autoriteit een onderzoek (</w:t>
      </w:r>
      <w:r w:rsidRPr="00821321">
        <w:rPr>
          <w:rFonts w:eastAsia="Aptos" w:cs="Times New Roman"/>
          <w:i/>
          <w:iCs/>
        </w:rPr>
        <w:t>inquisitio</w:t>
      </w:r>
      <w:r w:rsidRPr="00821321">
        <w:rPr>
          <w:rFonts w:eastAsia="Aptos" w:cs="Times New Roman"/>
        </w:rPr>
        <w:t>) in naar het vermeende strafbare feit en de dader.</w:t>
      </w:r>
      <w:r w:rsidRPr="00821321">
        <w:rPr>
          <w:rFonts w:eastAsia="Aptos" w:cs="Times New Roman"/>
          <w:vertAlign w:val="superscript"/>
        </w:rPr>
        <w:footnoteReference w:id="41"/>
      </w:r>
      <w:r w:rsidR="008B7F3C">
        <w:rPr>
          <w:rFonts w:eastAsia="Aptos" w:cs="Times New Roman"/>
        </w:rPr>
        <w:t xml:space="preserve"> Deze inrichting </w:t>
      </w:r>
      <w:r w:rsidR="00026814">
        <w:rPr>
          <w:rFonts w:eastAsia="Aptos" w:cs="Times New Roman"/>
        </w:rPr>
        <w:t>vindt zijn grondslag</w:t>
      </w:r>
      <w:r w:rsidR="00647561">
        <w:rPr>
          <w:rFonts w:eastAsia="Aptos" w:cs="Times New Roman"/>
        </w:rPr>
        <w:t xml:space="preserve"> in</w:t>
      </w:r>
      <w:r w:rsidRPr="00821321">
        <w:rPr>
          <w:rFonts w:eastAsia="Aptos" w:cs="Times New Roman"/>
        </w:rPr>
        <w:t xml:space="preserve"> de gedachte dat de waarheidsvinding het beste tot zijn recht komt in een centrale onderzoeksprocedure, waarvan de leiding niet aan private personen kan worden toevertrouwd: het is juist aan de overheid om dit onderzoek te leiden. Omdat er buiten de betrokken partijen om wordt gezocht naar een zo objectief mogelijke versie van de waarheid, wordt met deze gedachte verondersteld dat het inquisitoire strafproces eerlijk en legitiem is. De eerlijkheid en legitimiteit van het inquisitoire strafproces wordt daarmee dus afhankelijk gemaakt van de magistratelijkheid van het OM en haar competentie om de waarheidsvinding zo integer mogelijk </w:t>
      </w:r>
      <w:r w:rsidR="003839A3">
        <w:rPr>
          <w:rFonts w:eastAsia="Aptos" w:cs="Times New Roman"/>
        </w:rPr>
        <w:t>te laten verlopen</w:t>
      </w:r>
      <w:r w:rsidRPr="00821321">
        <w:rPr>
          <w:rFonts w:eastAsia="Aptos" w:cs="Times New Roman"/>
        </w:rPr>
        <w:t>.</w:t>
      </w:r>
      <w:r w:rsidRPr="00821321">
        <w:rPr>
          <w:rFonts w:eastAsia="Aptos" w:cs="Times New Roman"/>
          <w:vertAlign w:val="superscript"/>
        </w:rPr>
        <w:footnoteReference w:id="42"/>
      </w:r>
      <w:r w:rsidRPr="000D6AC9">
        <w:rPr>
          <w:rFonts w:eastAsia="Aptos" w:cs="Times New Roman"/>
        </w:rPr>
        <w:t xml:space="preserve"> Derhalve komt een groot belang toe aan de magistratelijke opstelling van het OM bij de uitoefening van haar taken en bevoegdheden. </w:t>
      </w:r>
      <w:r w:rsidR="003F201E">
        <w:rPr>
          <w:rFonts w:eastAsia="Aptos" w:cs="Times New Roman"/>
        </w:rPr>
        <w:t xml:space="preserve">Het belang van deze magistratelijke opstelling wordt daarnaast steeds </w:t>
      </w:r>
      <w:r w:rsidR="003F201E">
        <w:rPr>
          <w:rFonts w:eastAsia="Aptos" w:cs="Times New Roman"/>
        </w:rPr>
        <w:lastRenderedPageBreak/>
        <w:t>belangrijker, nu het OM de afgelopen jaren</w:t>
      </w:r>
      <w:r w:rsidR="00816522">
        <w:rPr>
          <w:rFonts w:eastAsia="Aptos" w:cs="Times New Roman"/>
        </w:rPr>
        <w:t xml:space="preserve"> meer verantwoordelijkheden heeft gekregen die</w:t>
      </w:r>
      <w:r w:rsidR="007C47CB">
        <w:rPr>
          <w:rFonts w:eastAsia="Aptos" w:cs="Times New Roman"/>
        </w:rPr>
        <w:t xml:space="preserve"> niet</w:t>
      </w:r>
      <w:r w:rsidR="00976260">
        <w:rPr>
          <w:rFonts w:eastAsia="Aptos" w:cs="Times New Roman"/>
        </w:rPr>
        <w:t xml:space="preserve"> of slechts beperkt</w:t>
      </w:r>
      <w:r w:rsidR="007C47CB">
        <w:rPr>
          <w:rFonts w:eastAsia="Aptos" w:cs="Times New Roman"/>
        </w:rPr>
        <w:t xml:space="preserve"> door de strafrechter </w:t>
      </w:r>
      <w:r w:rsidR="000A5A03">
        <w:rPr>
          <w:rFonts w:eastAsia="Aptos" w:cs="Times New Roman"/>
        </w:rPr>
        <w:t>kunnen worden gecontroleerd.</w:t>
      </w:r>
      <w:r w:rsidR="000A5A03">
        <w:rPr>
          <w:rStyle w:val="Voetnootmarkering"/>
          <w:rFonts w:eastAsia="Aptos" w:cs="Times New Roman"/>
        </w:rPr>
        <w:footnoteReference w:id="43"/>
      </w:r>
      <w:r w:rsidR="006B0EB0">
        <w:rPr>
          <w:rFonts w:eastAsia="Aptos" w:cs="Times New Roman"/>
        </w:rPr>
        <w:t xml:space="preserve"> </w:t>
      </w:r>
      <w:r w:rsidR="00816522">
        <w:rPr>
          <w:rFonts w:eastAsia="Aptos" w:cs="Times New Roman"/>
        </w:rPr>
        <w:t>Dit lijkt de wetgever niet te zijn ontgaan: i</w:t>
      </w:r>
      <w:r w:rsidRPr="000D6AC9">
        <w:rPr>
          <w:rFonts w:cs="Times New Roman"/>
        </w:rPr>
        <w:t xml:space="preserve">n het moderniseringstraject van het Wetboek van Strafvordering </w:t>
      </w:r>
      <w:r w:rsidR="00816522">
        <w:rPr>
          <w:rFonts w:cs="Times New Roman"/>
        </w:rPr>
        <w:t xml:space="preserve">benadrukt hij nogmaals dat </w:t>
      </w:r>
      <w:r w:rsidR="004D7EF1">
        <w:rPr>
          <w:rFonts w:cs="Times New Roman"/>
        </w:rPr>
        <w:t xml:space="preserve">de opstelling van het OM moet getuigen van </w:t>
      </w:r>
      <w:r w:rsidR="0024631D">
        <w:rPr>
          <w:rFonts w:cs="Times New Roman"/>
        </w:rPr>
        <w:t>magistratelijkheid</w:t>
      </w:r>
      <w:r w:rsidRPr="000D6AC9">
        <w:rPr>
          <w:rFonts w:cs="Times New Roman"/>
        </w:rPr>
        <w:t>.</w:t>
      </w:r>
      <w:r w:rsidRPr="000D6AC9">
        <w:rPr>
          <w:rStyle w:val="Voetnootmarkering"/>
          <w:rFonts w:cs="Times New Roman"/>
        </w:rPr>
        <w:footnoteReference w:id="44"/>
      </w:r>
      <w:r>
        <w:rPr>
          <w:rFonts w:cs="Times New Roman"/>
        </w:rPr>
        <w:t xml:space="preserve"> </w:t>
      </w:r>
    </w:p>
    <w:p w14:paraId="3EAB0F3B" w14:textId="77777777" w:rsidR="00CE6441" w:rsidRPr="00184605" w:rsidRDefault="00CE6441" w:rsidP="00821865">
      <w:pPr>
        <w:rPr>
          <w:rFonts w:cs="Times New Roman"/>
        </w:rPr>
      </w:pPr>
    </w:p>
    <w:p w14:paraId="650D74C0" w14:textId="4DDB76C9" w:rsidR="008519C1" w:rsidRPr="00184605" w:rsidRDefault="008519C1" w:rsidP="00821865">
      <w:pPr>
        <w:rPr>
          <w:rFonts w:cs="Times New Roman"/>
        </w:rPr>
      </w:pPr>
      <w:r w:rsidRPr="00184605">
        <w:rPr>
          <w:rFonts w:cs="Times New Roman"/>
          <w:b/>
          <w:bCs/>
        </w:rPr>
        <w:t xml:space="preserve">2.3   De wettelijke grondslag voor </w:t>
      </w:r>
      <w:r w:rsidR="00C552D2">
        <w:rPr>
          <w:rFonts w:cs="Times New Roman"/>
          <w:b/>
          <w:bCs/>
        </w:rPr>
        <w:t>toegang tot bewijsmateriaal</w:t>
      </w:r>
    </w:p>
    <w:p w14:paraId="79B14248" w14:textId="39C5F157" w:rsidR="008519C1" w:rsidRDefault="008519C1" w:rsidP="00821865">
      <w:pPr>
        <w:rPr>
          <w:rFonts w:cs="Times New Roman"/>
        </w:rPr>
      </w:pPr>
      <w:r w:rsidRPr="00184605">
        <w:rPr>
          <w:rFonts w:cs="Times New Roman"/>
        </w:rPr>
        <w:t xml:space="preserve">De </w:t>
      </w:r>
      <w:r w:rsidR="00C552D2">
        <w:rPr>
          <w:rFonts w:cs="Times New Roman"/>
        </w:rPr>
        <w:t>toegang tot bewijsmateriaal</w:t>
      </w:r>
      <w:r w:rsidRPr="00184605">
        <w:rPr>
          <w:rFonts w:cs="Times New Roman"/>
        </w:rPr>
        <w:t xml:space="preserve"> in het Nederlandse strafprocesrecht heeft gestalte gekregen in wat doorgaans wordt aangeduid als het ‘inzagerecht’. Het inquisitoire procesmodel brengt immers met zich dat de vervolgende autoriteit beschikt over nagenoeg al het mogelijk belastend en ontlastend bewijsmateriaal. De verdediging dient </w:t>
      </w:r>
      <w:r w:rsidR="004F6399">
        <w:rPr>
          <w:rFonts w:cs="Times New Roman"/>
        </w:rPr>
        <w:t>dan ook toegang te krijgen tot dit bewijsmateriaal</w:t>
      </w:r>
      <w:r w:rsidRPr="00184605">
        <w:rPr>
          <w:rFonts w:cs="Times New Roman"/>
        </w:rPr>
        <w:t xml:space="preserve"> zodat het proces eerlijk verloopt.</w:t>
      </w:r>
      <w:r w:rsidRPr="00184605">
        <w:rPr>
          <w:rFonts w:cs="Times New Roman"/>
          <w:vertAlign w:val="superscript"/>
        </w:rPr>
        <w:footnoteReference w:id="45"/>
      </w:r>
      <w:r w:rsidRPr="00184605">
        <w:rPr>
          <w:rFonts w:cs="Times New Roman"/>
        </w:rPr>
        <w:t xml:space="preserve"> In de wet wordt in dat verband ook wel gesproken van ‘kennisneming van de processtukken’. De mogelijkheid hiertoe voor de verdediging gedurende het vooronderzoek valt terug te vinden in art. 30 lid 1 Sv: op grond daarvan kan de verdediging de officier van justitie verzoeken tot kennisneming van de processtukken.</w:t>
      </w:r>
    </w:p>
    <w:p w14:paraId="2F940D9D" w14:textId="77777777" w:rsidR="00062835" w:rsidRPr="00184605" w:rsidRDefault="00062835" w:rsidP="00821865">
      <w:pPr>
        <w:rPr>
          <w:rFonts w:cs="Times New Roman"/>
        </w:rPr>
      </w:pPr>
    </w:p>
    <w:p w14:paraId="2048C350" w14:textId="77777777" w:rsidR="008519C1" w:rsidRPr="00184605" w:rsidRDefault="008519C1" w:rsidP="00821865">
      <w:pPr>
        <w:rPr>
          <w:rFonts w:cs="Times New Roman"/>
        </w:rPr>
      </w:pPr>
      <w:r w:rsidRPr="00184605">
        <w:rPr>
          <w:rFonts w:cs="Times New Roman"/>
        </w:rPr>
        <w:t xml:space="preserve">Lange tijd kende het Wetboek van Strafvordering geen definitie van processtukken, maar werd gebruik gemaakt van het in de jurisprudentie ontwikkelde </w:t>
      </w:r>
      <w:r w:rsidRPr="00184605">
        <w:rPr>
          <w:rFonts w:cs="Times New Roman"/>
          <w:i/>
          <w:iCs/>
        </w:rPr>
        <w:t>relevantiecriterium</w:t>
      </w:r>
      <w:r w:rsidRPr="00184605">
        <w:rPr>
          <w:rFonts w:cs="Times New Roman"/>
        </w:rPr>
        <w:t xml:space="preserve"> dat de Hoge Raad voor het eerst gebruikte in het arrest </w:t>
      </w:r>
      <w:r w:rsidRPr="00184605">
        <w:rPr>
          <w:rFonts w:cs="Times New Roman"/>
          <w:i/>
          <w:iCs/>
        </w:rPr>
        <w:t>Dev Sol</w:t>
      </w:r>
      <w:r w:rsidRPr="00184605">
        <w:rPr>
          <w:rFonts w:cs="Times New Roman"/>
        </w:rPr>
        <w:t>.</w:t>
      </w:r>
      <w:r w:rsidRPr="00184605">
        <w:rPr>
          <w:rFonts w:cs="Times New Roman"/>
          <w:vertAlign w:val="superscript"/>
        </w:rPr>
        <w:footnoteReference w:id="46"/>
      </w:r>
      <w:r w:rsidRPr="00184605">
        <w:rPr>
          <w:rFonts w:cs="Times New Roman"/>
        </w:rPr>
        <w:t xml:space="preserve"> Daarin oordeelde de Hoge Raad dat:</w:t>
      </w:r>
    </w:p>
    <w:p w14:paraId="227990FB" w14:textId="77777777" w:rsidR="008519C1" w:rsidRPr="00184605" w:rsidRDefault="008519C1" w:rsidP="00821865">
      <w:pPr>
        <w:rPr>
          <w:rFonts w:cs="Times New Roman"/>
        </w:rPr>
      </w:pPr>
    </w:p>
    <w:p w14:paraId="2CBBBA83" w14:textId="77777777" w:rsidR="008519C1" w:rsidRPr="00184605" w:rsidRDefault="008519C1" w:rsidP="00821865">
      <w:pPr>
        <w:rPr>
          <w:rFonts w:cs="Times New Roman"/>
        </w:rPr>
      </w:pPr>
      <w:r w:rsidRPr="00184605">
        <w:rPr>
          <w:rFonts w:cs="Times New Roman"/>
          <w:i/>
          <w:iCs/>
        </w:rPr>
        <w:t xml:space="preserve">“Voor zover het gaat om stukken die van invloed kunnen zijn op het bewijs, moet worden aangenomen dat (…) de officier van justitie de stukken behelzende de resultaten van het opsporingsonderzoek aan het dossier toevoegt. Indien een gerechtelijk vooronderzoek is ingesteld heeft de rechter-commissaris een soortgelijke taak ten aanzien van de resultaten van het gerechtelijk vooronderzoek. In het dossier dienen te worden gevoegd </w:t>
      </w:r>
      <w:bookmarkStart w:id="4" w:name="_Hlk168235611"/>
      <w:r w:rsidRPr="00184605">
        <w:rPr>
          <w:rFonts w:cs="Times New Roman"/>
          <w:i/>
          <w:iCs/>
          <w:u w:val="single"/>
        </w:rPr>
        <w:t>stukken die redelijkerwijze van belang kunnen zijn hetzij in voor de verdachte belastende hetzij in voor hem ontlastende zin</w:t>
      </w:r>
      <w:bookmarkEnd w:id="4"/>
      <w:r w:rsidRPr="00184605">
        <w:rPr>
          <w:rFonts w:cs="Times New Roman"/>
          <w:i/>
          <w:iCs/>
        </w:rPr>
        <w:t>.”</w:t>
      </w:r>
      <w:r w:rsidRPr="00184605">
        <w:rPr>
          <w:rFonts w:cs="Times New Roman"/>
          <w:vertAlign w:val="superscript"/>
        </w:rPr>
        <w:footnoteReference w:id="47"/>
      </w:r>
    </w:p>
    <w:p w14:paraId="38EEF873" w14:textId="77777777" w:rsidR="008519C1" w:rsidRPr="00184605" w:rsidRDefault="008519C1" w:rsidP="00821865">
      <w:pPr>
        <w:rPr>
          <w:rFonts w:cs="Times New Roman"/>
        </w:rPr>
      </w:pPr>
    </w:p>
    <w:p w14:paraId="42BE2AD8" w14:textId="50343E64" w:rsidR="008519C1" w:rsidRPr="00184605" w:rsidRDefault="008519C1" w:rsidP="00821865">
      <w:pPr>
        <w:rPr>
          <w:rFonts w:cs="Times New Roman"/>
        </w:rPr>
      </w:pPr>
      <w:r w:rsidRPr="00184605">
        <w:rPr>
          <w:rFonts w:cs="Times New Roman"/>
        </w:rPr>
        <w:t>Per 1 januari 2013 heeft de term processtuk met de inwerkingtreding van de Wet herziening regels betreffende de processtukken in strafzaken</w:t>
      </w:r>
      <w:r w:rsidRPr="00184605">
        <w:rPr>
          <w:rFonts w:cs="Times New Roman"/>
          <w:vertAlign w:val="superscript"/>
        </w:rPr>
        <w:footnoteReference w:id="48"/>
      </w:r>
      <w:r w:rsidRPr="00184605">
        <w:rPr>
          <w:rFonts w:cs="Times New Roman"/>
        </w:rPr>
        <w:t xml:space="preserve"> een vaste plaats in de wet gekregen. Opvallend genoeg werd in dat wetgevingstraject reeds gesproken over grote hoeveelheden data uit fraudezaken en dat het OM de verdediging in dergelijke zaken in staat stelde om het bewijs in te zien in ‘datarooms’.</w:t>
      </w:r>
      <w:r w:rsidRPr="00184605">
        <w:rPr>
          <w:rStyle w:val="Voetnootmarkering"/>
          <w:rFonts w:cs="Times New Roman"/>
        </w:rPr>
        <w:footnoteReference w:id="49"/>
      </w:r>
      <w:r w:rsidRPr="00184605">
        <w:rPr>
          <w:rFonts w:cs="Times New Roman"/>
        </w:rPr>
        <w:t xml:space="preserve"> In het </w:t>
      </w:r>
      <w:r w:rsidRPr="00184605">
        <w:rPr>
          <w:rFonts w:cs="Times New Roman"/>
        </w:rPr>
        <w:lastRenderedPageBreak/>
        <w:t xml:space="preserve">met deze wet ingevoerde art. 149a lid 2 Sv worden processtukken omschreven als “alle stukken die voor de ter terechtzitting door de rechter te nemen beslissingen redelijkerwijs van belang kunnen zijn”. Opmerkelijk is dat art. 149a lid 2 Sv hiermee een beperktere invulling lijkt te geven aan de inhoud van een processtuk dan de Hoge Raad in </w:t>
      </w:r>
      <w:r w:rsidRPr="00184605">
        <w:rPr>
          <w:rFonts w:cs="Times New Roman"/>
          <w:i/>
          <w:iCs/>
        </w:rPr>
        <w:t>Dev Sol</w:t>
      </w:r>
      <w:r w:rsidRPr="00184605">
        <w:rPr>
          <w:rFonts w:cs="Times New Roman"/>
        </w:rPr>
        <w:t xml:space="preserve">: de stukken dienen immers van belang te zijn voor beslissingen die ter terechtzitting door de rechter dienen te worden genomen, in plaats van stukken die voor de verdachte van belang zijn. Desalniettemin wijst navolgende jurisprudentie erop dat met de definitie uit art. 149a lid 2 Sv aansluiting wordt gezocht bij hetgeen de Hoge Raad in </w:t>
      </w:r>
      <w:r w:rsidRPr="00184605">
        <w:rPr>
          <w:rFonts w:cs="Times New Roman"/>
          <w:i/>
          <w:iCs/>
        </w:rPr>
        <w:t>Dev Sol</w:t>
      </w:r>
      <w:r w:rsidRPr="00184605">
        <w:rPr>
          <w:rFonts w:cs="Times New Roman"/>
        </w:rPr>
        <w:t xml:space="preserve"> heeft overwogen.</w:t>
      </w:r>
      <w:r w:rsidRPr="00184605">
        <w:rPr>
          <w:rFonts w:cs="Times New Roman"/>
          <w:vertAlign w:val="superscript"/>
        </w:rPr>
        <w:footnoteReference w:id="50"/>
      </w:r>
      <w:r w:rsidRPr="00184605">
        <w:rPr>
          <w:rFonts w:cs="Times New Roman"/>
        </w:rPr>
        <w:t xml:space="preserve"> De definitie van een processtuk is daarmee dus ongewijzigd gebleven. Deze uitleg van het relevantiecriterium brengt eveneens met zich dat ook stukken die nog niet in het procesdossier zijn gevoegd, alsnog als processtukken kunnen worden gekwalificeerd.</w:t>
      </w:r>
      <w:r w:rsidRPr="00184605">
        <w:rPr>
          <w:rFonts w:cs="Times New Roman"/>
          <w:vertAlign w:val="superscript"/>
        </w:rPr>
        <w:footnoteReference w:id="51"/>
      </w:r>
      <w:r w:rsidRPr="00184605">
        <w:rPr>
          <w:rFonts w:cs="Times New Roman"/>
        </w:rPr>
        <w:t xml:space="preserve"> Bovendien is de definitie van een processtuk onafhankelijk gemaakt van de aard van het desbetreffende stuk: de vraag of sprake is van een processtuk, moet juist worden beantwoord met het oog op de vraag of de betreffende stukken voldoen aan het relevantiecriterium.</w:t>
      </w:r>
      <w:r w:rsidRPr="00184605">
        <w:rPr>
          <w:rFonts w:cs="Times New Roman"/>
          <w:vertAlign w:val="superscript"/>
        </w:rPr>
        <w:footnoteReference w:id="52"/>
      </w:r>
    </w:p>
    <w:p w14:paraId="5388B5F9" w14:textId="77777777" w:rsidR="008519C1" w:rsidRPr="00184605" w:rsidRDefault="008519C1" w:rsidP="00821865">
      <w:pPr>
        <w:rPr>
          <w:rFonts w:cs="Times New Roman"/>
        </w:rPr>
      </w:pPr>
    </w:p>
    <w:p w14:paraId="3EB9F82F" w14:textId="77777777" w:rsidR="008519C1" w:rsidRPr="00184605" w:rsidRDefault="008519C1" w:rsidP="00821865">
      <w:pPr>
        <w:rPr>
          <w:rFonts w:cs="Times New Roman"/>
        </w:rPr>
      </w:pPr>
      <w:r w:rsidRPr="00184605">
        <w:rPr>
          <w:rFonts w:cs="Times New Roman"/>
        </w:rPr>
        <w:t xml:space="preserve">2.3.1   </w:t>
      </w:r>
      <w:r w:rsidRPr="00184605">
        <w:rPr>
          <w:rFonts w:cs="Times New Roman"/>
          <w:i/>
          <w:iCs/>
        </w:rPr>
        <w:t>Onthouding van de processtukken</w:t>
      </w:r>
    </w:p>
    <w:p w14:paraId="7F72FE09" w14:textId="5AC1D0D2" w:rsidR="008519C1" w:rsidRPr="00184605" w:rsidRDefault="008519C1" w:rsidP="00821865">
      <w:pPr>
        <w:rPr>
          <w:rFonts w:cs="Times New Roman"/>
        </w:rPr>
      </w:pPr>
      <w:r w:rsidRPr="00184605">
        <w:rPr>
          <w:rFonts w:cs="Times New Roman"/>
        </w:rPr>
        <w:t xml:space="preserve">Het recht van de verdachte </w:t>
      </w:r>
      <w:r w:rsidR="00C64149">
        <w:rPr>
          <w:rFonts w:cs="Times New Roman"/>
        </w:rPr>
        <w:t>op</w:t>
      </w:r>
      <w:r w:rsidRPr="00184605">
        <w:rPr>
          <w:rFonts w:cs="Times New Roman"/>
        </w:rPr>
        <w:t xml:space="preserve"> kennisname van de processtukken kan op grond van de wet op twee manieren worden ingeperkt: ten aanzien van bepaalde processtukken kan de kennisneming hem tijdelijk worden onthouden en in bepaalde gevallen kunnen processtukken zelfs in zijn geheel niet worden ingezien.</w:t>
      </w:r>
    </w:p>
    <w:p w14:paraId="79888CBD" w14:textId="77777777" w:rsidR="008519C1" w:rsidRPr="00184605" w:rsidRDefault="008519C1" w:rsidP="00821865">
      <w:pPr>
        <w:rPr>
          <w:rFonts w:cs="Times New Roman"/>
        </w:rPr>
      </w:pPr>
    </w:p>
    <w:p w14:paraId="475C8F28" w14:textId="7C615CBB" w:rsidR="008519C1" w:rsidRDefault="008519C1" w:rsidP="00821865">
      <w:pPr>
        <w:rPr>
          <w:rFonts w:cs="Times New Roman"/>
        </w:rPr>
      </w:pPr>
      <w:r w:rsidRPr="00184605">
        <w:rPr>
          <w:rFonts w:cs="Times New Roman"/>
        </w:rPr>
        <w:t>Op grond van art. 30 lid 3 Sv heeft de officier van justitie d</w:t>
      </w:r>
      <w:r w:rsidR="000538B1">
        <w:rPr>
          <w:rFonts w:cs="Times New Roman"/>
        </w:rPr>
        <w:t>e bevoegdheid om de verdachte</w:t>
      </w:r>
      <w:r w:rsidRPr="00184605">
        <w:rPr>
          <w:rFonts w:cs="Times New Roman"/>
        </w:rPr>
        <w:t xml:space="preserve"> tijdelijk</w:t>
      </w:r>
      <w:r w:rsidR="000538B1">
        <w:rPr>
          <w:rFonts w:cs="Times New Roman"/>
        </w:rPr>
        <w:t>e</w:t>
      </w:r>
      <w:r w:rsidRPr="00184605">
        <w:rPr>
          <w:rFonts w:cs="Times New Roman"/>
        </w:rPr>
        <w:t xml:space="preserve"> kennisneming van bepaalde</w:t>
      </w:r>
      <w:r w:rsidR="000538B1">
        <w:rPr>
          <w:rFonts w:cs="Times New Roman"/>
        </w:rPr>
        <w:t xml:space="preserve"> processtukken te onthouden. Dat</w:t>
      </w:r>
      <w:r w:rsidRPr="00184605">
        <w:rPr>
          <w:rFonts w:cs="Times New Roman"/>
        </w:rPr>
        <w:t xml:space="preserve"> kan enkel indien het belang van het onderzoek dit vordert, al wordt dit criterium niet nader in de wet gedefinieerd. Volgens de wetgever is </w:t>
      </w:r>
      <w:r w:rsidR="00884C37">
        <w:rPr>
          <w:rFonts w:cs="Times New Roman"/>
        </w:rPr>
        <w:t>hiervan sprake</w:t>
      </w:r>
      <w:r w:rsidRPr="00184605">
        <w:rPr>
          <w:rFonts w:cs="Times New Roman"/>
        </w:rPr>
        <w:t xml:space="preserve"> indien ernstig valt te vrezen dat de waarheidsvinding wordt belemmerd op het moment dat de verdachte zou kennisnemen van de processtukken.</w:t>
      </w:r>
      <w:r w:rsidRPr="00184605">
        <w:rPr>
          <w:rFonts w:cs="Times New Roman"/>
          <w:vertAlign w:val="superscript"/>
        </w:rPr>
        <w:footnoteReference w:id="53"/>
      </w:r>
      <w:r w:rsidRPr="00184605">
        <w:rPr>
          <w:rFonts w:cs="Times New Roman"/>
        </w:rPr>
        <w:t xml:space="preserve"> In het geval dat de officier van justitie tot onthouding beslist, ontvangt de verdachte van hem een schriftelijke mededeling waarin wordt benoemd dat de ter inzage verleende processtukken niet volledig zijn. De verdachte heeft vervolgens op grond van art. 30 lid 4 Sv de mogelijkheid om tegen deze beslissing in bezwaar te gaan bij de rechter-commissaris. Dat deze onthouding van processtukken tijdelijk is, volgt uit de wettekst van art. 33 Sv: de verdach</w:t>
      </w:r>
      <w:r w:rsidR="00273859">
        <w:rPr>
          <w:rFonts w:cs="Times New Roman"/>
        </w:rPr>
        <w:t>te heeft het recht op kennisneming</w:t>
      </w:r>
      <w:r w:rsidRPr="00184605">
        <w:rPr>
          <w:rFonts w:cs="Times New Roman"/>
        </w:rPr>
        <w:t xml:space="preserve"> van alle processtukken op het moment dat hem </w:t>
      </w:r>
      <w:r w:rsidRPr="00184605">
        <w:rPr>
          <w:rFonts w:cs="Times New Roman"/>
        </w:rPr>
        <w:lastRenderedPageBreak/>
        <w:t xml:space="preserve">de dagvaarding ter terechtzitting is betekend dan wel een strafbeschikking is uitgevaardigd. De enige uitzondering hierop is </w:t>
      </w:r>
      <w:r w:rsidR="009F1588">
        <w:rPr>
          <w:rFonts w:cs="Times New Roman"/>
        </w:rPr>
        <w:t>gehele onthouding van de processtukken</w:t>
      </w:r>
      <w:r w:rsidRPr="00184605">
        <w:rPr>
          <w:rFonts w:cs="Times New Roman"/>
        </w:rPr>
        <w:t>.</w:t>
      </w:r>
    </w:p>
    <w:p w14:paraId="3D2EFAFB" w14:textId="77777777" w:rsidR="006F0A7C" w:rsidRPr="00184605" w:rsidRDefault="006F0A7C" w:rsidP="00821865">
      <w:pPr>
        <w:rPr>
          <w:rFonts w:cs="Times New Roman"/>
        </w:rPr>
      </w:pPr>
    </w:p>
    <w:p w14:paraId="44ECD808" w14:textId="3ABC3803" w:rsidR="008519C1" w:rsidRPr="00184605" w:rsidRDefault="008519C1" w:rsidP="00821865">
      <w:pPr>
        <w:rPr>
          <w:rFonts w:cs="Times New Roman"/>
        </w:rPr>
      </w:pPr>
      <w:r w:rsidRPr="00184605">
        <w:rPr>
          <w:rFonts w:cs="Times New Roman"/>
        </w:rPr>
        <w:t xml:space="preserve">In art. 149b Sv staat omschreven dat de officier van justitie de bevoegdheid heeft om de voeging van bepaalde stukken bij de processtukken in het geheel achterwege te laten. Hij kan hiertoe overgaan met het oog op de belangen uit art. 187d lid 1 Sv: wanneer de getuige ernstige overlast zal ondervinden, wanneer een zwaarwegend opsporingsbelang wordt geschaad en/of wanneer het belang van de staatsveiligheid wordt geschaad. </w:t>
      </w:r>
      <w:r w:rsidR="0066405E">
        <w:rPr>
          <w:rFonts w:cs="Times New Roman"/>
        </w:rPr>
        <w:t>De</w:t>
      </w:r>
      <w:r w:rsidRPr="00184605">
        <w:rPr>
          <w:rFonts w:cs="Times New Roman"/>
        </w:rPr>
        <w:t xml:space="preserve"> officier van justitie </w:t>
      </w:r>
      <w:r w:rsidR="0066405E">
        <w:rPr>
          <w:rFonts w:cs="Times New Roman"/>
        </w:rPr>
        <w:t xml:space="preserve">behoeft </w:t>
      </w:r>
      <w:r w:rsidRPr="00184605">
        <w:rPr>
          <w:rFonts w:cs="Times New Roman"/>
        </w:rPr>
        <w:t>hiervoor een machtiging van de rechter-commissaris. Het betreft hier dus het achterwege laten van voeging van stukken die wel aan het relevantiecriterium voldoen, maar die door toepassing van deze bevoegdheid niet als processtuk kunnen worden aangemerkt.</w:t>
      </w:r>
      <w:r w:rsidRPr="00184605">
        <w:rPr>
          <w:rFonts w:cs="Times New Roman"/>
          <w:vertAlign w:val="superscript"/>
        </w:rPr>
        <w:footnoteReference w:id="54"/>
      </w:r>
      <w:r w:rsidRPr="00184605">
        <w:rPr>
          <w:rFonts w:cs="Times New Roman"/>
        </w:rPr>
        <w:t xml:space="preserve"> De officier van justitie maakt bij de toepassing van art. 149b Sv een proces-verbaal op die bij de processtukken wordt gevoegd. Op deze wijze kan de verdachte kennisnemen van de toegepaste onthouding.</w:t>
      </w:r>
    </w:p>
    <w:p w14:paraId="4D289754" w14:textId="77777777" w:rsidR="008519C1" w:rsidRPr="00184605" w:rsidRDefault="008519C1" w:rsidP="00821865">
      <w:pPr>
        <w:rPr>
          <w:rFonts w:cs="Times New Roman"/>
        </w:rPr>
      </w:pPr>
    </w:p>
    <w:p w14:paraId="294244FD" w14:textId="77777777" w:rsidR="008519C1" w:rsidRPr="00184605" w:rsidRDefault="008519C1" w:rsidP="00821865">
      <w:pPr>
        <w:rPr>
          <w:rFonts w:cs="Times New Roman"/>
        </w:rPr>
      </w:pPr>
      <w:r w:rsidRPr="00184605">
        <w:rPr>
          <w:rFonts w:cs="Times New Roman"/>
        </w:rPr>
        <w:t xml:space="preserve">2.3.2   </w:t>
      </w:r>
      <w:r w:rsidRPr="00184605">
        <w:rPr>
          <w:rFonts w:cs="Times New Roman"/>
          <w:i/>
          <w:iCs/>
        </w:rPr>
        <w:t>Voeging bij de processtukken</w:t>
      </w:r>
    </w:p>
    <w:p w14:paraId="6E5D5EB8" w14:textId="5849A2EA" w:rsidR="008519C1" w:rsidRPr="00184605" w:rsidRDefault="008519C1" w:rsidP="00821865">
      <w:pPr>
        <w:rPr>
          <w:rFonts w:cs="Times New Roman"/>
        </w:rPr>
      </w:pPr>
      <w:r w:rsidRPr="00184605">
        <w:rPr>
          <w:rFonts w:cs="Times New Roman"/>
        </w:rPr>
        <w:t>Het inquisitoire strafproces van Nederland maakt het niet mogelijk voor de verdediging om ontlastend bewijsmateriaal zonder meer in te brengen in het strafproces. Daarvoor dient de verdediging te verzoeken dat deze stukken worden gevoegd. Dit verzoek kan zien op de voeging van stukken die in handen zijn van de verdediging, maar ook op stukken die in handen zijn van het OM en (nog) niet bij de processtukken zijn gevoegd.</w:t>
      </w:r>
      <w:r w:rsidRPr="00184605">
        <w:rPr>
          <w:rFonts w:cs="Times New Roman"/>
          <w:vertAlign w:val="superscript"/>
        </w:rPr>
        <w:footnoteReference w:id="55"/>
      </w:r>
      <w:r w:rsidRPr="00184605">
        <w:rPr>
          <w:rFonts w:cs="Times New Roman"/>
        </w:rPr>
        <w:t xml:space="preserve"> De verdediging heeft afhankelijk van de fase van de vervolging twee mogelijkheden om </w:t>
      </w:r>
      <w:r w:rsidR="00AE3A36">
        <w:rPr>
          <w:rFonts w:cs="Times New Roman"/>
        </w:rPr>
        <w:t>voeging te verzoeken</w:t>
      </w:r>
      <w:r w:rsidRPr="00184605">
        <w:rPr>
          <w:rFonts w:cs="Times New Roman"/>
        </w:rPr>
        <w:t xml:space="preserve">. Een </w:t>
      </w:r>
      <w:r w:rsidR="00C61E0C">
        <w:rPr>
          <w:rFonts w:cs="Times New Roman"/>
        </w:rPr>
        <w:t>gehonoreerd verzoek</w:t>
      </w:r>
      <w:r w:rsidRPr="00184605">
        <w:rPr>
          <w:rFonts w:cs="Times New Roman"/>
        </w:rPr>
        <w:t xml:space="preserve"> heeft als gevolg dat de desbetreffende stukken bij de processtukken worden gevoegd, hetgeen ertoe leidt dat de verdachte daar </w:t>
      </w:r>
      <w:r w:rsidR="00AE2210">
        <w:rPr>
          <w:rFonts w:cs="Times New Roman"/>
        </w:rPr>
        <w:t>– behoudens uitzonderingen –</w:t>
      </w:r>
      <w:r w:rsidRPr="00184605">
        <w:rPr>
          <w:rFonts w:cs="Times New Roman"/>
        </w:rPr>
        <w:t xml:space="preserve"> inzage in moet krijgen.</w:t>
      </w:r>
    </w:p>
    <w:p w14:paraId="0F07BD9F" w14:textId="77777777" w:rsidR="008519C1" w:rsidRPr="00184605" w:rsidRDefault="008519C1" w:rsidP="00821865">
      <w:pPr>
        <w:rPr>
          <w:rFonts w:cs="Times New Roman"/>
        </w:rPr>
      </w:pPr>
    </w:p>
    <w:p w14:paraId="37022B25" w14:textId="54F9E328" w:rsidR="008519C1" w:rsidRPr="00184605" w:rsidRDefault="008519C1" w:rsidP="00821865">
      <w:pPr>
        <w:rPr>
          <w:rFonts w:cs="Times New Roman"/>
        </w:rPr>
      </w:pPr>
      <w:r w:rsidRPr="00184605">
        <w:rPr>
          <w:rFonts w:cs="Times New Roman"/>
        </w:rPr>
        <w:t xml:space="preserve">De eerste mogelijkheid om voeging te verzoeken stamt uit art. 34 Sv en geeft de verdediging de mogelijkheid om tijdens het vooronderzoek een met redenen omkleed verzoek in te dienen bij de officier van justitie. Ook </w:t>
      </w:r>
      <w:r w:rsidR="003F4A13">
        <w:rPr>
          <w:rFonts w:cs="Times New Roman"/>
        </w:rPr>
        <w:t>hier</w:t>
      </w:r>
      <w:r w:rsidRPr="00184605">
        <w:rPr>
          <w:rFonts w:cs="Times New Roman"/>
        </w:rPr>
        <w:t xml:space="preserve"> geldt het relevantiecriterium</w:t>
      </w:r>
      <w:r w:rsidR="00B47B27">
        <w:rPr>
          <w:rFonts w:cs="Times New Roman"/>
        </w:rPr>
        <w:t xml:space="preserve"> en moet</w:t>
      </w:r>
      <w:r w:rsidRPr="00184605">
        <w:rPr>
          <w:rFonts w:cs="Times New Roman"/>
        </w:rPr>
        <w:t xml:space="preserve"> de officier van justitie </w:t>
      </w:r>
      <w:r w:rsidR="00B47B27">
        <w:rPr>
          <w:rFonts w:cs="Times New Roman"/>
        </w:rPr>
        <w:t>de</w:t>
      </w:r>
      <w:r w:rsidR="00651B0D">
        <w:rPr>
          <w:rFonts w:cs="Times New Roman"/>
        </w:rPr>
        <w:t xml:space="preserve"> hiervoor besproken</w:t>
      </w:r>
      <w:r w:rsidR="00B47B27">
        <w:rPr>
          <w:rFonts w:cs="Times New Roman"/>
        </w:rPr>
        <w:t xml:space="preserve"> toets uit</w:t>
      </w:r>
      <w:r w:rsidRPr="00184605">
        <w:rPr>
          <w:rFonts w:cs="Times New Roman"/>
        </w:rPr>
        <w:t xml:space="preserve"> </w:t>
      </w:r>
      <w:r w:rsidRPr="00184605">
        <w:rPr>
          <w:rFonts w:cs="Times New Roman"/>
          <w:i/>
          <w:iCs/>
        </w:rPr>
        <w:t>Dev Sol</w:t>
      </w:r>
      <w:r w:rsidRPr="00184605">
        <w:rPr>
          <w:rFonts w:cs="Times New Roman"/>
        </w:rPr>
        <w:t xml:space="preserve"> </w:t>
      </w:r>
      <w:r w:rsidR="00B47B27">
        <w:rPr>
          <w:rFonts w:cs="Times New Roman"/>
        </w:rPr>
        <w:t>toepassen</w:t>
      </w:r>
      <w:r w:rsidRPr="00184605">
        <w:rPr>
          <w:rFonts w:cs="Times New Roman"/>
        </w:rPr>
        <w:t xml:space="preserve">. Op grond van art. 34 lid 4 Sv heeft de officier twee gronden waarop hij de voeging kan weigeren: (1) de officier van justitie is van oordeel dat de stukken op grond van het relevantiecriterium niet als processtukken kunnen worden aangemerkt of (2) indien de officier van justitie voeging van de stukken onverenigbaar acht met een van de belangen uit art. 187d Sv. In beide gevallen is een schriftelijke machtiging van de rechter-commissaris vereist. </w:t>
      </w:r>
    </w:p>
    <w:p w14:paraId="693DEEA0" w14:textId="77777777" w:rsidR="008519C1" w:rsidRPr="00184605" w:rsidRDefault="008519C1" w:rsidP="00821865">
      <w:pPr>
        <w:rPr>
          <w:rFonts w:cs="Times New Roman"/>
        </w:rPr>
      </w:pPr>
    </w:p>
    <w:p w14:paraId="07F85535" w14:textId="7465A2CB" w:rsidR="008519C1" w:rsidRPr="00184605" w:rsidRDefault="008519C1" w:rsidP="00821865">
      <w:pPr>
        <w:rPr>
          <w:rFonts w:cs="Times New Roman"/>
        </w:rPr>
      </w:pPr>
      <w:r w:rsidRPr="00184605">
        <w:rPr>
          <w:rFonts w:cs="Times New Roman"/>
        </w:rPr>
        <w:t xml:space="preserve">Nadat het onderzoek ter terechtzitting is aangevangen, dient de verdediging zijn verzoek tot voeging op grond van art. 328 Sv te richten aan de rechter. Daarbij toetst de rechter op grond van art. 315 Sv </w:t>
      </w:r>
      <w:r w:rsidR="00615199">
        <w:rPr>
          <w:rFonts w:cs="Times New Roman"/>
        </w:rPr>
        <w:lastRenderedPageBreak/>
        <w:t>dit</w:t>
      </w:r>
      <w:r w:rsidRPr="00184605">
        <w:rPr>
          <w:rFonts w:cs="Times New Roman"/>
        </w:rPr>
        <w:t xml:space="preserve"> verzoek aan het zogeheten </w:t>
      </w:r>
      <w:r w:rsidRPr="00184605">
        <w:rPr>
          <w:rFonts w:cs="Times New Roman"/>
          <w:i/>
          <w:iCs/>
        </w:rPr>
        <w:t>noodzakelijkheidscriterium</w:t>
      </w:r>
      <w:r w:rsidRPr="00184605">
        <w:rPr>
          <w:rFonts w:cs="Times New Roman"/>
        </w:rPr>
        <w:t>.</w:t>
      </w:r>
      <w:r w:rsidRPr="00184605">
        <w:rPr>
          <w:rFonts w:cs="Times New Roman"/>
          <w:vertAlign w:val="superscript"/>
        </w:rPr>
        <w:footnoteReference w:id="56"/>
      </w:r>
      <w:r w:rsidRPr="00184605">
        <w:rPr>
          <w:rFonts w:cs="Times New Roman"/>
        </w:rPr>
        <w:t xml:space="preserve"> De Hoge Raad heeft het begrip ‘noodzakelijk’ in zijn jurisprudentie zodanig uitgelegd dat de rechter een verzoek tot voeging dient te beoordelen “aan de hand van de eisen die voortvloeien uit de beginselen van een behoorlijke procesorde, waarbij mede betekenis toekomt aan de (belastende dan wel ontlastende) aard van de over te leggen bescheiden of stukken en (…) de aard van de te berechten zaak en het stadium waarin de procedure zich bevindt”.</w:t>
      </w:r>
      <w:r w:rsidRPr="00184605">
        <w:rPr>
          <w:rFonts w:cs="Times New Roman"/>
          <w:vertAlign w:val="superscript"/>
        </w:rPr>
        <w:footnoteReference w:id="57"/>
      </w:r>
      <w:r w:rsidRPr="00184605">
        <w:rPr>
          <w:rFonts w:cs="Times New Roman"/>
        </w:rPr>
        <w:t xml:space="preserve"> </w:t>
      </w:r>
      <w:r w:rsidR="00A71CF6">
        <w:rPr>
          <w:rFonts w:cs="Times New Roman"/>
        </w:rPr>
        <w:t xml:space="preserve">Daarmee is het noodzakelijkheidscriterium strenger dan het relevantiecriterium: voeging moet immers niet slechts </w:t>
      </w:r>
      <w:r w:rsidR="004B394C">
        <w:rPr>
          <w:rFonts w:cs="Times New Roman"/>
        </w:rPr>
        <w:t xml:space="preserve">relevant, maar ook </w:t>
      </w:r>
      <w:r w:rsidR="004B394C" w:rsidRPr="004B394C">
        <w:rPr>
          <w:rFonts w:cs="Times New Roman"/>
          <w:i/>
          <w:iCs/>
        </w:rPr>
        <w:t xml:space="preserve">noodzakelijk </w:t>
      </w:r>
      <w:r w:rsidR="004B394C">
        <w:rPr>
          <w:rFonts w:cs="Times New Roman"/>
        </w:rPr>
        <w:t>zijn. Wel</w:t>
      </w:r>
      <w:r w:rsidRPr="00184605">
        <w:rPr>
          <w:rFonts w:cs="Times New Roman"/>
        </w:rPr>
        <w:t xml:space="preserve"> dient de rechtbank bij het verzoek tot voeging eveneens het relevantiecriterium mee te nemen.</w:t>
      </w:r>
      <w:r w:rsidRPr="00184605">
        <w:rPr>
          <w:rFonts w:cs="Times New Roman"/>
          <w:vertAlign w:val="superscript"/>
        </w:rPr>
        <w:footnoteReference w:id="58"/>
      </w:r>
      <w:r w:rsidRPr="00184605">
        <w:rPr>
          <w:rFonts w:cs="Times New Roman"/>
        </w:rPr>
        <w:t xml:space="preserve"> </w:t>
      </w:r>
      <w:r w:rsidR="001C19EB">
        <w:rPr>
          <w:rFonts w:cs="Times New Roman"/>
        </w:rPr>
        <w:t xml:space="preserve">Ook hier geldt dat een </w:t>
      </w:r>
      <w:r w:rsidR="00903A62">
        <w:rPr>
          <w:rFonts w:cs="Times New Roman"/>
        </w:rPr>
        <w:t>toegewezen</w:t>
      </w:r>
      <w:r w:rsidR="002D2669">
        <w:rPr>
          <w:rFonts w:cs="Times New Roman"/>
        </w:rPr>
        <w:t xml:space="preserve"> </w:t>
      </w:r>
      <w:r w:rsidR="001C19EB">
        <w:rPr>
          <w:rFonts w:cs="Times New Roman"/>
        </w:rPr>
        <w:t>verzoek tot voeging ertoe leidt dat de verdediging inzage krijgt in de desbetreffende stukken.</w:t>
      </w:r>
    </w:p>
    <w:p w14:paraId="5CE98701" w14:textId="77777777" w:rsidR="008519C1" w:rsidRPr="00184605" w:rsidRDefault="008519C1" w:rsidP="00821865">
      <w:pPr>
        <w:rPr>
          <w:rFonts w:cs="Times New Roman"/>
        </w:rPr>
      </w:pPr>
    </w:p>
    <w:p w14:paraId="05ED0669" w14:textId="77777777" w:rsidR="008519C1" w:rsidRPr="00184605" w:rsidRDefault="008519C1" w:rsidP="00821865">
      <w:pPr>
        <w:rPr>
          <w:rFonts w:cs="Times New Roman"/>
        </w:rPr>
      </w:pPr>
      <w:r w:rsidRPr="00184605">
        <w:rPr>
          <w:rFonts w:cs="Times New Roman"/>
          <w:b/>
          <w:bCs/>
        </w:rPr>
        <w:t>2.4   Europese rechtspraak</w:t>
      </w:r>
    </w:p>
    <w:p w14:paraId="711BA3D6" w14:textId="6C1A88EF" w:rsidR="008519C1" w:rsidRPr="00184605" w:rsidRDefault="008519C1" w:rsidP="00821865">
      <w:pPr>
        <w:rPr>
          <w:rFonts w:cs="Times New Roman"/>
        </w:rPr>
      </w:pPr>
      <w:r w:rsidRPr="00184605">
        <w:rPr>
          <w:rFonts w:cs="Times New Roman"/>
        </w:rPr>
        <w:t xml:space="preserve">Het EHRM heeft zich in zijn jurisprudentie in algemene zin uitgelaten over het belang van de </w:t>
      </w:r>
      <w:r w:rsidR="00A577B7">
        <w:rPr>
          <w:rFonts w:cs="Times New Roman"/>
        </w:rPr>
        <w:t>toegang tot bewijs</w:t>
      </w:r>
      <w:r w:rsidR="00C82E59">
        <w:rPr>
          <w:rFonts w:cs="Times New Roman"/>
        </w:rPr>
        <w:t>materiaal</w:t>
      </w:r>
      <w:r w:rsidRPr="00184605">
        <w:rPr>
          <w:rFonts w:cs="Times New Roman"/>
        </w:rPr>
        <w:t xml:space="preserve"> in strafzaken. Het is een fundamenteel aspect van het recht op een eerlijk proces dat er binnen het strafproces sprake is van een </w:t>
      </w:r>
      <w:r w:rsidRPr="00184605">
        <w:rPr>
          <w:rFonts w:cs="Times New Roman"/>
          <w:i/>
          <w:iCs/>
        </w:rPr>
        <w:t>adversarial trial</w:t>
      </w:r>
      <w:r w:rsidRPr="00184605">
        <w:rPr>
          <w:rFonts w:cs="Times New Roman"/>
        </w:rPr>
        <w:t>: daarmee bedoelt het EHRM dat de verdediging en het OM over en weer bekend moeten zijn met het bewijsmateriaal in de zaak, teneinde zich daarover te kunnen uitlaten.</w:t>
      </w:r>
      <w:r w:rsidRPr="00184605">
        <w:rPr>
          <w:rFonts w:cs="Times New Roman"/>
          <w:vertAlign w:val="superscript"/>
        </w:rPr>
        <w:footnoteReference w:id="59"/>
      </w:r>
      <w:r w:rsidRPr="00184605">
        <w:rPr>
          <w:rFonts w:cs="Times New Roman"/>
        </w:rPr>
        <w:t xml:space="preserve"> Daarnaast brengt art. 6 lid 1 EVRM met zich dat het OM al het belastende en ontlastende bewijsmateriaal in zijn bezit aan de verdediging verstrekt.</w:t>
      </w:r>
      <w:r w:rsidRPr="00184605">
        <w:rPr>
          <w:rFonts w:cs="Times New Roman"/>
          <w:vertAlign w:val="superscript"/>
        </w:rPr>
        <w:footnoteReference w:id="60"/>
      </w:r>
      <w:r w:rsidRPr="00184605">
        <w:rPr>
          <w:rFonts w:cs="Times New Roman"/>
        </w:rPr>
        <w:t xml:space="preserve"> Verder heeft de verdachte het recht om ter voorbereiding van zijn zaak inzage te krijgen in de resultaten van het lopende opsporingsonderzoek.</w:t>
      </w:r>
      <w:r w:rsidRPr="00184605">
        <w:rPr>
          <w:rFonts w:cs="Times New Roman"/>
          <w:vertAlign w:val="superscript"/>
        </w:rPr>
        <w:footnoteReference w:id="61"/>
      </w:r>
      <w:r w:rsidRPr="00184605">
        <w:rPr>
          <w:rFonts w:cs="Times New Roman"/>
        </w:rPr>
        <w:t xml:space="preserve"> Evenwel is het recht op kennisname niet absoluut: er kunnen redenen bestaan op grond waarvan bepaald bewijs niet hoeft te worden verstrekt. Daarbij is van belang dat de verhouding tussen de procespartijen in balans wordt gehouden.</w:t>
      </w:r>
      <w:r w:rsidRPr="00184605">
        <w:rPr>
          <w:rFonts w:cs="Times New Roman"/>
          <w:vertAlign w:val="superscript"/>
        </w:rPr>
        <w:footnoteReference w:id="62"/>
      </w:r>
    </w:p>
    <w:p w14:paraId="4C6943B3" w14:textId="77777777" w:rsidR="008519C1" w:rsidRPr="00184605" w:rsidRDefault="008519C1" w:rsidP="00821865">
      <w:pPr>
        <w:rPr>
          <w:rFonts w:cs="Times New Roman"/>
        </w:rPr>
      </w:pPr>
    </w:p>
    <w:p w14:paraId="7D5706B6" w14:textId="46FFEF87" w:rsidR="008519C1" w:rsidRPr="00184605" w:rsidRDefault="008519C1" w:rsidP="00821865">
      <w:pPr>
        <w:rPr>
          <w:rFonts w:cs="Times New Roman"/>
        </w:rPr>
      </w:pPr>
      <w:r w:rsidRPr="00184605">
        <w:rPr>
          <w:rFonts w:cs="Times New Roman"/>
        </w:rPr>
        <w:t xml:space="preserve">In de zaak </w:t>
      </w:r>
      <w:bookmarkStart w:id="5" w:name="_Hlk157714715"/>
      <w:r w:rsidRPr="00184605">
        <w:rPr>
          <w:rFonts w:cs="Times New Roman"/>
          <w:i/>
          <w:iCs/>
        </w:rPr>
        <w:t xml:space="preserve">Einarsson </w:t>
      </w:r>
      <w:bookmarkEnd w:id="5"/>
      <w:r w:rsidRPr="00184605">
        <w:rPr>
          <w:rFonts w:cs="Times New Roman"/>
        </w:rPr>
        <w:t xml:space="preserve">heeft het EHRM zich voor het eerst specifiek uitgelaten over de </w:t>
      </w:r>
      <w:r w:rsidR="00B1144A">
        <w:rPr>
          <w:rFonts w:cs="Times New Roman"/>
        </w:rPr>
        <w:t>toegang tot datasets</w:t>
      </w:r>
      <w:r w:rsidRPr="00184605">
        <w:rPr>
          <w:rFonts w:cs="Times New Roman"/>
        </w:rPr>
        <w:t>. Volgens het EHRM moet het OM bewerkstelligen dat de verdediging mee kan praten over de criteria aan de hand waarvan een selectie uit de gigantische hoeveelheid berichten wordt gemaakt.</w:t>
      </w:r>
      <w:r w:rsidRPr="00184605">
        <w:rPr>
          <w:rFonts w:cs="Times New Roman"/>
          <w:vertAlign w:val="superscript"/>
        </w:rPr>
        <w:footnoteReference w:id="63"/>
      </w:r>
      <w:r w:rsidRPr="00184605">
        <w:rPr>
          <w:rFonts w:cs="Times New Roman"/>
        </w:rPr>
        <w:t xml:space="preserve"> De verdediging krijgt hiermee geen inzage in de volledige dataset, maar heeft dus wel recht op </w:t>
      </w:r>
      <w:r w:rsidRPr="00184605">
        <w:rPr>
          <w:rFonts w:cs="Times New Roman"/>
          <w:i/>
          <w:iCs/>
        </w:rPr>
        <w:t>indirecte</w:t>
      </w:r>
      <w:r w:rsidRPr="00184605">
        <w:rPr>
          <w:rFonts w:cs="Times New Roman"/>
        </w:rPr>
        <w:t xml:space="preserve"> toegang.</w:t>
      </w:r>
      <w:r w:rsidRPr="00184605">
        <w:rPr>
          <w:rFonts w:cs="Times New Roman"/>
          <w:vertAlign w:val="superscript"/>
        </w:rPr>
        <w:footnoteReference w:id="64"/>
      </w:r>
      <w:r w:rsidRPr="00184605">
        <w:rPr>
          <w:rFonts w:cs="Times New Roman"/>
        </w:rPr>
        <w:t xml:space="preserve"> In de zaak </w:t>
      </w:r>
      <w:r w:rsidRPr="00184605">
        <w:rPr>
          <w:rFonts w:cs="Times New Roman"/>
          <w:i/>
          <w:iCs/>
        </w:rPr>
        <w:t>Rook</w:t>
      </w:r>
      <w:r w:rsidRPr="00184605">
        <w:rPr>
          <w:rFonts w:cs="Times New Roman"/>
        </w:rPr>
        <w:t xml:space="preserve"> </w:t>
      </w:r>
      <w:r w:rsidR="008B2632">
        <w:rPr>
          <w:rFonts w:cs="Times New Roman"/>
        </w:rPr>
        <w:t>neemt</w:t>
      </w:r>
      <w:r w:rsidRPr="00184605">
        <w:rPr>
          <w:rFonts w:cs="Times New Roman"/>
        </w:rPr>
        <w:t xml:space="preserve"> het EH</w:t>
      </w:r>
      <w:r w:rsidR="008B2632">
        <w:rPr>
          <w:rFonts w:cs="Times New Roman"/>
        </w:rPr>
        <w:t>RM dezelfde houding aan</w:t>
      </w:r>
      <w:r w:rsidRPr="00184605">
        <w:rPr>
          <w:rFonts w:cs="Times New Roman"/>
        </w:rPr>
        <w:t xml:space="preserve"> en past hij ten aanzien </w:t>
      </w:r>
      <w:r w:rsidRPr="00184605">
        <w:rPr>
          <w:rFonts w:cs="Times New Roman"/>
        </w:rPr>
        <w:lastRenderedPageBreak/>
        <w:t xml:space="preserve">van datasets hetzelfde kader toe als in </w:t>
      </w:r>
      <w:r w:rsidRPr="00184605">
        <w:rPr>
          <w:rFonts w:cs="Times New Roman"/>
          <w:i/>
          <w:iCs/>
        </w:rPr>
        <w:t>Einarsson</w:t>
      </w:r>
      <w:r w:rsidRPr="00184605">
        <w:rPr>
          <w:rFonts w:cs="Times New Roman"/>
        </w:rPr>
        <w:t>.</w:t>
      </w:r>
      <w:r w:rsidRPr="00184605">
        <w:rPr>
          <w:rFonts w:cs="Times New Roman"/>
          <w:vertAlign w:val="superscript"/>
        </w:rPr>
        <w:footnoteReference w:id="65"/>
      </w:r>
      <w:r w:rsidRPr="00184605">
        <w:rPr>
          <w:rFonts w:cs="Times New Roman"/>
        </w:rPr>
        <w:t xml:space="preserve"> Bovendien onderstreept het EHRM dat de inperking van de toegang tot bewijs voor de verdediging ertoe kan leiden dat het recht op voldoende tijd en middelen voor de voorbereiding van de verdediging wordt geschonden.</w:t>
      </w:r>
      <w:r w:rsidRPr="00184605">
        <w:rPr>
          <w:rFonts w:cs="Times New Roman"/>
          <w:vertAlign w:val="superscript"/>
        </w:rPr>
        <w:footnoteReference w:id="66"/>
      </w:r>
      <w:r w:rsidR="007866D2">
        <w:rPr>
          <w:rFonts w:cs="Times New Roman"/>
        </w:rPr>
        <w:t xml:space="preserve"> In beide gevallen</w:t>
      </w:r>
      <w:r w:rsidRPr="00184605">
        <w:rPr>
          <w:rFonts w:cs="Times New Roman"/>
        </w:rPr>
        <w:t xml:space="preserve"> geldt wel dat er geen sprake mag zijn van een ‘fishing expedition’ aan de zijde van de verdediging: om dit te voorkomen kan de rechter verplichten dat de verdediging een duidelijke reden geeft voor de inzage tot het bewijs.</w:t>
      </w:r>
      <w:r w:rsidRPr="00184605">
        <w:rPr>
          <w:rFonts w:cs="Times New Roman"/>
          <w:vertAlign w:val="superscript"/>
        </w:rPr>
        <w:footnoteReference w:id="67"/>
      </w:r>
    </w:p>
    <w:p w14:paraId="0EA96869" w14:textId="77777777" w:rsidR="008519C1" w:rsidRPr="00184605" w:rsidRDefault="008519C1" w:rsidP="00821865">
      <w:pPr>
        <w:rPr>
          <w:rFonts w:cs="Times New Roman"/>
        </w:rPr>
      </w:pPr>
    </w:p>
    <w:p w14:paraId="14173407" w14:textId="1119EEE9" w:rsidR="008519C1" w:rsidRPr="00184605" w:rsidRDefault="008519C1" w:rsidP="00821865">
      <w:pPr>
        <w:rPr>
          <w:rFonts w:cs="Times New Roman"/>
        </w:rPr>
      </w:pPr>
      <w:r w:rsidRPr="00184605">
        <w:rPr>
          <w:rFonts w:cs="Times New Roman"/>
        </w:rPr>
        <w:t>Op grond van art. 47 Handvest van de grondrechten van de Europese Unie heeft de verdediging het recht op een eerlijk proces. Met het oog op dit recht en de versterking van de processuele rechten van de verdachte heeft de Europese Unie Richtlijn 2012/13/EU opgesteld, welke onder andere het recht op inzage in het strafdossier regelt.</w:t>
      </w:r>
      <w:r w:rsidRPr="00184605">
        <w:rPr>
          <w:rFonts w:cs="Times New Roman"/>
          <w:vertAlign w:val="superscript"/>
        </w:rPr>
        <w:footnoteReference w:id="68"/>
      </w:r>
      <w:r w:rsidRPr="00184605">
        <w:rPr>
          <w:rFonts w:cs="Times New Roman"/>
        </w:rPr>
        <w:t xml:space="preserve"> De implementatie van deze richtlijn heeft echter niet geleid tot een aanpassing van </w:t>
      </w:r>
      <w:r w:rsidR="005B31BF">
        <w:rPr>
          <w:rFonts w:cs="Times New Roman"/>
        </w:rPr>
        <w:t>het hiervoor beschreven inzagerecht</w:t>
      </w:r>
      <w:r w:rsidRPr="00184605">
        <w:rPr>
          <w:rFonts w:cs="Times New Roman"/>
        </w:rPr>
        <w:t>: de wetgever heeft</w:t>
      </w:r>
      <w:r w:rsidR="00C2646B">
        <w:rPr>
          <w:rFonts w:cs="Times New Roman"/>
        </w:rPr>
        <w:t xml:space="preserve"> </w:t>
      </w:r>
      <w:r w:rsidR="00016811">
        <w:rPr>
          <w:rFonts w:cs="Times New Roman"/>
        </w:rPr>
        <w:t xml:space="preserve">dat </w:t>
      </w:r>
      <w:r w:rsidRPr="00184605">
        <w:rPr>
          <w:rFonts w:cs="Times New Roman"/>
        </w:rPr>
        <w:t>niet nodig geacht.</w:t>
      </w:r>
      <w:r w:rsidRPr="00184605">
        <w:rPr>
          <w:rStyle w:val="Voetnootmarkering"/>
          <w:rFonts w:cs="Times New Roman"/>
        </w:rPr>
        <w:footnoteReference w:id="69"/>
      </w:r>
      <w:r w:rsidRPr="00184605">
        <w:rPr>
          <w:rFonts w:cs="Times New Roman"/>
        </w:rPr>
        <w:t xml:space="preserve"> Uit onderzoek naar jurisprudentie van het Hof van Justitie van de Europese Unie is niet gebleken dat er prejudiciële vragen zijn gesteld over de toegang tot datasets.</w:t>
      </w:r>
    </w:p>
    <w:p w14:paraId="5933A6A4" w14:textId="77777777" w:rsidR="008519C1" w:rsidRPr="00184605" w:rsidRDefault="008519C1" w:rsidP="00821865">
      <w:pPr>
        <w:rPr>
          <w:rFonts w:cs="Times New Roman"/>
        </w:rPr>
      </w:pPr>
    </w:p>
    <w:p w14:paraId="2D8CC0F7" w14:textId="77777777" w:rsidR="008519C1" w:rsidRPr="00184605" w:rsidRDefault="008519C1" w:rsidP="00821865">
      <w:pPr>
        <w:rPr>
          <w:rFonts w:cs="Times New Roman"/>
          <w:b/>
          <w:bCs/>
        </w:rPr>
      </w:pPr>
      <w:r w:rsidRPr="00184605">
        <w:rPr>
          <w:rFonts w:cs="Times New Roman"/>
          <w:b/>
          <w:bCs/>
        </w:rPr>
        <w:t>2.5   Datasets</w:t>
      </w:r>
    </w:p>
    <w:p w14:paraId="0BD37FFA" w14:textId="09E2940E" w:rsidR="008519C1" w:rsidRPr="00184605" w:rsidRDefault="00F15530" w:rsidP="00821865">
      <w:pPr>
        <w:rPr>
          <w:rFonts w:cs="Times New Roman"/>
        </w:rPr>
      </w:pPr>
      <w:r>
        <w:rPr>
          <w:rFonts w:cs="Times New Roman"/>
        </w:rPr>
        <w:t>Na bovenstaande algemene uitleg van het inzagerecht</w:t>
      </w:r>
      <w:r w:rsidR="008519C1" w:rsidRPr="00184605">
        <w:rPr>
          <w:rFonts w:cs="Times New Roman"/>
        </w:rPr>
        <w:t xml:space="preserve"> kan worden ingegaan op de inrichting van de toegang tot datasets. Daartoe dient allereerst een onderscheid te worden gemaakt tussen verschillende</w:t>
      </w:r>
      <w:r w:rsidR="00063917">
        <w:rPr>
          <w:rFonts w:cs="Times New Roman"/>
        </w:rPr>
        <w:t xml:space="preserve"> soorten</w:t>
      </w:r>
      <w:r w:rsidR="008519C1" w:rsidRPr="00184605">
        <w:rPr>
          <w:rFonts w:cs="Times New Roman"/>
        </w:rPr>
        <w:t xml:space="preserve"> datasets en de gegevens die zij bevatten. </w:t>
      </w:r>
    </w:p>
    <w:p w14:paraId="4BE14ECB" w14:textId="77777777" w:rsidR="008519C1" w:rsidRPr="00184605" w:rsidRDefault="008519C1" w:rsidP="00821865">
      <w:pPr>
        <w:rPr>
          <w:rFonts w:cs="Times New Roman"/>
        </w:rPr>
      </w:pPr>
    </w:p>
    <w:p w14:paraId="1D98ABB2" w14:textId="6E71BCC5" w:rsidR="008519C1" w:rsidRPr="00184605" w:rsidRDefault="008519C1" w:rsidP="00821865">
      <w:pPr>
        <w:rPr>
          <w:rFonts w:cs="Times New Roman"/>
        </w:rPr>
      </w:pPr>
      <w:r w:rsidRPr="00184605">
        <w:rPr>
          <w:rFonts w:cs="Times New Roman"/>
        </w:rPr>
        <w:t>De ‘volledige dataset’ bestaat uit alle resultaten die zijn verkregen uit de desbetreffende opsporingsbevoegdheid. Bij een hack van de servers van een PGP-aanbieder zou dit dus alle opgeslagen data</w:t>
      </w:r>
      <w:r w:rsidR="00DD19A8">
        <w:rPr>
          <w:rFonts w:cs="Times New Roman"/>
        </w:rPr>
        <w:t xml:space="preserve"> op</w:t>
      </w:r>
      <w:r w:rsidRPr="00184605">
        <w:rPr>
          <w:rFonts w:cs="Times New Roman"/>
        </w:rPr>
        <w:t xml:space="preserve"> deze servers betreffen. Het OM voert naar aanleiding van deze resultaten een aantal zoekacties uit en compileert op basis van de daaruit verkregen gegeven</w:t>
      </w:r>
      <w:r w:rsidR="00BC722F">
        <w:rPr>
          <w:rFonts w:cs="Times New Roman"/>
        </w:rPr>
        <w:t>s</w:t>
      </w:r>
      <w:r w:rsidRPr="00184605">
        <w:rPr>
          <w:rFonts w:cs="Times New Roman"/>
        </w:rPr>
        <w:t xml:space="preserve"> de ‘secundaire dataset’. Een illustratie hiervan kan worden gedaan aan de hand van de zaak </w:t>
      </w:r>
      <w:r w:rsidR="0062479E" w:rsidRPr="0062479E">
        <w:rPr>
          <w:rFonts w:cs="Times New Roman"/>
          <w:i/>
        </w:rPr>
        <w:t>Tandem II</w:t>
      </w:r>
      <w:r w:rsidRPr="00184605">
        <w:rPr>
          <w:rFonts w:cs="Times New Roman"/>
        </w:rPr>
        <w:t>, waarin de gehackte data van PGP-aanbieder Ennetco</w:t>
      </w:r>
      <w:r w:rsidR="00175418">
        <w:rPr>
          <w:rFonts w:cs="Times New Roman"/>
        </w:rPr>
        <w:t>m tot het bewijs werden gebezigd</w:t>
      </w:r>
      <w:r w:rsidRPr="00184605">
        <w:rPr>
          <w:rFonts w:cs="Times New Roman"/>
        </w:rPr>
        <w:t>.</w:t>
      </w:r>
      <w:r w:rsidRPr="00184605">
        <w:rPr>
          <w:rFonts w:cs="Times New Roman"/>
          <w:vertAlign w:val="superscript"/>
        </w:rPr>
        <w:footnoteReference w:id="70"/>
      </w:r>
      <w:r w:rsidRPr="00184605">
        <w:rPr>
          <w:rFonts w:cs="Times New Roman"/>
        </w:rPr>
        <w:t xml:space="preserve"> Dit betrof het berichtenverkeer van ongeveer 19.000 gebruikers dat op de server va</w:t>
      </w:r>
      <w:r w:rsidR="00175418">
        <w:rPr>
          <w:rFonts w:cs="Times New Roman"/>
        </w:rPr>
        <w:t>n Ennetcom in beslag is genomen</w:t>
      </w:r>
      <w:r w:rsidRPr="00184605">
        <w:rPr>
          <w:rFonts w:cs="Times New Roman"/>
        </w:rPr>
        <w:t xml:space="preserve"> en vormt daarmee de volledige dataset.</w:t>
      </w:r>
      <w:r w:rsidRPr="00184605">
        <w:rPr>
          <w:rFonts w:cs="Times New Roman"/>
          <w:vertAlign w:val="superscript"/>
        </w:rPr>
        <w:footnoteReference w:id="71"/>
      </w:r>
      <w:r w:rsidRPr="00184605">
        <w:rPr>
          <w:rFonts w:cs="Times New Roman"/>
        </w:rPr>
        <w:t xml:space="preserve"> Vervolgens heeft het OM op basis van bepaalde zoektermen een onderzoek naar deze volledige dataset laten uitvoeren, hetgeen heeft geleid tot de secundaire dataset.</w:t>
      </w:r>
      <w:r w:rsidRPr="00184605">
        <w:rPr>
          <w:rFonts w:cs="Times New Roman"/>
          <w:vertAlign w:val="superscript"/>
        </w:rPr>
        <w:footnoteReference w:id="72"/>
      </w:r>
      <w:r w:rsidRPr="00184605">
        <w:rPr>
          <w:rFonts w:cs="Times New Roman"/>
        </w:rPr>
        <w:t xml:space="preserve"> Het OM mag deze secundaire dataset – in tegenstelling tot de volledige dataset – integraal </w:t>
      </w:r>
      <w:r w:rsidRPr="00184605">
        <w:rPr>
          <w:rFonts w:cs="Times New Roman"/>
        </w:rPr>
        <w:lastRenderedPageBreak/>
        <w:t>doorzoeken.</w:t>
      </w:r>
      <w:r w:rsidRPr="00184605">
        <w:rPr>
          <w:rFonts w:cs="Times New Roman"/>
          <w:vertAlign w:val="superscript"/>
        </w:rPr>
        <w:footnoteReference w:id="73"/>
      </w:r>
      <w:r w:rsidRPr="00184605">
        <w:rPr>
          <w:rFonts w:cs="Times New Roman"/>
        </w:rPr>
        <w:t xml:space="preserve"> Na deze integrale doorzoeking van de secundaire dataset heeft het OM deze dataset onderverdeeld in drie categorieën van gegevens: (1) de berichten die het OM voor de zaak </w:t>
      </w:r>
      <w:r w:rsidR="0062479E" w:rsidRPr="0062479E">
        <w:rPr>
          <w:rFonts w:cs="Times New Roman"/>
          <w:i/>
        </w:rPr>
        <w:t>Tandem II</w:t>
      </w:r>
      <w:r w:rsidRPr="00184605">
        <w:rPr>
          <w:rFonts w:cs="Times New Roman"/>
        </w:rPr>
        <w:t xml:space="preserve"> als relevant heeft geacht, (2) de berichten die volgens het OM voor </w:t>
      </w:r>
      <w:r w:rsidR="0062479E" w:rsidRPr="0062479E">
        <w:rPr>
          <w:rFonts w:cs="Times New Roman"/>
          <w:i/>
        </w:rPr>
        <w:t>Tandem II</w:t>
      </w:r>
      <w:r w:rsidRPr="00184605">
        <w:rPr>
          <w:rFonts w:cs="Times New Roman"/>
        </w:rPr>
        <w:t xml:space="preserve"> en andere opsporingsonderzoeken niet relevant zijn en (3) de berichten die het OM weliswaar niet relevant heeft geacht voor </w:t>
      </w:r>
      <w:r w:rsidR="0062479E" w:rsidRPr="0062479E">
        <w:rPr>
          <w:rFonts w:cs="Times New Roman"/>
          <w:i/>
          <w:iCs/>
        </w:rPr>
        <w:t>Tandem II</w:t>
      </w:r>
      <w:r w:rsidRPr="00184605">
        <w:rPr>
          <w:rFonts w:cs="Times New Roman"/>
        </w:rPr>
        <w:t>, maar wel voor andere opsporingsonderzoeken.</w:t>
      </w:r>
      <w:r w:rsidRPr="00184605">
        <w:rPr>
          <w:rFonts w:cs="Times New Roman"/>
          <w:vertAlign w:val="superscript"/>
        </w:rPr>
        <w:footnoteReference w:id="74"/>
      </w:r>
      <w:r w:rsidRPr="00184605">
        <w:rPr>
          <w:rFonts w:cs="Times New Roman"/>
        </w:rPr>
        <w:t xml:space="preserve"> De gegevens uit categorie 1 zijn toegevoegd aan het procesdossier en vormen zodoende de ‘tertiaire dataset’. </w:t>
      </w:r>
    </w:p>
    <w:p w14:paraId="04FF9F5D" w14:textId="77777777" w:rsidR="008519C1" w:rsidRPr="00184605" w:rsidRDefault="008519C1" w:rsidP="00821865">
      <w:pPr>
        <w:rPr>
          <w:rFonts w:cs="Times New Roman"/>
        </w:rPr>
      </w:pPr>
    </w:p>
    <w:p w14:paraId="5D916223" w14:textId="6AF24B88" w:rsidR="008519C1" w:rsidRPr="00184605" w:rsidRDefault="008519C1" w:rsidP="00821865">
      <w:pPr>
        <w:rPr>
          <w:rFonts w:cs="Times New Roman"/>
        </w:rPr>
      </w:pPr>
      <w:r w:rsidRPr="00184605">
        <w:rPr>
          <w:rFonts w:cs="Times New Roman"/>
        </w:rPr>
        <w:t xml:space="preserve">Het doorzoeken van de volledige dataset – die in het geval van </w:t>
      </w:r>
      <w:r w:rsidR="0062479E" w:rsidRPr="0062479E">
        <w:rPr>
          <w:rFonts w:cs="Times New Roman"/>
          <w:i/>
        </w:rPr>
        <w:t>Tandem II</w:t>
      </w:r>
      <w:r w:rsidR="002B0C34">
        <w:rPr>
          <w:rFonts w:cs="Times New Roman"/>
        </w:rPr>
        <w:t xml:space="preserve"> </w:t>
      </w:r>
      <w:r w:rsidRPr="00184605">
        <w:rPr>
          <w:rFonts w:cs="Times New Roman"/>
        </w:rPr>
        <w:t>3,7 miljoen berichten bedraagt</w:t>
      </w:r>
      <w:r w:rsidRPr="00184605">
        <w:rPr>
          <w:rFonts w:cs="Times New Roman"/>
          <w:vertAlign w:val="superscript"/>
        </w:rPr>
        <w:footnoteReference w:id="75"/>
      </w:r>
      <w:r w:rsidRPr="00184605">
        <w:rPr>
          <w:rFonts w:cs="Times New Roman"/>
        </w:rPr>
        <w:t xml:space="preserve"> – vormt een tijdrovende en vrijwel onmogelijke aangelegenheid voor het OM. Daarom heeft het NFI een zoekmachine ontwikkeld die grote hoeveelheden in beslag genomen data kan onderzoeken, genaamd </w:t>
      </w:r>
      <w:r w:rsidRPr="00184605">
        <w:rPr>
          <w:rFonts w:cs="Times New Roman"/>
          <w:i/>
          <w:iCs/>
        </w:rPr>
        <w:t>Hansken</w:t>
      </w:r>
      <w:r w:rsidRPr="00184605">
        <w:rPr>
          <w:rFonts w:cs="Times New Roman"/>
        </w:rPr>
        <w:t>.</w:t>
      </w:r>
      <w:r w:rsidRPr="00184605">
        <w:rPr>
          <w:rFonts w:cs="Times New Roman"/>
          <w:vertAlign w:val="superscript"/>
        </w:rPr>
        <w:footnoteReference w:id="76"/>
      </w:r>
      <w:r w:rsidRPr="00184605">
        <w:rPr>
          <w:rFonts w:cs="Times New Roman"/>
        </w:rPr>
        <w:t xml:space="preserve"> Met Hanske</w:t>
      </w:r>
      <w:r w:rsidR="00350DCD">
        <w:rPr>
          <w:rFonts w:cs="Times New Roman"/>
        </w:rPr>
        <w:t xml:space="preserve">n </w:t>
      </w:r>
      <w:r w:rsidRPr="00184605">
        <w:rPr>
          <w:rFonts w:cs="Times New Roman"/>
        </w:rPr>
        <w:t>kan de volledige dataset op efficiënte wijze worden doorzocht. Voor de doorzoeking van de volledige en de secundaire dataset wordt doorgaans dus gebruik gemaakt van Hansken.</w:t>
      </w:r>
      <w:r w:rsidR="00735C0B">
        <w:rPr>
          <w:rFonts w:cs="Times New Roman"/>
        </w:rPr>
        <w:t xml:space="preserve"> </w:t>
      </w:r>
    </w:p>
    <w:p w14:paraId="2D6ED120" w14:textId="77777777" w:rsidR="008519C1" w:rsidRPr="00184605" w:rsidRDefault="008519C1" w:rsidP="00821865">
      <w:pPr>
        <w:rPr>
          <w:rFonts w:cs="Times New Roman"/>
        </w:rPr>
      </w:pPr>
    </w:p>
    <w:p w14:paraId="0F598E7F" w14:textId="04A471F6" w:rsidR="008519C1" w:rsidRPr="00184605" w:rsidRDefault="008519C1" w:rsidP="00821865">
      <w:pPr>
        <w:rPr>
          <w:rFonts w:cs="Times New Roman"/>
        </w:rPr>
      </w:pPr>
      <w:r w:rsidRPr="00184605">
        <w:rPr>
          <w:rFonts w:cs="Times New Roman"/>
        </w:rPr>
        <w:t xml:space="preserve">2.5.1   </w:t>
      </w:r>
      <w:r w:rsidR="002A2014">
        <w:rPr>
          <w:rFonts w:cs="Times New Roman"/>
          <w:i/>
          <w:iCs/>
        </w:rPr>
        <w:t>Toegang tot de tertiaire dataset</w:t>
      </w:r>
    </w:p>
    <w:p w14:paraId="79BC57C1" w14:textId="036D5E0E" w:rsidR="008519C1" w:rsidRPr="00184605" w:rsidRDefault="008519C1" w:rsidP="00821865">
      <w:pPr>
        <w:rPr>
          <w:rFonts w:cs="Times New Roman"/>
        </w:rPr>
      </w:pPr>
      <w:r w:rsidRPr="00184605">
        <w:rPr>
          <w:rFonts w:cs="Times New Roman"/>
        </w:rPr>
        <w:t>Op grond van het algemene inzagerecht uit art. 30 lid 1 Sv zal de verdediging in beginsel toegang krijgen tot de tertiaire dataset. Deze stukken zijn immers toegevoegd aan het procesdossier en daarmee aan te merken als processtukken.</w:t>
      </w:r>
      <w:r w:rsidRPr="00184605">
        <w:rPr>
          <w:rFonts w:cs="Times New Roman"/>
          <w:vertAlign w:val="superscript"/>
        </w:rPr>
        <w:footnoteReference w:id="77"/>
      </w:r>
      <w:r w:rsidRPr="00184605">
        <w:rPr>
          <w:rFonts w:cs="Times New Roman"/>
        </w:rPr>
        <w:t xml:space="preserve"> Het staat dus niet ter discussie of en in hoeverre de verdediging toegang heeft tot de tertiaire dataset. De enige wijze waarop deze toegang zou kunnen worden ingeperkt is via de reeds in paragraaf 2.3.1 besproken tijdelijke of gehele onthouding van de processtukken. </w:t>
      </w:r>
      <w:r w:rsidR="00D849AE" w:rsidRPr="00D849AE">
        <w:rPr>
          <w:rFonts w:cs="Times New Roman"/>
        </w:rPr>
        <w:t>Daarentegen is de vraag of en in hoeverre toegang tot de volledige en secundaire dataset mogelijk is in het Nederlandse strafprocesrecht. De twee volgende paragrafen gaan daar op in.</w:t>
      </w:r>
    </w:p>
    <w:p w14:paraId="497F7B1A" w14:textId="77777777" w:rsidR="008519C1" w:rsidRPr="00184605" w:rsidRDefault="008519C1" w:rsidP="00821865">
      <w:pPr>
        <w:rPr>
          <w:rFonts w:cs="Times New Roman"/>
        </w:rPr>
      </w:pPr>
    </w:p>
    <w:p w14:paraId="3AA2752E" w14:textId="084D30C6" w:rsidR="008519C1" w:rsidRPr="00184605" w:rsidRDefault="008519C1" w:rsidP="00821865">
      <w:pPr>
        <w:rPr>
          <w:rFonts w:cs="Times New Roman"/>
        </w:rPr>
      </w:pPr>
      <w:r w:rsidRPr="00184605">
        <w:rPr>
          <w:rFonts w:cs="Times New Roman"/>
        </w:rPr>
        <w:t xml:space="preserve">2.5.2   </w:t>
      </w:r>
      <w:r w:rsidRPr="00184605">
        <w:rPr>
          <w:rFonts w:cs="Times New Roman"/>
          <w:i/>
          <w:iCs/>
        </w:rPr>
        <w:t>Toegang</w:t>
      </w:r>
      <w:r w:rsidR="000C535D">
        <w:rPr>
          <w:rFonts w:cs="Times New Roman"/>
          <w:i/>
          <w:iCs/>
        </w:rPr>
        <w:t xml:space="preserve"> tot</w:t>
      </w:r>
      <w:r w:rsidRPr="00184605">
        <w:rPr>
          <w:rFonts w:cs="Times New Roman"/>
          <w:i/>
          <w:iCs/>
        </w:rPr>
        <w:t xml:space="preserve"> de volledige dataset</w:t>
      </w:r>
    </w:p>
    <w:p w14:paraId="05762C4C" w14:textId="7DAFD67D" w:rsidR="008519C1" w:rsidRPr="00184605" w:rsidRDefault="008519C1" w:rsidP="00821865">
      <w:pPr>
        <w:rPr>
          <w:rFonts w:cs="Times New Roman"/>
        </w:rPr>
      </w:pPr>
      <w:r w:rsidRPr="00184605">
        <w:rPr>
          <w:rFonts w:cs="Times New Roman"/>
        </w:rPr>
        <w:t xml:space="preserve">Galič beschrijft aan de hand van de hiervoor besproken zaken </w:t>
      </w:r>
      <w:r w:rsidRPr="00184605">
        <w:rPr>
          <w:rFonts w:cs="Times New Roman"/>
          <w:i/>
          <w:iCs/>
        </w:rPr>
        <w:t xml:space="preserve">Rook </w:t>
      </w:r>
      <w:r w:rsidRPr="00184605">
        <w:rPr>
          <w:rFonts w:cs="Times New Roman"/>
        </w:rPr>
        <w:t xml:space="preserve">en </w:t>
      </w:r>
      <w:r w:rsidRPr="00184605">
        <w:rPr>
          <w:rFonts w:cs="Times New Roman"/>
          <w:i/>
          <w:iCs/>
        </w:rPr>
        <w:t>Einarsson</w:t>
      </w:r>
      <w:r w:rsidRPr="00184605">
        <w:rPr>
          <w:rFonts w:cs="Times New Roman"/>
        </w:rPr>
        <w:t xml:space="preserve"> dat de verdediging geen directe toegang kan krijgen tot de volledige dataset. In deze zaken heeft het EHRM immers geoordeeld dat de verdediging moet kunnen meepraten over criteria aan de hand waarvan een selectie kan worden gemaakt in de volledige dataset.</w:t>
      </w:r>
      <w:r w:rsidRPr="00184605">
        <w:rPr>
          <w:rFonts w:cs="Times New Roman"/>
          <w:vertAlign w:val="superscript"/>
        </w:rPr>
        <w:footnoteReference w:id="78"/>
      </w:r>
      <w:r w:rsidRPr="00184605">
        <w:rPr>
          <w:rFonts w:cs="Times New Roman"/>
        </w:rPr>
        <w:t xml:space="preserve"> Hier mag echter niet sprake zijn v</w:t>
      </w:r>
      <w:r w:rsidR="001C1EF7">
        <w:rPr>
          <w:rFonts w:cs="Times New Roman"/>
        </w:rPr>
        <w:t>an een ‘fishing expedition’, hetgeen</w:t>
      </w:r>
      <w:r w:rsidRPr="00184605">
        <w:rPr>
          <w:rFonts w:cs="Times New Roman"/>
        </w:rPr>
        <w:t xml:space="preserve"> betekent dat </w:t>
      </w:r>
      <w:r w:rsidR="001C1EF7">
        <w:rPr>
          <w:rFonts w:cs="Times New Roman"/>
        </w:rPr>
        <w:t xml:space="preserve">de rechter </w:t>
      </w:r>
      <w:r w:rsidRPr="00184605">
        <w:rPr>
          <w:rFonts w:cs="Times New Roman"/>
        </w:rPr>
        <w:t xml:space="preserve">de verdediging mag </w:t>
      </w:r>
      <w:r w:rsidR="001C1EF7">
        <w:rPr>
          <w:rFonts w:cs="Times New Roman"/>
        </w:rPr>
        <w:t>vragen</w:t>
      </w:r>
      <w:r w:rsidRPr="00184605">
        <w:rPr>
          <w:rFonts w:cs="Times New Roman"/>
        </w:rPr>
        <w:t xml:space="preserve"> dat zij haar verzoek met </w:t>
      </w:r>
      <w:r w:rsidRPr="00184605">
        <w:rPr>
          <w:rFonts w:cs="Times New Roman"/>
        </w:rPr>
        <w:lastRenderedPageBreak/>
        <w:t>redenen omkleed</w:t>
      </w:r>
      <w:r w:rsidR="0047506D">
        <w:rPr>
          <w:rFonts w:cs="Times New Roman"/>
        </w:rPr>
        <w:t>t</w:t>
      </w:r>
      <w:r w:rsidRPr="00184605">
        <w:rPr>
          <w:rFonts w:cs="Times New Roman"/>
        </w:rPr>
        <w:t>.</w:t>
      </w:r>
      <w:r w:rsidRPr="00184605">
        <w:rPr>
          <w:rFonts w:cs="Times New Roman"/>
          <w:vertAlign w:val="superscript"/>
        </w:rPr>
        <w:footnoteReference w:id="79"/>
      </w:r>
      <w:r w:rsidRPr="00184605">
        <w:rPr>
          <w:rFonts w:cs="Times New Roman"/>
        </w:rPr>
        <w:t xml:space="preserve"> In verscheidene zaken heeft de verdediging de rechter gevraagd om inzage in de volledige dataset die in de desbetreffende zaak een rol speelde. Zo wilde de verdediging in de zaak </w:t>
      </w:r>
      <w:r w:rsidR="0062479E" w:rsidRPr="0062479E">
        <w:rPr>
          <w:rFonts w:cs="Times New Roman"/>
          <w:i/>
        </w:rPr>
        <w:t>Tandem II</w:t>
      </w:r>
      <w:r w:rsidRPr="00184605">
        <w:rPr>
          <w:rFonts w:cs="Times New Roman"/>
        </w:rPr>
        <w:t xml:space="preserve"> toegang tot de volledige dataset van Ennetcom met daarin miljoenen berichten om deze zelf te onderzoeken op ontlastend bewijsmateriaal en om de betrouwbaarheid van het reeds in de processtukken opgenomen bewijsmateriaal te onderzoeken.</w:t>
      </w:r>
      <w:r w:rsidRPr="00184605">
        <w:rPr>
          <w:rFonts w:cs="Times New Roman"/>
          <w:vertAlign w:val="superscript"/>
        </w:rPr>
        <w:footnoteReference w:id="80"/>
      </w:r>
      <w:r w:rsidRPr="00184605">
        <w:rPr>
          <w:rFonts w:cs="Times New Roman"/>
        </w:rPr>
        <w:t xml:space="preserve"> Dit verzoek is meermaals geweigerd.</w:t>
      </w:r>
      <w:r w:rsidRPr="00184605">
        <w:rPr>
          <w:rFonts w:cs="Times New Roman"/>
          <w:vertAlign w:val="superscript"/>
        </w:rPr>
        <w:footnoteReference w:id="81"/>
      </w:r>
      <w:r w:rsidRPr="00184605">
        <w:rPr>
          <w:rFonts w:cs="Times New Roman"/>
        </w:rPr>
        <w:t xml:space="preserve"> De rechtbank oordeelt hieromtrent als volgt:</w:t>
      </w:r>
    </w:p>
    <w:p w14:paraId="218E1722" w14:textId="77777777" w:rsidR="008519C1" w:rsidRPr="00184605" w:rsidRDefault="008519C1" w:rsidP="00821865">
      <w:pPr>
        <w:rPr>
          <w:rFonts w:cs="Times New Roman"/>
        </w:rPr>
      </w:pPr>
    </w:p>
    <w:p w14:paraId="631A3DAE" w14:textId="4782ADA5" w:rsidR="008519C1" w:rsidRPr="003D4021" w:rsidRDefault="008519C1" w:rsidP="00821865">
      <w:pPr>
        <w:rPr>
          <w:rFonts w:cs="Times New Roman"/>
        </w:rPr>
      </w:pPr>
      <w:r w:rsidRPr="00184605">
        <w:rPr>
          <w:rFonts w:cs="Times New Roman"/>
          <w:i/>
          <w:iCs/>
        </w:rPr>
        <w:t>“Het onderzoeksteam Tandem heeft, net als de verdediging, geen toegang tot alle Ennetcom-data. De verdediging heeft nooit de noodzaak kunnen aantonen waarom zij, anders dan het onderzoekteam, wel toegang zou moeten kunnen hebben tot alle Ennetcom-data. Wel heeft de verdediging vanaf het begin de mogelijkheid gehad om de Tandem-dataset uit te laten breiden vanuit de Ennetcom-data, door daarvoor zoektermen door de rechter-commissaris te laten goedkeuren. Van deze mogelijkheid heeft de verdediging geen gebruik gemaakt.”</w:t>
      </w:r>
      <w:r w:rsidR="003D4021" w:rsidRPr="003D4021">
        <w:rPr>
          <w:rStyle w:val="Voetnootmarkering"/>
          <w:rFonts w:cs="Times New Roman"/>
        </w:rPr>
        <w:footnoteReference w:id="82"/>
      </w:r>
    </w:p>
    <w:p w14:paraId="00BD1D3F" w14:textId="77777777" w:rsidR="008519C1" w:rsidRPr="00184605" w:rsidRDefault="008519C1" w:rsidP="00821865">
      <w:pPr>
        <w:rPr>
          <w:rFonts w:cs="Times New Roman"/>
        </w:rPr>
      </w:pPr>
    </w:p>
    <w:p w14:paraId="7217B5FA" w14:textId="6C3C6F06" w:rsidR="008519C1" w:rsidRPr="00184605" w:rsidRDefault="008519C1" w:rsidP="00821865">
      <w:pPr>
        <w:rPr>
          <w:rFonts w:cs="Times New Roman"/>
        </w:rPr>
      </w:pPr>
      <w:r w:rsidRPr="00184605">
        <w:rPr>
          <w:rFonts w:cs="Times New Roman"/>
        </w:rPr>
        <w:t xml:space="preserve">Het OM heeft net als de verdediging geen </w:t>
      </w:r>
      <w:r w:rsidR="00413A14">
        <w:rPr>
          <w:rFonts w:cs="Times New Roman"/>
        </w:rPr>
        <w:t>toegang tot</w:t>
      </w:r>
      <w:r w:rsidRPr="00184605">
        <w:rPr>
          <w:rFonts w:cs="Times New Roman"/>
        </w:rPr>
        <w:t xml:space="preserve"> de volledige dataset. Met het licht op het beginsel van </w:t>
      </w:r>
      <w:r w:rsidRPr="00184605">
        <w:rPr>
          <w:rFonts w:cs="Times New Roman"/>
          <w:i/>
          <w:iCs/>
        </w:rPr>
        <w:t>equality of arms</w:t>
      </w:r>
      <w:r w:rsidRPr="00184605">
        <w:rPr>
          <w:rFonts w:cs="Times New Roman"/>
        </w:rPr>
        <w:t xml:space="preserve"> heeft de verdediging</w:t>
      </w:r>
      <w:r w:rsidR="00926112">
        <w:rPr>
          <w:rFonts w:cs="Times New Roman"/>
        </w:rPr>
        <w:t xml:space="preserve"> dus</w:t>
      </w:r>
      <w:r w:rsidRPr="00184605">
        <w:rPr>
          <w:rFonts w:cs="Times New Roman"/>
        </w:rPr>
        <w:t xml:space="preserve"> gevraagd om toegang tot meer stukken dan het OM en de rechter.</w:t>
      </w:r>
      <w:r w:rsidRPr="00184605">
        <w:rPr>
          <w:rFonts w:cs="Times New Roman"/>
          <w:vertAlign w:val="superscript"/>
        </w:rPr>
        <w:footnoteReference w:id="83"/>
      </w:r>
      <w:r w:rsidRPr="00184605">
        <w:rPr>
          <w:rFonts w:cs="Times New Roman"/>
        </w:rPr>
        <w:t xml:space="preserve"> Verder heeft het OM in deze zaak zoektermen ter goedkeuring verstrekt aan de rechter-commissaris: aan de hand van de goedgekeurde zoektermen is de secundaire dataset tot stand gekomen. De verdediging heeft in deze zaak </w:t>
      </w:r>
      <w:r w:rsidR="00F33BDB">
        <w:rPr>
          <w:rFonts w:cs="Times New Roman"/>
        </w:rPr>
        <w:t>wel de</w:t>
      </w:r>
      <w:r w:rsidRPr="00184605">
        <w:rPr>
          <w:rFonts w:cs="Times New Roman"/>
        </w:rPr>
        <w:t xml:space="preserve"> mogelijkheid gehad om zoektermen voor te leggen aan de rechter-commissaris. Daarmee heeft de verdediging dezelfde mate van toegang tot de volledige dataset als het OM</w:t>
      </w:r>
      <w:r w:rsidR="00D46E35">
        <w:rPr>
          <w:rFonts w:cs="Times New Roman"/>
        </w:rPr>
        <w:t>, namelijk indirecte toegang door middel van betrokkenheid bij de totstandkoming van de secundaire dataset</w:t>
      </w:r>
      <w:r w:rsidRPr="00184605">
        <w:rPr>
          <w:rFonts w:cs="Times New Roman"/>
        </w:rPr>
        <w:t xml:space="preserve">. </w:t>
      </w:r>
      <w:r w:rsidR="00D851DF">
        <w:rPr>
          <w:rFonts w:cs="Times New Roman"/>
        </w:rPr>
        <w:t>Dit lijkt</w:t>
      </w:r>
      <w:r w:rsidRPr="00184605">
        <w:rPr>
          <w:rFonts w:cs="Times New Roman"/>
        </w:rPr>
        <w:t xml:space="preserve"> in overeenstemming te zijn met de jurisprudentie van het EHRM. </w:t>
      </w:r>
    </w:p>
    <w:p w14:paraId="12AD2B97" w14:textId="77777777" w:rsidR="008519C1" w:rsidRPr="00184605" w:rsidRDefault="008519C1" w:rsidP="00821865">
      <w:pPr>
        <w:rPr>
          <w:rFonts w:cs="Times New Roman"/>
        </w:rPr>
      </w:pPr>
    </w:p>
    <w:p w14:paraId="186DF0F0" w14:textId="17B1F642" w:rsidR="008519C1" w:rsidRPr="00184605" w:rsidRDefault="0062479E" w:rsidP="00821865">
      <w:pPr>
        <w:rPr>
          <w:rFonts w:cs="Times New Roman"/>
        </w:rPr>
      </w:pPr>
      <w:r w:rsidRPr="0062479E">
        <w:rPr>
          <w:rFonts w:cs="Times New Roman"/>
          <w:i/>
        </w:rPr>
        <w:t>Tandem II</w:t>
      </w:r>
      <w:r w:rsidR="008519C1" w:rsidRPr="00184605">
        <w:rPr>
          <w:rFonts w:cs="Times New Roman"/>
        </w:rPr>
        <w:t xml:space="preserve"> is niet de enige zaak waarin de rechtbank tot een soortgelijk oordeel komt over de toegang tot de volledige dataset voor de verdediging. In de zaak </w:t>
      </w:r>
      <w:r w:rsidR="008519C1" w:rsidRPr="00184605">
        <w:rPr>
          <w:rFonts w:cs="Times New Roman"/>
          <w:i/>
          <w:iCs/>
        </w:rPr>
        <w:t>26DeVink</w:t>
      </w:r>
      <w:r w:rsidR="008519C1" w:rsidRPr="00184605">
        <w:rPr>
          <w:rFonts w:cs="Times New Roman"/>
        </w:rPr>
        <w:t xml:space="preserve"> stelt de verdediging zich op het standpunt dat zij niet in de gelegenheid is gesteld om de data-analyse te controleren. Daarop oordeelt de rechtbank dat de verdediging meermaals is gevraagd welke data zij specifiek willen inzien en dat de verdediging tevens de kans heeft gekregen om de volledige dataset onder toezicht in te zien. De rechtbank leidt daarnaast uit Europese jurisprudentie niet af dat de verdediging beschikking zou moeten krijgen over de volledige dataset.</w:t>
      </w:r>
      <w:r w:rsidR="008519C1" w:rsidRPr="00184605">
        <w:rPr>
          <w:rFonts w:cs="Times New Roman"/>
          <w:vertAlign w:val="superscript"/>
        </w:rPr>
        <w:footnoteReference w:id="84"/>
      </w:r>
      <w:r w:rsidR="008519C1" w:rsidRPr="00184605">
        <w:rPr>
          <w:rFonts w:cs="Times New Roman"/>
        </w:rPr>
        <w:t xml:space="preserve"> Eenzelfde oordeel volgt uit een tussenbeslissing van de </w:t>
      </w:r>
      <w:r w:rsidR="008519C1" w:rsidRPr="00184605">
        <w:rPr>
          <w:rFonts w:cs="Times New Roman"/>
        </w:rPr>
        <w:lastRenderedPageBreak/>
        <w:t xml:space="preserve">rechtbank in de zaak </w:t>
      </w:r>
      <w:r w:rsidR="008519C1" w:rsidRPr="00184605">
        <w:rPr>
          <w:rFonts w:cs="Times New Roman"/>
          <w:i/>
          <w:iCs/>
        </w:rPr>
        <w:t>26Marengo</w:t>
      </w:r>
      <w:r w:rsidR="008519C1" w:rsidRPr="00184605">
        <w:rPr>
          <w:rFonts w:cs="Times New Roman"/>
        </w:rPr>
        <w:t>, waarin de rechtbank opmerkt dat de verdediging om een ruimere inzage vraagt dan het OM terwijl daartoe geen aanleiding is. Bovendien kan de verdediging zich naar de rechter-commissaris wenden met een onderbouwd verzoek – met opgave van relevante zoektermen – om de dataset uit te breiden.</w:t>
      </w:r>
      <w:r w:rsidR="008519C1" w:rsidRPr="00184605">
        <w:rPr>
          <w:rFonts w:cs="Times New Roman"/>
          <w:vertAlign w:val="superscript"/>
        </w:rPr>
        <w:footnoteReference w:id="85"/>
      </w:r>
      <w:r w:rsidR="008519C1" w:rsidRPr="00184605">
        <w:rPr>
          <w:rFonts w:cs="Times New Roman"/>
        </w:rPr>
        <w:t xml:space="preserve"> Ook in de zaken </w:t>
      </w:r>
      <w:r w:rsidR="008519C1" w:rsidRPr="00184605">
        <w:rPr>
          <w:rFonts w:cs="Times New Roman"/>
          <w:i/>
          <w:iCs/>
        </w:rPr>
        <w:t>Bosnië-Brandberg</w:t>
      </w:r>
      <w:r w:rsidR="008519C1" w:rsidRPr="00184605">
        <w:rPr>
          <w:rFonts w:cs="Times New Roman"/>
        </w:rPr>
        <w:t xml:space="preserve"> en </w:t>
      </w:r>
      <w:r w:rsidR="008519C1" w:rsidRPr="00184605">
        <w:rPr>
          <w:rFonts w:cs="Times New Roman"/>
          <w:i/>
          <w:iCs/>
        </w:rPr>
        <w:t>Zeilboot</w:t>
      </w:r>
      <w:r w:rsidR="008519C1" w:rsidRPr="00184605">
        <w:rPr>
          <w:rFonts w:cs="Times New Roman"/>
        </w:rPr>
        <w:t xml:space="preserve"> oordeelt de rechtbank dat de verdediging geen inzage in de volledige dataset wordt verleend.</w:t>
      </w:r>
      <w:r w:rsidR="008519C1" w:rsidRPr="00184605">
        <w:rPr>
          <w:rFonts w:cs="Times New Roman"/>
          <w:vertAlign w:val="superscript"/>
        </w:rPr>
        <w:footnoteReference w:id="86"/>
      </w:r>
    </w:p>
    <w:p w14:paraId="4CC0D9B0" w14:textId="77777777" w:rsidR="008519C1" w:rsidRPr="00184605" w:rsidRDefault="008519C1" w:rsidP="00821865">
      <w:pPr>
        <w:rPr>
          <w:rFonts w:cs="Times New Roman"/>
        </w:rPr>
      </w:pPr>
    </w:p>
    <w:p w14:paraId="01C5D336" w14:textId="55F57850" w:rsidR="58E341DA" w:rsidRDefault="58E341DA" w:rsidP="41859A08">
      <w:pPr>
        <w:rPr>
          <w:rFonts w:cs="Times New Roman"/>
        </w:rPr>
      </w:pPr>
      <w:r w:rsidRPr="41859A08">
        <w:rPr>
          <w:rFonts w:cs="Times New Roman"/>
        </w:rPr>
        <w:t xml:space="preserve">De voorgaande zaken illustreren dat de verdachte geen inzage in de volledige dataset toekomt. Dit heeft te maken met een tweetal aspecten: </w:t>
      </w:r>
      <w:r w:rsidR="00CD4A82">
        <w:rPr>
          <w:rFonts w:cs="Times New Roman"/>
        </w:rPr>
        <w:t>het</w:t>
      </w:r>
      <w:r w:rsidRPr="41859A08">
        <w:rPr>
          <w:rFonts w:cs="Times New Roman"/>
        </w:rPr>
        <w:t xml:space="preserve"> OM </w:t>
      </w:r>
      <w:r w:rsidR="00CD4A82">
        <w:rPr>
          <w:rFonts w:cs="Times New Roman"/>
        </w:rPr>
        <w:t xml:space="preserve">hanteert </w:t>
      </w:r>
      <w:r w:rsidRPr="41859A08">
        <w:rPr>
          <w:rFonts w:cs="Times New Roman"/>
        </w:rPr>
        <w:t xml:space="preserve">een werkwijze waarbij </w:t>
      </w:r>
      <w:r w:rsidR="00A27127">
        <w:rPr>
          <w:rFonts w:cs="Times New Roman"/>
        </w:rPr>
        <w:t xml:space="preserve">de </w:t>
      </w:r>
      <w:r w:rsidRPr="41859A08">
        <w:rPr>
          <w:rFonts w:cs="Times New Roman"/>
        </w:rPr>
        <w:t xml:space="preserve">volledige dataset niet wordt ingezien. </w:t>
      </w:r>
      <w:r w:rsidR="00A60366">
        <w:rPr>
          <w:rFonts w:cs="Times New Roman"/>
        </w:rPr>
        <w:t xml:space="preserve">De </w:t>
      </w:r>
      <w:r w:rsidR="00527186">
        <w:rPr>
          <w:rFonts w:cs="Times New Roman"/>
        </w:rPr>
        <w:t>officieren van justitie en opsporingsambtenaren krijgen immers slechts toegang tot de secundaire dataset.</w:t>
      </w:r>
      <w:r w:rsidRPr="41859A08">
        <w:rPr>
          <w:rFonts w:cs="Times New Roman"/>
        </w:rPr>
        <w:t xml:space="preserve"> Hier speelt het beginsel van </w:t>
      </w:r>
      <w:r w:rsidRPr="41859A08">
        <w:rPr>
          <w:rFonts w:cs="Times New Roman"/>
          <w:i/>
          <w:iCs/>
        </w:rPr>
        <w:t>equality of arms</w:t>
      </w:r>
      <w:r w:rsidRPr="41859A08">
        <w:rPr>
          <w:rFonts w:cs="Times New Roman"/>
        </w:rPr>
        <w:t xml:space="preserve"> een rol: de rechtbank ziet immers geen aanleiding om de verdediging een ruimere inzage te verstrekken dan het OM.</w:t>
      </w:r>
      <w:r w:rsidRPr="41859A08">
        <w:rPr>
          <w:rStyle w:val="Voetnootmarkering"/>
          <w:rFonts w:cs="Times New Roman"/>
        </w:rPr>
        <w:footnoteReference w:id="87"/>
      </w:r>
      <w:r w:rsidRPr="41859A08">
        <w:rPr>
          <w:rFonts w:cs="Times New Roman"/>
        </w:rPr>
        <w:t xml:space="preserve"> Daarnaast wordt het inzien van de volledige dataset beperkt vanwege het relevantiecriterium</w:t>
      </w:r>
      <w:r w:rsidR="008822B2">
        <w:rPr>
          <w:rFonts w:cs="Times New Roman"/>
        </w:rPr>
        <w:t xml:space="preserve"> dan wel het noodzakelijkheidscriterium</w:t>
      </w:r>
      <w:r w:rsidRPr="41859A08">
        <w:rPr>
          <w:rFonts w:cs="Times New Roman"/>
        </w:rPr>
        <w:t xml:space="preserve">: in geen van de zaken heeft de verdediging aannemelijk kunnen maken waarom het relevant is om de volledige dataset – die soms duizenden berichten bedraagt – in te zien. Dit houdt ook direct verband met de zaken </w:t>
      </w:r>
      <w:r w:rsidRPr="41859A08">
        <w:rPr>
          <w:rFonts w:cs="Times New Roman"/>
          <w:i/>
          <w:iCs/>
        </w:rPr>
        <w:t>Rook</w:t>
      </w:r>
      <w:r w:rsidRPr="41859A08">
        <w:rPr>
          <w:rFonts w:cs="Times New Roman"/>
        </w:rPr>
        <w:t xml:space="preserve"> en </w:t>
      </w:r>
      <w:r w:rsidRPr="41859A08">
        <w:rPr>
          <w:rFonts w:cs="Times New Roman"/>
          <w:i/>
          <w:iCs/>
        </w:rPr>
        <w:t>Einarsson</w:t>
      </w:r>
      <w:r w:rsidRPr="41859A08">
        <w:rPr>
          <w:rFonts w:cs="Times New Roman"/>
        </w:rPr>
        <w:t xml:space="preserve">, waarin wordt bepaald dat de verdediging niet over mag gaan tot een </w:t>
      </w:r>
      <w:r w:rsidR="000620B8">
        <w:rPr>
          <w:rFonts w:cs="Times New Roman"/>
        </w:rPr>
        <w:t>‘</w:t>
      </w:r>
      <w:r w:rsidRPr="000620B8">
        <w:rPr>
          <w:rFonts w:cs="Times New Roman"/>
        </w:rPr>
        <w:t>fishing expedition</w:t>
      </w:r>
      <w:r w:rsidR="000620B8">
        <w:rPr>
          <w:rFonts w:cs="Times New Roman"/>
        </w:rPr>
        <w:t>’</w:t>
      </w:r>
      <w:r w:rsidRPr="41859A08">
        <w:rPr>
          <w:rFonts w:cs="Times New Roman"/>
        </w:rPr>
        <w:t>.</w:t>
      </w:r>
      <w:r w:rsidR="1E074CA7" w:rsidRPr="41859A08">
        <w:rPr>
          <w:rFonts w:cs="Times New Roman"/>
        </w:rPr>
        <w:t xml:space="preserve"> </w:t>
      </w:r>
      <w:r w:rsidRPr="41859A08">
        <w:rPr>
          <w:rFonts w:cs="Times New Roman"/>
        </w:rPr>
        <w:t xml:space="preserve">    </w:t>
      </w:r>
    </w:p>
    <w:p w14:paraId="5DB1B855" w14:textId="77777777" w:rsidR="00892024" w:rsidRPr="00184605" w:rsidRDefault="00892024" w:rsidP="00821865">
      <w:pPr>
        <w:rPr>
          <w:rFonts w:cs="Times New Roman"/>
        </w:rPr>
      </w:pPr>
    </w:p>
    <w:p w14:paraId="57F25DC5" w14:textId="77777777" w:rsidR="008519C1" w:rsidRPr="00184605" w:rsidRDefault="008519C1" w:rsidP="00821865">
      <w:pPr>
        <w:rPr>
          <w:rFonts w:cs="Times New Roman"/>
        </w:rPr>
      </w:pPr>
      <w:r w:rsidRPr="00184605">
        <w:rPr>
          <w:rFonts w:cs="Times New Roman"/>
        </w:rPr>
        <w:t xml:space="preserve">2.5.3   </w:t>
      </w:r>
      <w:r w:rsidRPr="00184605">
        <w:rPr>
          <w:rFonts w:cs="Times New Roman"/>
          <w:i/>
          <w:iCs/>
        </w:rPr>
        <w:t>Toegang tot de secundaire dataset</w:t>
      </w:r>
    </w:p>
    <w:p w14:paraId="25D649B1" w14:textId="21966D48" w:rsidR="008519C1" w:rsidRDefault="36AA76B6" w:rsidP="00821865">
      <w:pPr>
        <w:rPr>
          <w:rFonts w:cs="Times New Roman"/>
        </w:rPr>
      </w:pPr>
      <w:r w:rsidRPr="00184605">
        <w:rPr>
          <w:rFonts w:cs="Times New Roman"/>
        </w:rPr>
        <w:t>In tegenstelling tot de volledige dataset blijkt uit Nederlandse jurisprudentie dat de verdediging wel</w:t>
      </w:r>
      <w:r w:rsidR="000620B8">
        <w:rPr>
          <w:rFonts w:cs="Times New Roman"/>
        </w:rPr>
        <w:t xml:space="preserve"> </w:t>
      </w:r>
      <w:r w:rsidRPr="00184605">
        <w:rPr>
          <w:rFonts w:cs="Times New Roman"/>
        </w:rPr>
        <w:t xml:space="preserve">directe toegang </w:t>
      </w:r>
      <w:r w:rsidR="002A277B">
        <w:rPr>
          <w:rFonts w:cs="Times New Roman"/>
        </w:rPr>
        <w:t>heeft</w:t>
      </w:r>
      <w:r w:rsidRPr="00184605">
        <w:rPr>
          <w:rFonts w:cs="Times New Roman"/>
        </w:rPr>
        <w:t xml:space="preserve"> tot de secundaire dataset. De rechtbank geeft in een tussenbeslissing in het Marengo-proces overzichtelijk weer welke </w:t>
      </w:r>
      <w:r w:rsidR="00F33BDB">
        <w:rPr>
          <w:rFonts w:cs="Times New Roman"/>
        </w:rPr>
        <w:t xml:space="preserve">inzagemodaliteiten de verdediging </w:t>
      </w:r>
      <w:r w:rsidRPr="00184605">
        <w:rPr>
          <w:rFonts w:cs="Times New Roman"/>
        </w:rPr>
        <w:t xml:space="preserve">heeft: </w:t>
      </w:r>
      <w:r w:rsidR="008D55AC">
        <w:rPr>
          <w:rFonts w:cs="Times New Roman"/>
        </w:rPr>
        <w:t xml:space="preserve">allereerst werd in deze zaak </w:t>
      </w:r>
      <w:r w:rsidRPr="00184605">
        <w:rPr>
          <w:rFonts w:cs="Times New Roman"/>
        </w:rPr>
        <w:t xml:space="preserve">de verdediging inzage geboden in de secundaire dataset bij meerdere politiebureaus. Daarnaast kon de verdediging bepaalde berichten laten onderzoeken </w:t>
      </w:r>
      <w:r w:rsidR="008D55AC">
        <w:rPr>
          <w:rFonts w:cs="Times New Roman"/>
        </w:rPr>
        <w:t>door het NFI en konden zij</w:t>
      </w:r>
      <w:r w:rsidRPr="00184605">
        <w:rPr>
          <w:rFonts w:cs="Times New Roman"/>
        </w:rPr>
        <w:t xml:space="preserve"> op afspraak naar het NFI om daar de dataset met Hansken te onderzoeken. </w:t>
      </w:r>
      <w:r w:rsidR="008D55AC">
        <w:rPr>
          <w:rFonts w:cs="Times New Roman"/>
        </w:rPr>
        <w:t>Ten slotte</w:t>
      </w:r>
      <w:r w:rsidRPr="00184605">
        <w:rPr>
          <w:rFonts w:cs="Times New Roman"/>
        </w:rPr>
        <w:t xml:space="preserve"> werd de verdediging alle communicatie verstrekt die werd toegeschreven aan de verdachte, de zogeheten ‘eigen PGP-lijnen’.</w:t>
      </w:r>
      <w:r w:rsidR="008519C1" w:rsidRPr="00184605">
        <w:rPr>
          <w:rFonts w:cs="Times New Roman"/>
          <w:vertAlign w:val="superscript"/>
        </w:rPr>
        <w:footnoteReference w:id="88"/>
      </w:r>
      <w:r w:rsidRPr="00184605">
        <w:rPr>
          <w:rFonts w:cs="Times New Roman"/>
        </w:rPr>
        <w:t xml:space="preserve"> Hoewel de raadslieden hebben aangekaart dat zij enige problemen ervaarden met deze inzagemodaliteiten, oordeelt de rechtbank dat er geen aanleiding is om de verdediging van nog meer inzagemodaliteiten te voorzien.</w:t>
      </w:r>
      <w:r w:rsidR="008519C1" w:rsidRPr="00184605">
        <w:rPr>
          <w:rFonts w:cs="Times New Roman"/>
          <w:vertAlign w:val="superscript"/>
        </w:rPr>
        <w:footnoteReference w:id="89"/>
      </w:r>
    </w:p>
    <w:p w14:paraId="3439C3B3" w14:textId="77777777" w:rsidR="00E55951" w:rsidRPr="00184605" w:rsidRDefault="00E55951" w:rsidP="00821865">
      <w:pPr>
        <w:rPr>
          <w:rFonts w:cs="Times New Roman"/>
        </w:rPr>
      </w:pPr>
    </w:p>
    <w:p w14:paraId="28D5D69B" w14:textId="638B4C69" w:rsidR="008519C1" w:rsidRPr="00184605" w:rsidRDefault="36AA76B6" w:rsidP="00821865">
      <w:pPr>
        <w:rPr>
          <w:rFonts w:cs="Times New Roman"/>
        </w:rPr>
      </w:pPr>
      <w:r w:rsidRPr="00184605">
        <w:rPr>
          <w:rFonts w:cs="Times New Roman"/>
        </w:rPr>
        <w:t xml:space="preserve">Het Marengo-proces is niet het enige voorbeeld. In veel strafzaken wordt benoemd dat de verdediging een afschrift van de eigen PGP-lijnen van de verdachte heeft verkregen en </w:t>
      </w:r>
      <w:r w:rsidR="00CB0585" w:rsidRPr="00184605">
        <w:rPr>
          <w:rFonts w:cs="Times New Roman"/>
        </w:rPr>
        <w:t>dikwijls</w:t>
      </w:r>
      <w:r w:rsidRPr="00184605">
        <w:rPr>
          <w:rFonts w:cs="Times New Roman"/>
        </w:rPr>
        <w:t xml:space="preserve"> komt ter sprake dat </w:t>
      </w:r>
      <w:r w:rsidRPr="00184605">
        <w:rPr>
          <w:rFonts w:cs="Times New Roman"/>
        </w:rPr>
        <w:lastRenderedPageBreak/>
        <w:t>de verdediging de mogelijkheid heeft gekregen om het NFI te bezoeken en aldaar de secundaire dataset te onderzoeken.</w:t>
      </w:r>
      <w:r w:rsidR="008519C1" w:rsidRPr="00184605">
        <w:rPr>
          <w:rFonts w:cs="Times New Roman"/>
          <w:vertAlign w:val="superscript"/>
        </w:rPr>
        <w:footnoteReference w:id="90"/>
      </w:r>
      <w:r w:rsidRPr="00184605">
        <w:rPr>
          <w:rFonts w:cs="Times New Roman"/>
        </w:rPr>
        <w:t xml:space="preserve"> Daarmee lijkt het bieden van deze inzagemodaliteiten een vaste praktijk te zijn geworden. Dit betekent evenwel niet dat de verdediging zonder meer het recht heeft op toegang </w:t>
      </w:r>
      <w:r w:rsidR="011698D9">
        <w:rPr>
          <w:rFonts w:cs="Times New Roman"/>
        </w:rPr>
        <w:t>tot de secundaire dataset</w:t>
      </w:r>
      <w:r w:rsidRPr="00184605">
        <w:rPr>
          <w:rFonts w:cs="Times New Roman"/>
        </w:rPr>
        <w:t xml:space="preserve">. Het wettelijk kader blijft immers gelden, als gevolg waarvan de rechtbank ter zitting zal moeten overgaan tot de toetsing van </w:t>
      </w:r>
      <w:r w:rsidR="004D48E6">
        <w:rPr>
          <w:rFonts w:cs="Times New Roman"/>
        </w:rPr>
        <w:t>het noodzakelijkheidscriterium</w:t>
      </w:r>
      <w:r w:rsidRPr="00184605">
        <w:rPr>
          <w:rFonts w:cs="Times New Roman"/>
        </w:rPr>
        <w:t xml:space="preserve">. Indien </w:t>
      </w:r>
      <w:r w:rsidR="004D48E6">
        <w:rPr>
          <w:rFonts w:cs="Times New Roman"/>
        </w:rPr>
        <w:t xml:space="preserve">daar niet aan is </w:t>
      </w:r>
      <w:r w:rsidRPr="00184605">
        <w:rPr>
          <w:rFonts w:cs="Times New Roman"/>
        </w:rPr>
        <w:t>voldaan, zal de verdediging geen toegang krijgen.</w:t>
      </w:r>
      <w:r w:rsidR="008519C1" w:rsidRPr="00184605">
        <w:rPr>
          <w:rFonts w:cs="Times New Roman"/>
          <w:vertAlign w:val="superscript"/>
        </w:rPr>
        <w:footnoteReference w:id="91"/>
      </w:r>
      <w:r w:rsidRPr="00184605">
        <w:rPr>
          <w:rFonts w:cs="Times New Roman"/>
        </w:rPr>
        <w:t xml:space="preserve"> Derhalve is het voor de verdediging van uiterst belang dat zij een gemotiveerd verzoek indient waaruit </w:t>
      </w:r>
      <w:r w:rsidR="00D75394" w:rsidRPr="00184605">
        <w:rPr>
          <w:rFonts w:cs="Times New Roman"/>
        </w:rPr>
        <w:t xml:space="preserve">duidelijk </w:t>
      </w:r>
      <w:r w:rsidR="00E83176">
        <w:rPr>
          <w:rFonts w:cs="Times New Roman"/>
        </w:rPr>
        <w:t>de noodzaak</w:t>
      </w:r>
      <w:r w:rsidR="005A1144">
        <w:rPr>
          <w:rFonts w:cs="Times New Roman"/>
        </w:rPr>
        <w:t xml:space="preserve"> van de voeging</w:t>
      </w:r>
      <w:r w:rsidRPr="00184605">
        <w:rPr>
          <w:rFonts w:cs="Times New Roman"/>
        </w:rPr>
        <w:t xml:space="preserve"> en de relevantie van de stukken blijkt.</w:t>
      </w:r>
    </w:p>
    <w:p w14:paraId="2E96C0D7" w14:textId="77777777" w:rsidR="008519C1" w:rsidRPr="00184605" w:rsidRDefault="008519C1" w:rsidP="00821865">
      <w:pPr>
        <w:rPr>
          <w:rFonts w:cs="Times New Roman"/>
        </w:rPr>
      </w:pPr>
    </w:p>
    <w:p w14:paraId="6870CB59" w14:textId="77777777" w:rsidR="008519C1" w:rsidRPr="00184605" w:rsidRDefault="008519C1" w:rsidP="00821865">
      <w:pPr>
        <w:rPr>
          <w:rFonts w:cs="Times New Roman"/>
        </w:rPr>
      </w:pPr>
      <w:r w:rsidRPr="00184605">
        <w:rPr>
          <w:rFonts w:cs="Times New Roman"/>
        </w:rPr>
        <w:t xml:space="preserve">2.5.4   </w:t>
      </w:r>
      <w:r w:rsidRPr="00184605">
        <w:rPr>
          <w:rFonts w:cs="Times New Roman"/>
          <w:i/>
          <w:iCs/>
        </w:rPr>
        <w:t>Kritiek en praktische ontwikkelingen</w:t>
      </w:r>
    </w:p>
    <w:p w14:paraId="4A360DF7" w14:textId="4822BE60" w:rsidR="008519C1" w:rsidRPr="00184605" w:rsidRDefault="36AA76B6" w:rsidP="00821865">
      <w:pPr>
        <w:rPr>
          <w:rFonts w:cs="Times New Roman"/>
        </w:rPr>
      </w:pPr>
      <w:r w:rsidRPr="00184605">
        <w:rPr>
          <w:rFonts w:cs="Times New Roman"/>
        </w:rPr>
        <w:t>De hiervoor beschreven toegang tot de secundaire dataset heeft enige kritiek te verduren gehad. In 2021 schrijven advocaten De Jonge &amp; Janssen dat de verdediging geen effectieve inzagemodaliteit toekomt.</w:t>
      </w:r>
      <w:r w:rsidR="008519C1" w:rsidRPr="00184605">
        <w:rPr>
          <w:rFonts w:cs="Times New Roman"/>
          <w:vertAlign w:val="superscript"/>
        </w:rPr>
        <w:footnoteReference w:id="92"/>
      </w:r>
      <w:r w:rsidRPr="00184605">
        <w:rPr>
          <w:rFonts w:cs="Times New Roman"/>
        </w:rPr>
        <w:t xml:space="preserve"> Ten aanzien van de inzage in de dataset moet de verdediging naar het NFI om daar gebruik te maken van Hansken, waar De Jonge &amp; Janssen kritisch op zijn: het is niet toegestaan om informatie te printen of anderszins op te slaan, advocaten moeten constant dossierstukken en -notities meebrengen en de verdachte kan wegens voorlopige hechtenis</w:t>
      </w:r>
      <w:r w:rsidR="00183D75">
        <w:rPr>
          <w:rFonts w:cs="Times New Roman"/>
        </w:rPr>
        <w:t xml:space="preserve"> vaak</w:t>
      </w:r>
      <w:r w:rsidRPr="00184605">
        <w:rPr>
          <w:rFonts w:cs="Times New Roman"/>
        </w:rPr>
        <w:t xml:space="preserve"> niet bij de inzage aanwezig zijn. Dit laatste maakt het voor de verdediging lastig omdat zij de verdachte op het moment van inzage niet kunnen spreken en deze pas later op de verkregen informatie kan reageren. Verder kan inzage enkel geschieden </w:t>
      </w:r>
      <w:r w:rsidR="00B1429F">
        <w:rPr>
          <w:rFonts w:cs="Times New Roman"/>
        </w:rPr>
        <w:t>binnen de openingstijden van het</w:t>
      </w:r>
      <w:r w:rsidRPr="00184605">
        <w:rPr>
          <w:rFonts w:cs="Times New Roman"/>
        </w:rPr>
        <w:t xml:space="preserve"> NFI.</w:t>
      </w:r>
      <w:r w:rsidR="008519C1" w:rsidRPr="00184605">
        <w:rPr>
          <w:rFonts w:cs="Times New Roman"/>
          <w:vertAlign w:val="superscript"/>
        </w:rPr>
        <w:footnoteReference w:id="93"/>
      </w:r>
      <w:r w:rsidRPr="00184605">
        <w:rPr>
          <w:rFonts w:cs="Times New Roman"/>
        </w:rPr>
        <w:t xml:space="preserve"> De inzage in het eigen berichtenverkeer van de verdachte wordt daarentegen wel </w:t>
      </w:r>
      <w:r w:rsidR="766C8918">
        <w:rPr>
          <w:rFonts w:cs="Times New Roman"/>
        </w:rPr>
        <w:t xml:space="preserve">direct </w:t>
      </w:r>
      <w:r w:rsidRPr="00184605">
        <w:rPr>
          <w:rFonts w:cs="Times New Roman"/>
        </w:rPr>
        <w:t>aan de verdediging verstrekt, waardoor samen met de verdachte naar deze stukken kan worden gekeken.</w:t>
      </w:r>
      <w:r w:rsidR="008519C1" w:rsidRPr="00184605">
        <w:rPr>
          <w:rFonts w:cs="Times New Roman"/>
          <w:vertAlign w:val="superscript"/>
        </w:rPr>
        <w:footnoteReference w:id="94"/>
      </w:r>
      <w:r w:rsidRPr="00184605">
        <w:rPr>
          <w:rFonts w:cs="Times New Roman"/>
        </w:rPr>
        <w:t xml:space="preserve"> Evenwel stellen De Jonge &amp; Janssen dat dit berichtenverkeer op een onoverzichtelijke wijze word</w:t>
      </w:r>
      <w:r w:rsidR="76E816F0">
        <w:rPr>
          <w:rFonts w:cs="Times New Roman"/>
        </w:rPr>
        <w:t>t</w:t>
      </w:r>
      <w:r w:rsidRPr="00184605">
        <w:rPr>
          <w:rFonts w:cs="Times New Roman"/>
        </w:rPr>
        <w:t xml:space="preserve"> verstrekt en dat de berichten lastig te doorzoeken zijn. Daarnaast wordt slechts een deel van het berichtenverkeer van de verdachte verstrekt, omdat de structuur van de data met zich brengt dat delen van het berichtenverkeer niet worden toegeschreven aan het account van de verdachte.</w:t>
      </w:r>
      <w:r w:rsidR="008519C1" w:rsidRPr="00184605">
        <w:rPr>
          <w:rFonts w:cs="Times New Roman"/>
          <w:vertAlign w:val="superscript"/>
        </w:rPr>
        <w:footnoteReference w:id="95"/>
      </w:r>
    </w:p>
    <w:p w14:paraId="16C2A782" w14:textId="77777777" w:rsidR="008519C1" w:rsidRPr="00184605" w:rsidRDefault="008519C1" w:rsidP="00821865">
      <w:pPr>
        <w:rPr>
          <w:rFonts w:cs="Times New Roman"/>
        </w:rPr>
      </w:pPr>
    </w:p>
    <w:p w14:paraId="44A0D37C" w14:textId="492807B0" w:rsidR="008519C1" w:rsidRPr="00184605" w:rsidRDefault="71BF24B1" w:rsidP="00821865">
      <w:pPr>
        <w:rPr>
          <w:rFonts w:cs="Times New Roman"/>
          <w:color w:val="FF0000"/>
        </w:rPr>
      </w:pPr>
      <w:r>
        <w:rPr>
          <w:rFonts w:cs="Times New Roman"/>
        </w:rPr>
        <w:t>Ondertussen</w:t>
      </w:r>
      <w:r w:rsidR="36AA76B6" w:rsidRPr="00184605">
        <w:rPr>
          <w:rFonts w:cs="Times New Roman"/>
        </w:rPr>
        <w:t xml:space="preserve"> heeft de </w:t>
      </w:r>
      <w:r w:rsidR="00D44C77">
        <w:rPr>
          <w:rFonts w:cs="Times New Roman"/>
        </w:rPr>
        <w:t>toegang tot</w:t>
      </w:r>
      <w:r w:rsidR="36AA76B6" w:rsidRPr="00184605">
        <w:rPr>
          <w:rFonts w:cs="Times New Roman"/>
        </w:rPr>
        <w:t xml:space="preserve"> datasets een aantal ontwikkelingen doorgemaakt. Het is niet langer het geval dat de verdediging voor een volledige inzage naar het NFI moet om van Hansken gebruik te kunnen maken. </w:t>
      </w:r>
      <w:r w:rsidR="006869AC" w:rsidRPr="006869AC">
        <w:rPr>
          <w:rFonts w:cs="Times New Roman"/>
        </w:rPr>
        <w:t xml:space="preserve">Op 20 maart 2023 berichtte het NFI dat zij samen met de politie en het OM voor de verdediging de mogelijkheid heeft gecreëerd om vanaf hun eigen werkplek inzage te krijgen in de </w:t>
      </w:r>
      <w:r w:rsidR="006869AC" w:rsidRPr="006869AC">
        <w:rPr>
          <w:rFonts w:cs="Times New Roman"/>
        </w:rPr>
        <w:lastRenderedPageBreak/>
        <w:t>secundaire dataset</w:t>
      </w:r>
      <w:r w:rsidR="36AA76B6" w:rsidRPr="00184605">
        <w:rPr>
          <w:rFonts w:cs="Times New Roman"/>
        </w:rPr>
        <w:t>. Wel blijft het zo dat de verdediging gegevens niet kan opslaan, printen of kopiëren: daarover zegt Egberts dat de secundaire dataset onderdeel is van het politiedossier en dus niet het procesdossier, waardoor een afschrift niet zomaar mogelijk is. Bovendien betreft de inzage slechts een bepaalde tijd.</w:t>
      </w:r>
      <w:r w:rsidR="008519C1" w:rsidRPr="00184605">
        <w:rPr>
          <w:rFonts w:cs="Times New Roman"/>
          <w:vertAlign w:val="superscript"/>
        </w:rPr>
        <w:footnoteReference w:id="96"/>
      </w:r>
      <w:r w:rsidR="36AA76B6" w:rsidRPr="00184605">
        <w:rPr>
          <w:rFonts w:cs="Times New Roman"/>
        </w:rPr>
        <w:t xml:space="preserve"> </w:t>
      </w:r>
    </w:p>
    <w:p w14:paraId="68DE0ACB" w14:textId="77777777" w:rsidR="008519C1" w:rsidRPr="00184605" w:rsidRDefault="008519C1" w:rsidP="00821865">
      <w:pPr>
        <w:rPr>
          <w:rFonts w:cs="Times New Roman"/>
        </w:rPr>
      </w:pPr>
    </w:p>
    <w:p w14:paraId="29510A47" w14:textId="40B085D6" w:rsidR="008519C1" w:rsidRPr="00184605" w:rsidRDefault="36AA76B6" w:rsidP="00821865">
      <w:pPr>
        <w:rPr>
          <w:rFonts w:cs="Times New Roman"/>
        </w:rPr>
      </w:pPr>
      <w:r w:rsidRPr="00184605">
        <w:rPr>
          <w:rFonts w:cs="Times New Roman"/>
        </w:rPr>
        <w:t>Het toegenomen belang van datasets en de ontwikkeling van Hansken dragen bij aan de door Lochs &amp; Iqbal geconstateerde ontwikkeling dat de verdediging een steeds actievere rol toekomt</w:t>
      </w:r>
      <w:r w:rsidR="008519C1" w:rsidRPr="00184605">
        <w:rPr>
          <w:rFonts w:cs="Times New Roman"/>
          <w:vertAlign w:val="superscript"/>
        </w:rPr>
        <w:footnoteReference w:id="97"/>
      </w:r>
      <w:r w:rsidRPr="00184605">
        <w:rPr>
          <w:rFonts w:cs="Times New Roman"/>
        </w:rPr>
        <w:t>: zo dient de advocatuur zich immers wegwijs te maken in Hansken – waarvoor zelfs een speciale opleiding is ontwikkeld</w:t>
      </w:r>
      <w:r w:rsidR="008519C1" w:rsidRPr="00184605">
        <w:rPr>
          <w:rFonts w:cs="Times New Roman"/>
          <w:vertAlign w:val="superscript"/>
        </w:rPr>
        <w:footnoteReference w:id="98"/>
      </w:r>
      <w:r w:rsidRPr="00184605">
        <w:rPr>
          <w:rFonts w:cs="Times New Roman"/>
        </w:rPr>
        <w:t xml:space="preserve"> – en bij het doorzoeken van de secundaire dataset moeten de advocaat en zijn verdachte uitgebreid in overleg treden, zodat zij weten welke zoektermen eventueel bij deze doorzoeking kunnen worden gebruikt. Daarnaast wordt van de verdediging verwacht dat zij bij een verzoek ter inzage dit verzoek duidelijk motiveert en onderbouwt.</w:t>
      </w:r>
      <w:r w:rsidR="000134C3">
        <w:rPr>
          <w:rFonts w:cs="Times New Roman"/>
        </w:rPr>
        <w:t xml:space="preserve"> De verdachte is dus afhankelijk van een advocaat die de tijd en middelen heeft om een actieve houding aan te nemen. </w:t>
      </w:r>
    </w:p>
    <w:p w14:paraId="25041B4A" w14:textId="77777777" w:rsidR="008519C1" w:rsidRPr="00184605" w:rsidRDefault="008519C1" w:rsidP="00821865">
      <w:pPr>
        <w:rPr>
          <w:rFonts w:cs="Times New Roman"/>
        </w:rPr>
      </w:pPr>
    </w:p>
    <w:p w14:paraId="2997A307" w14:textId="77777777" w:rsidR="008519C1" w:rsidRPr="00184605" w:rsidRDefault="008519C1" w:rsidP="00821865">
      <w:pPr>
        <w:rPr>
          <w:rFonts w:cs="Times New Roman"/>
        </w:rPr>
      </w:pPr>
      <w:r w:rsidRPr="00184605">
        <w:rPr>
          <w:rFonts w:cs="Times New Roman"/>
          <w:b/>
          <w:bCs/>
        </w:rPr>
        <w:t>2.6   Conclusie</w:t>
      </w:r>
    </w:p>
    <w:p w14:paraId="3955FF69" w14:textId="47A395DE" w:rsidR="008519C1" w:rsidRPr="00184605" w:rsidRDefault="36AA76B6" w:rsidP="00821865">
      <w:pPr>
        <w:rPr>
          <w:rFonts w:cs="Times New Roman"/>
        </w:rPr>
      </w:pPr>
      <w:r w:rsidRPr="41859A08">
        <w:rPr>
          <w:rFonts w:cs="Times New Roman"/>
        </w:rPr>
        <w:t>Het Nederlandse strafproces vindt zijn oorsprong in het Franse recht en kent als gevolg daarvan een</w:t>
      </w:r>
      <w:r w:rsidR="00AB0C4F">
        <w:rPr>
          <w:rFonts w:cs="Times New Roman"/>
        </w:rPr>
        <w:t xml:space="preserve"> </w:t>
      </w:r>
      <w:r w:rsidRPr="41859A08">
        <w:rPr>
          <w:rFonts w:cs="Times New Roman"/>
        </w:rPr>
        <w:t xml:space="preserve">inquisitoir </w:t>
      </w:r>
      <w:r w:rsidR="00BA50E2">
        <w:rPr>
          <w:rFonts w:cs="Times New Roman"/>
        </w:rPr>
        <w:t>strafproces</w:t>
      </w:r>
      <w:r w:rsidRPr="41859A08">
        <w:rPr>
          <w:rFonts w:cs="Times New Roman"/>
        </w:rPr>
        <w:t xml:space="preserve">. Desalniettemin zijn er de afgelopen jaren enkele verschuivingen waarneembaar naar een meer adversair </w:t>
      </w:r>
      <w:r w:rsidR="0037539C">
        <w:rPr>
          <w:rFonts w:cs="Times New Roman"/>
        </w:rPr>
        <w:t>strafproces</w:t>
      </w:r>
      <w:r w:rsidRPr="41859A08">
        <w:rPr>
          <w:rFonts w:cs="Times New Roman"/>
        </w:rPr>
        <w:t xml:space="preserve">. Het Nederlandse </w:t>
      </w:r>
      <w:r w:rsidR="00D33718">
        <w:rPr>
          <w:rFonts w:cs="Times New Roman"/>
        </w:rPr>
        <w:t>strafproces</w:t>
      </w:r>
      <w:r w:rsidRPr="41859A08">
        <w:rPr>
          <w:rFonts w:cs="Times New Roman"/>
        </w:rPr>
        <w:t xml:space="preserve"> brengt met zich dat de verdachte moet vragen om inzage in de processtukke</w:t>
      </w:r>
      <w:r w:rsidR="00163077">
        <w:rPr>
          <w:rFonts w:cs="Times New Roman"/>
        </w:rPr>
        <w:t>n indien deze nog niet zijn verstrekt.</w:t>
      </w:r>
      <w:r w:rsidRPr="41859A08">
        <w:rPr>
          <w:rFonts w:cs="Times New Roman"/>
        </w:rPr>
        <w:t xml:space="preserve"> Wat als processtuk kwalificeert, moet door de officier van justitie dan wel de rechter worden beoordeeld aan de hand van </w:t>
      </w:r>
      <w:r w:rsidR="7B500E45" w:rsidRPr="41859A08">
        <w:rPr>
          <w:rFonts w:cs="Times New Roman"/>
        </w:rPr>
        <w:t>het</w:t>
      </w:r>
      <w:r w:rsidRPr="41859A08">
        <w:rPr>
          <w:rFonts w:cs="Times New Roman"/>
        </w:rPr>
        <w:t xml:space="preserve"> relevantiecriterium</w:t>
      </w:r>
      <w:r w:rsidR="7A41318C" w:rsidRPr="41859A08">
        <w:rPr>
          <w:rFonts w:cs="Times New Roman"/>
        </w:rPr>
        <w:t xml:space="preserve"> of het noodzakelijkheidscriterium</w:t>
      </w:r>
      <w:r w:rsidRPr="41859A08">
        <w:rPr>
          <w:rFonts w:cs="Times New Roman"/>
        </w:rPr>
        <w:t xml:space="preserve">. Bovendien kunnen de processtukken in sommige gevallen al dan niet tijdelijk worden onthouden aan de verdediging. De verdediging kan </w:t>
      </w:r>
      <w:r w:rsidR="307F2F42" w:rsidRPr="41859A08">
        <w:rPr>
          <w:rFonts w:cs="Times New Roman"/>
        </w:rPr>
        <w:t>toegang krijgen tot datasets</w:t>
      </w:r>
      <w:r w:rsidRPr="41859A08">
        <w:rPr>
          <w:rFonts w:cs="Times New Roman"/>
        </w:rPr>
        <w:t xml:space="preserve"> door de officier van justitie dan wel de rechter te verzoeken om deze bij de processtukken te voegen.</w:t>
      </w:r>
    </w:p>
    <w:p w14:paraId="33343E01" w14:textId="77777777" w:rsidR="008519C1" w:rsidRPr="00184605" w:rsidRDefault="008519C1" w:rsidP="00821865">
      <w:pPr>
        <w:rPr>
          <w:rFonts w:cs="Times New Roman"/>
        </w:rPr>
      </w:pPr>
    </w:p>
    <w:p w14:paraId="5773DFF4" w14:textId="336733B4" w:rsidR="006F0A7C" w:rsidRPr="00184605" w:rsidRDefault="008519C1" w:rsidP="00527186">
      <w:pPr>
        <w:rPr>
          <w:rFonts w:cs="Times New Roman"/>
        </w:rPr>
      </w:pPr>
      <w:r w:rsidRPr="00184605">
        <w:rPr>
          <w:rFonts w:cs="Times New Roman"/>
        </w:rPr>
        <w:t xml:space="preserve">Op grond van de wettelijke regeling </w:t>
      </w:r>
      <w:r w:rsidR="006F4567">
        <w:rPr>
          <w:rFonts w:cs="Times New Roman"/>
        </w:rPr>
        <w:t>heeft</w:t>
      </w:r>
      <w:r w:rsidRPr="00184605">
        <w:rPr>
          <w:rFonts w:cs="Times New Roman"/>
        </w:rPr>
        <w:t xml:space="preserve"> de verdediging </w:t>
      </w:r>
      <w:r w:rsidR="006F4567">
        <w:rPr>
          <w:rFonts w:cs="Times New Roman"/>
        </w:rPr>
        <w:t>toegang tot de</w:t>
      </w:r>
      <w:r w:rsidRPr="00184605">
        <w:rPr>
          <w:rFonts w:cs="Times New Roman"/>
        </w:rPr>
        <w:t xml:space="preserve"> tertiaire dataset, behoudens de toepassing van de wettelijke bevoegdheden van onthouding. Verder krijgt de verdediging op grond van zowel Europese als Nederlandse jurisprudentie geen (directe) inzage in de volledige dataset. Wel heeft de verdediging een indirecte toegang tot deze data</w:t>
      </w:r>
      <w:r w:rsidR="00416974">
        <w:rPr>
          <w:rFonts w:cs="Times New Roman"/>
        </w:rPr>
        <w:t xml:space="preserve">set, doordat zij betrokken is </w:t>
      </w:r>
      <w:r w:rsidRPr="00184605">
        <w:rPr>
          <w:rFonts w:cs="Times New Roman"/>
        </w:rPr>
        <w:t xml:space="preserve">bij de totstandkoming van de secundaire dataset. Ten aanzien van deze secundaire dataset heeft de verdediging een aantal mogelijkheden tot inzage, die naar het oordeel van de rechter voldoende zijn. Bovendien lijkt de op deze mogelijkheden geuite kritiek </w:t>
      </w:r>
      <w:r w:rsidR="00416974" w:rsidRPr="00416974">
        <w:rPr>
          <w:rFonts w:cs="Times New Roman"/>
        </w:rPr>
        <w:t>door meerdere</w:t>
      </w:r>
      <w:r w:rsidR="00416974">
        <w:rPr>
          <w:rFonts w:cs="Times New Roman"/>
        </w:rPr>
        <w:t xml:space="preserve"> ontwikkelingen minder houdbaar. </w:t>
      </w:r>
      <w:r w:rsidR="001D608C">
        <w:rPr>
          <w:rFonts w:cs="Times New Roman"/>
        </w:rPr>
        <w:t xml:space="preserve">Ten slotte </w:t>
      </w:r>
      <w:r w:rsidRPr="00184605">
        <w:rPr>
          <w:rFonts w:cs="Times New Roman"/>
        </w:rPr>
        <w:t xml:space="preserve">brengt </w:t>
      </w:r>
      <w:r w:rsidRPr="006334C8">
        <w:rPr>
          <w:rFonts w:cs="Times New Roman"/>
        </w:rPr>
        <w:t xml:space="preserve">de invulling van de </w:t>
      </w:r>
      <w:r w:rsidR="003B5DF8" w:rsidRPr="006334C8">
        <w:rPr>
          <w:rFonts w:cs="Times New Roman"/>
        </w:rPr>
        <w:t>toegang tot bewijs</w:t>
      </w:r>
      <w:r w:rsidRPr="006334C8">
        <w:rPr>
          <w:rFonts w:cs="Times New Roman"/>
        </w:rPr>
        <w:t xml:space="preserve"> in het Nederlandse s</w:t>
      </w:r>
      <w:r w:rsidR="001D608C" w:rsidRPr="006334C8">
        <w:rPr>
          <w:rFonts w:cs="Times New Roman"/>
        </w:rPr>
        <w:t xml:space="preserve">trafprocesrecht met zich dat </w:t>
      </w:r>
      <w:r w:rsidR="008A220B" w:rsidRPr="006334C8">
        <w:rPr>
          <w:rFonts w:cs="Times New Roman"/>
        </w:rPr>
        <w:t>de verdediging een steeds actievere rol toekomt</w:t>
      </w:r>
      <w:r w:rsidRPr="006334C8">
        <w:rPr>
          <w:rFonts w:cs="Times New Roman"/>
        </w:rPr>
        <w:t>.</w:t>
      </w:r>
    </w:p>
    <w:p w14:paraId="50F49FA4" w14:textId="1DAEF39D" w:rsidR="009946B1" w:rsidRPr="0092542D" w:rsidRDefault="009946B1" w:rsidP="00821865">
      <w:pPr>
        <w:rPr>
          <w:rFonts w:cs="Times New Roman"/>
          <w:b/>
          <w:bCs/>
          <w:sz w:val="28"/>
          <w:szCs w:val="28"/>
        </w:rPr>
      </w:pPr>
      <w:r w:rsidRPr="0092542D">
        <w:rPr>
          <w:rFonts w:cs="Times New Roman"/>
          <w:b/>
          <w:bCs/>
          <w:sz w:val="28"/>
          <w:szCs w:val="28"/>
        </w:rPr>
        <w:lastRenderedPageBreak/>
        <w:t xml:space="preserve">Hoofdstuk 3: </w:t>
      </w:r>
      <w:r w:rsidR="006717AD">
        <w:rPr>
          <w:rFonts w:cs="Times New Roman"/>
          <w:b/>
          <w:bCs/>
          <w:sz w:val="28"/>
          <w:szCs w:val="28"/>
        </w:rPr>
        <w:t>T</w:t>
      </w:r>
      <w:r w:rsidRPr="0092542D">
        <w:rPr>
          <w:rFonts w:cs="Times New Roman"/>
          <w:b/>
          <w:bCs/>
          <w:sz w:val="28"/>
          <w:szCs w:val="28"/>
        </w:rPr>
        <w:t>oegang tot datasets in het strafprocesrecht van Engeland &amp; Wales</w:t>
      </w:r>
    </w:p>
    <w:p w14:paraId="539D2E18" w14:textId="77777777" w:rsidR="009946B1" w:rsidRPr="009946B1" w:rsidRDefault="009946B1" w:rsidP="00821865">
      <w:pPr>
        <w:rPr>
          <w:rFonts w:cs="Times New Roman"/>
        </w:rPr>
      </w:pPr>
    </w:p>
    <w:p w14:paraId="4FFE2E8D" w14:textId="77777777" w:rsidR="009946B1" w:rsidRPr="009946B1" w:rsidRDefault="009946B1" w:rsidP="00821865">
      <w:pPr>
        <w:rPr>
          <w:rFonts w:cs="Times New Roman"/>
        </w:rPr>
      </w:pPr>
      <w:r w:rsidRPr="009946B1">
        <w:rPr>
          <w:rFonts w:cs="Times New Roman"/>
          <w:b/>
          <w:bCs/>
        </w:rPr>
        <w:t>3.1   Inleiding</w:t>
      </w:r>
    </w:p>
    <w:p w14:paraId="654CBD46" w14:textId="7B7ECE13" w:rsidR="009946B1" w:rsidRPr="009946B1" w:rsidRDefault="009946B1" w:rsidP="00821865">
      <w:pPr>
        <w:rPr>
          <w:rFonts w:cs="Times New Roman"/>
        </w:rPr>
      </w:pPr>
      <w:r w:rsidRPr="009946B1">
        <w:rPr>
          <w:rFonts w:cs="Times New Roman"/>
        </w:rPr>
        <w:t xml:space="preserve">In dit hoofdstuk volgt een bespreking van de toegang tot datasets voor de verdediging binnen het strafprocesrecht van Engeland &amp; Wales. </w:t>
      </w:r>
      <w:r w:rsidR="000C5B8E" w:rsidRPr="000C5B8E">
        <w:rPr>
          <w:rFonts w:cs="Times New Roman"/>
        </w:rPr>
        <w:t>Allereerst wordt een uitleg en achtergrond gegeven van de uitgangspunten van het strafproces van Engeland &amp; Wales.</w:t>
      </w:r>
      <w:r w:rsidRPr="009946B1">
        <w:rPr>
          <w:rFonts w:cs="Times New Roman"/>
        </w:rPr>
        <w:t xml:space="preserve"> </w:t>
      </w:r>
      <w:r w:rsidR="000C5B8E">
        <w:rPr>
          <w:rFonts w:cs="Times New Roman"/>
        </w:rPr>
        <w:t xml:space="preserve">Hierop voortbouwend </w:t>
      </w:r>
      <w:r w:rsidRPr="009946B1">
        <w:rPr>
          <w:rFonts w:cs="Times New Roman"/>
        </w:rPr>
        <w:t xml:space="preserve">zal worden verkend welke mogelijkheden de verdediging heeft om toegang tot bewijsmateriaal te krijgen. Vervolgens zal nader worden ingegaan op hoe deze mogelijkheden zich specifiek verhouden tot datasets. </w:t>
      </w:r>
      <w:r w:rsidR="005219C1">
        <w:rPr>
          <w:kern w:val="0"/>
          <w14:ligatures w14:val="none"/>
        </w:rPr>
        <w:t>Ten slotte bevat de conclusie een uiteenzetting van de belangrijkste bevindingen.</w:t>
      </w:r>
    </w:p>
    <w:p w14:paraId="4C060F67" w14:textId="77777777" w:rsidR="009946B1" w:rsidRPr="009946B1" w:rsidRDefault="009946B1" w:rsidP="00821865">
      <w:pPr>
        <w:rPr>
          <w:rFonts w:cs="Times New Roman"/>
        </w:rPr>
      </w:pPr>
    </w:p>
    <w:p w14:paraId="1F89CE9E" w14:textId="77777777" w:rsidR="009946B1" w:rsidRPr="009946B1" w:rsidRDefault="009946B1" w:rsidP="00821865">
      <w:pPr>
        <w:rPr>
          <w:rFonts w:cs="Times New Roman"/>
          <w:b/>
          <w:bCs/>
        </w:rPr>
      </w:pPr>
      <w:r w:rsidRPr="009946B1">
        <w:rPr>
          <w:rFonts w:cs="Times New Roman"/>
          <w:b/>
          <w:bCs/>
        </w:rPr>
        <w:t>3.2   Het strafprocesrecht van Engeland &amp; Wales</w:t>
      </w:r>
    </w:p>
    <w:p w14:paraId="04C841F8" w14:textId="129DBE92" w:rsidR="009946B1" w:rsidRPr="009946B1" w:rsidRDefault="00E01150" w:rsidP="00821865">
      <w:pPr>
        <w:rPr>
          <w:rFonts w:cs="Times New Roman"/>
        </w:rPr>
      </w:pPr>
      <w:r>
        <w:rPr>
          <w:rFonts w:cs="Times New Roman"/>
        </w:rPr>
        <w:t xml:space="preserve">Het rechtsstelsel van </w:t>
      </w:r>
      <w:r w:rsidR="46371543" w:rsidRPr="009946B1">
        <w:rPr>
          <w:rFonts w:cs="Times New Roman"/>
        </w:rPr>
        <w:t xml:space="preserve">Engeland &amp; Wales is gebaseerd op </w:t>
      </w:r>
      <w:r w:rsidR="46371543" w:rsidRPr="41859A08">
        <w:rPr>
          <w:rFonts w:cs="Times New Roman"/>
          <w:i/>
          <w:iCs/>
        </w:rPr>
        <w:t>common law</w:t>
      </w:r>
      <w:r w:rsidR="46371543" w:rsidRPr="009946B1">
        <w:rPr>
          <w:rFonts w:cs="Times New Roman"/>
        </w:rPr>
        <w:t xml:space="preserve">. Het recht heeft zich daar </w:t>
      </w:r>
      <w:r w:rsidR="00F86EB8">
        <w:rPr>
          <w:rFonts w:cs="Times New Roman"/>
        </w:rPr>
        <w:t>van het begin af aan</w:t>
      </w:r>
      <w:r w:rsidR="46371543" w:rsidRPr="009946B1">
        <w:rPr>
          <w:rFonts w:cs="Times New Roman"/>
        </w:rPr>
        <w:t xml:space="preserve"> ontwikkeld aan de hand van </w:t>
      </w:r>
      <w:r w:rsidR="003C2FE8">
        <w:rPr>
          <w:rFonts w:cs="Times New Roman"/>
        </w:rPr>
        <w:t xml:space="preserve">jurisprudentie en </w:t>
      </w:r>
      <w:r w:rsidR="46371543" w:rsidRPr="009946B1">
        <w:rPr>
          <w:rFonts w:cs="Times New Roman"/>
        </w:rPr>
        <w:t>de teksten van vooraanstaande juristen.</w:t>
      </w:r>
      <w:r w:rsidR="009946B1" w:rsidRPr="009946B1">
        <w:rPr>
          <w:rFonts w:cs="Times New Roman"/>
          <w:vertAlign w:val="superscript"/>
        </w:rPr>
        <w:footnoteReference w:id="99"/>
      </w:r>
      <w:r w:rsidR="46371543" w:rsidRPr="009946B1">
        <w:rPr>
          <w:rFonts w:cs="Times New Roman"/>
        </w:rPr>
        <w:t xml:space="preserve"> De rechter kon middels zijn uitspraken nieuwe rechtsregels en strafbepalingen in het leven roepen, al is dat laatste sinds 2006 niet langer mogelijk: strafbepalingen moeten sindsdien bij wet zijn voorzien.</w:t>
      </w:r>
      <w:r w:rsidR="009946B1" w:rsidRPr="009946B1">
        <w:rPr>
          <w:rFonts w:cs="Times New Roman"/>
          <w:vertAlign w:val="superscript"/>
        </w:rPr>
        <w:footnoteReference w:id="100"/>
      </w:r>
      <w:r w:rsidR="46371543" w:rsidRPr="009946B1">
        <w:rPr>
          <w:rFonts w:cs="Times New Roman"/>
        </w:rPr>
        <w:t xml:space="preserve"> Als gevolg van het </w:t>
      </w:r>
      <w:r w:rsidR="46371543" w:rsidRPr="41859A08">
        <w:rPr>
          <w:rFonts w:cs="Times New Roman"/>
          <w:i/>
          <w:iCs/>
        </w:rPr>
        <w:t>common law</w:t>
      </w:r>
      <w:r w:rsidR="46371543" w:rsidRPr="009946B1">
        <w:rPr>
          <w:rFonts w:cs="Times New Roman"/>
        </w:rPr>
        <w:t>-stelsel en haar nadruk op jurisprudentie als rechtsbron vond er een lange tijd geen codificatie van het recht plaats. Sinds de 19</w:t>
      </w:r>
      <w:r w:rsidR="46371543" w:rsidRPr="009946B1">
        <w:rPr>
          <w:rFonts w:cs="Times New Roman"/>
          <w:vertAlign w:val="superscript"/>
        </w:rPr>
        <w:t>e</w:t>
      </w:r>
      <w:r w:rsidR="46371543" w:rsidRPr="009946B1">
        <w:rPr>
          <w:rFonts w:cs="Times New Roman"/>
        </w:rPr>
        <w:t xml:space="preserve"> eeuw vindt er echter steeds meer codificatie plaats en tegenwoordig</w:t>
      </w:r>
      <w:r w:rsidR="00F72EFC">
        <w:rPr>
          <w:rFonts w:cs="Times New Roman"/>
        </w:rPr>
        <w:t xml:space="preserve"> </w:t>
      </w:r>
      <w:r w:rsidR="00F72EFC" w:rsidRPr="009946B1">
        <w:rPr>
          <w:rFonts w:cs="Times New Roman"/>
        </w:rPr>
        <w:t>zijn er</w:t>
      </w:r>
      <w:r w:rsidR="46371543" w:rsidRPr="009946B1">
        <w:rPr>
          <w:rFonts w:cs="Times New Roman"/>
        </w:rPr>
        <w:t xml:space="preserve"> veel wettelijke regelingen die het straf(proces)recht gestalte geven. Een ander belangrijk onderdeel van het </w:t>
      </w:r>
      <w:r w:rsidR="0972372B" w:rsidRPr="41859A08">
        <w:rPr>
          <w:rFonts w:cs="Times New Roman"/>
          <w:i/>
          <w:iCs/>
        </w:rPr>
        <w:t>common law</w:t>
      </w:r>
      <w:r w:rsidR="46371543" w:rsidRPr="009946B1">
        <w:rPr>
          <w:rFonts w:cs="Times New Roman"/>
        </w:rPr>
        <w:t>-stelsel uit Engeland &amp; Wales is de juryrechtspraak: dit betreft echter een</w:t>
      </w:r>
      <w:r w:rsidR="6FB4EADF">
        <w:rPr>
          <w:rFonts w:cs="Times New Roman"/>
        </w:rPr>
        <w:t xml:space="preserve"> klein</w:t>
      </w:r>
      <w:r w:rsidR="46371543" w:rsidRPr="009946B1">
        <w:rPr>
          <w:rFonts w:cs="Times New Roman"/>
        </w:rPr>
        <w:t xml:space="preserve"> deel van alle strafzaken en neemt significant meer tijd in beslag dan een procedure tegenover de rechter</w:t>
      </w:r>
      <w:r w:rsidR="6631E8CE">
        <w:rPr>
          <w:rFonts w:cs="Times New Roman"/>
        </w:rPr>
        <w:t xml:space="preserve"> zonder jury</w:t>
      </w:r>
      <w:r w:rsidR="46371543" w:rsidRPr="009946B1">
        <w:rPr>
          <w:rFonts w:cs="Times New Roman"/>
        </w:rPr>
        <w:t>.</w:t>
      </w:r>
      <w:r w:rsidR="009946B1" w:rsidRPr="009946B1">
        <w:rPr>
          <w:rFonts w:cs="Times New Roman"/>
          <w:vertAlign w:val="superscript"/>
        </w:rPr>
        <w:footnoteReference w:id="101"/>
      </w:r>
    </w:p>
    <w:p w14:paraId="11976DE9" w14:textId="77777777" w:rsidR="009946B1" w:rsidRPr="009946B1" w:rsidRDefault="009946B1" w:rsidP="00821865">
      <w:pPr>
        <w:rPr>
          <w:rFonts w:cs="Times New Roman"/>
        </w:rPr>
      </w:pPr>
    </w:p>
    <w:p w14:paraId="79603A90" w14:textId="398812CF" w:rsidR="009946B1" w:rsidRPr="009946B1" w:rsidRDefault="005960DF" w:rsidP="00821865">
      <w:pPr>
        <w:rPr>
          <w:rFonts w:cs="Times New Roman"/>
        </w:rPr>
      </w:pPr>
      <w:r>
        <w:rPr>
          <w:rFonts w:cs="Times New Roman"/>
        </w:rPr>
        <w:t xml:space="preserve">Als gevolg van het </w:t>
      </w:r>
      <w:r>
        <w:rPr>
          <w:rFonts w:cs="Times New Roman"/>
          <w:i/>
          <w:iCs/>
        </w:rPr>
        <w:t>common law</w:t>
      </w:r>
      <w:r>
        <w:rPr>
          <w:rFonts w:cs="Times New Roman"/>
        </w:rPr>
        <w:t>-stelsel hebben Engeland &amp; Wales een adversair strafproces</w:t>
      </w:r>
      <w:r w:rsidR="46371543" w:rsidRPr="009946B1">
        <w:rPr>
          <w:rFonts w:cs="Times New Roman"/>
        </w:rPr>
        <w:t xml:space="preserve">: er is sprake van een strijd tussen twee gelijkwaardige partijen – de </w:t>
      </w:r>
      <w:r w:rsidR="46371543" w:rsidRPr="41859A08">
        <w:rPr>
          <w:rFonts w:cs="Times New Roman"/>
          <w:i/>
          <w:iCs/>
        </w:rPr>
        <w:t>prosecution</w:t>
      </w:r>
      <w:r w:rsidR="46371543" w:rsidRPr="009946B1">
        <w:rPr>
          <w:rFonts w:cs="Times New Roman"/>
        </w:rPr>
        <w:t xml:space="preserve"> en de </w:t>
      </w:r>
      <w:r w:rsidR="46371543" w:rsidRPr="41859A08">
        <w:rPr>
          <w:rFonts w:cs="Times New Roman"/>
          <w:i/>
          <w:iCs/>
        </w:rPr>
        <w:t>defence</w:t>
      </w:r>
      <w:r w:rsidR="46371543" w:rsidRPr="009946B1">
        <w:rPr>
          <w:rFonts w:cs="Times New Roman"/>
        </w:rPr>
        <w:t xml:space="preserve"> – die afzonderlijk zelf voorzien in het onderzoek en de bewijsgaring.</w:t>
      </w:r>
      <w:r w:rsidR="009946B1" w:rsidRPr="009946B1">
        <w:rPr>
          <w:rFonts w:cs="Times New Roman"/>
          <w:vertAlign w:val="superscript"/>
        </w:rPr>
        <w:footnoteReference w:id="102"/>
      </w:r>
      <w:r w:rsidR="46371543" w:rsidRPr="009946B1">
        <w:rPr>
          <w:rFonts w:cs="Times New Roman"/>
        </w:rPr>
        <w:t xml:space="preserve"> Net als bij het inquisitoire strafproces staat hier de waarheidsvinding centraal, al wordt het moment van de waarheidsvinding verplaatst van het vooronderzoek naar de terechtzitting.</w:t>
      </w:r>
      <w:r w:rsidR="000A685F">
        <w:rPr>
          <w:rStyle w:val="Voetnootmarkering"/>
          <w:rFonts w:cs="Times New Roman"/>
        </w:rPr>
        <w:footnoteReference w:id="103"/>
      </w:r>
      <w:r w:rsidR="00CE1DFC">
        <w:rPr>
          <w:rFonts w:cs="Times New Roman"/>
        </w:rPr>
        <w:t xml:space="preserve"> De grondslag van het adversaire strafproces ligt in de gedachte dat de gelijke strijd tussen procespartijen die de rechter dienen te overtuigen</w:t>
      </w:r>
      <w:r w:rsidR="005E29F8">
        <w:rPr>
          <w:rFonts w:cs="Times New Roman"/>
        </w:rPr>
        <w:t>,</w:t>
      </w:r>
      <w:r w:rsidR="00CE1DFC">
        <w:rPr>
          <w:rFonts w:cs="Times New Roman"/>
        </w:rPr>
        <w:t xml:space="preserve"> tot waarheidsvinding leidt.</w:t>
      </w:r>
      <w:r w:rsidR="008C286C">
        <w:rPr>
          <w:rStyle w:val="Voetnootmarkering"/>
          <w:rFonts w:cs="Times New Roman"/>
        </w:rPr>
        <w:footnoteReference w:id="104"/>
      </w:r>
      <w:r w:rsidR="00056BAB">
        <w:rPr>
          <w:rFonts w:cs="Times New Roman"/>
        </w:rPr>
        <w:t xml:space="preserve"> De rechter neemt </w:t>
      </w:r>
      <w:r w:rsidR="00154704">
        <w:rPr>
          <w:rFonts w:cs="Times New Roman"/>
        </w:rPr>
        <w:t>in die strijd</w:t>
      </w:r>
      <w:r w:rsidR="00056BAB">
        <w:rPr>
          <w:rFonts w:cs="Times New Roman"/>
        </w:rPr>
        <w:t xml:space="preserve"> een lijdelijke rol aan en draagt niet actief bij aan de waarheidsvinding.</w:t>
      </w:r>
      <w:r w:rsidR="00056BAB">
        <w:rPr>
          <w:rStyle w:val="Voetnootmarkering"/>
          <w:rFonts w:cs="Times New Roman"/>
        </w:rPr>
        <w:footnoteReference w:id="105"/>
      </w:r>
      <w:r w:rsidR="00056BAB" w:rsidRPr="009946B1">
        <w:rPr>
          <w:rFonts w:cs="Times New Roman"/>
        </w:rPr>
        <w:t xml:space="preserve"> </w:t>
      </w:r>
      <w:r w:rsidR="46371543" w:rsidRPr="009946B1">
        <w:rPr>
          <w:rFonts w:cs="Times New Roman"/>
        </w:rPr>
        <w:t xml:space="preserve">De strijd tussen de vervolgende instantie en de verdediging, waar zij over </w:t>
      </w:r>
      <w:r w:rsidR="46371543" w:rsidRPr="009946B1">
        <w:rPr>
          <w:rFonts w:cs="Times New Roman"/>
        </w:rPr>
        <w:lastRenderedPageBreak/>
        <w:t>en weer bewijs presenteren, bepaalt daarmee de uitkomst van het strafproces</w:t>
      </w:r>
      <w:r w:rsidR="00E22187">
        <w:rPr>
          <w:rFonts w:cs="Times New Roman"/>
        </w:rPr>
        <w:t>: als gevolg hiervan vormt</w:t>
      </w:r>
      <w:r w:rsidR="46371543" w:rsidRPr="009946B1">
        <w:rPr>
          <w:rFonts w:cs="Times New Roman"/>
        </w:rPr>
        <w:t xml:space="preserve"> </w:t>
      </w:r>
      <w:r w:rsidR="00E22187">
        <w:rPr>
          <w:rFonts w:cs="Times New Roman"/>
        </w:rPr>
        <w:t>tegenspraak</w:t>
      </w:r>
      <w:r w:rsidR="46371543" w:rsidRPr="009946B1">
        <w:rPr>
          <w:rFonts w:cs="Times New Roman"/>
        </w:rPr>
        <w:t xml:space="preserve"> een essentieel onderdeel van deze procedure.</w:t>
      </w:r>
      <w:r w:rsidR="009946B1" w:rsidRPr="009946B1">
        <w:rPr>
          <w:rFonts w:cs="Times New Roman"/>
          <w:vertAlign w:val="superscript"/>
        </w:rPr>
        <w:footnoteReference w:id="106"/>
      </w:r>
      <w:r w:rsidR="46371543" w:rsidRPr="009946B1">
        <w:rPr>
          <w:rFonts w:cs="Times New Roman"/>
        </w:rPr>
        <w:t xml:space="preserve"> </w:t>
      </w:r>
    </w:p>
    <w:p w14:paraId="684CFDC4" w14:textId="77777777" w:rsidR="006F0A7C" w:rsidRPr="009946B1" w:rsidRDefault="006F0A7C" w:rsidP="00821865">
      <w:pPr>
        <w:rPr>
          <w:rFonts w:cs="Times New Roman"/>
        </w:rPr>
      </w:pPr>
    </w:p>
    <w:p w14:paraId="36D9BE2F" w14:textId="77777777" w:rsidR="009946B1" w:rsidRPr="009946B1" w:rsidRDefault="009946B1" w:rsidP="00821865">
      <w:pPr>
        <w:rPr>
          <w:rFonts w:cs="Times New Roman"/>
        </w:rPr>
      </w:pPr>
      <w:r w:rsidRPr="009946B1">
        <w:rPr>
          <w:rFonts w:cs="Times New Roman"/>
        </w:rPr>
        <w:t xml:space="preserve">3.2.1   </w:t>
      </w:r>
      <w:r w:rsidRPr="009946B1">
        <w:rPr>
          <w:rFonts w:cs="Times New Roman"/>
          <w:i/>
          <w:iCs/>
        </w:rPr>
        <w:t>Enkele facetten van het strafprocesrecht</w:t>
      </w:r>
    </w:p>
    <w:p w14:paraId="5A61F09B" w14:textId="58DE0D77" w:rsidR="009946B1" w:rsidRPr="009946B1" w:rsidRDefault="46371543" w:rsidP="00821865">
      <w:pPr>
        <w:rPr>
          <w:rFonts w:cs="Times New Roman"/>
        </w:rPr>
      </w:pPr>
      <w:r w:rsidRPr="009946B1">
        <w:rPr>
          <w:rFonts w:cs="Times New Roman"/>
        </w:rPr>
        <w:t xml:space="preserve">Dat het Engelse strafprocesrecht is gebaseerd op </w:t>
      </w:r>
      <w:r w:rsidR="0972372B" w:rsidRPr="41859A08">
        <w:rPr>
          <w:rFonts w:cs="Times New Roman"/>
          <w:i/>
          <w:iCs/>
        </w:rPr>
        <w:t>common law</w:t>
      </w:r>
      <w:r w:rsidRPr="009946B1">
        <w:rPr>
          <w:rFonts w:cs="Times New Roman"/>
        </w:rPr>
        <w:t xml:space="preserve"> en als gevolg daarvan een adversaire procestraditie kent, is een aanzienlijk verschil</w:t>
      </w:r>
      <w:r w:rsidR="00464772">
        <w:rPr>
          <w:rFonts w:cs="Times New Roman"/>
        </w:rPr>
        <w:t xml:space="preserve"> van zijn Nederlandse equivalent</w:t>
      </w:r>
      <w:r w:rsidRPr="009946B1">
        <w:rPr>
          <w:rFonts w:cs="Times New Roman"/>
        </w:rPr>
        <w:t xml:space="preserve">. </w:t>
      </w:r>
      <w:r w:rsidR="00464772">
        <w:rPr>
          <w:rFonts w:cs="Times New Roman"/>
        </w:rPr>
        <w:t>Daarnaast</w:t>
      </w:r>
      <w:r w:rsidRPr="009946B1">
        <w:rPr>
          <w:rFonts w:cs="Times New Roman"/>
        </w:rPr>
        <w:t xml:space="preserve"> bestaa</w:t>
      </w:r>
      <w:r w:rsidR="00CE17A5">
        <w:rPr>
          <w:rFonts w:cs="Times New Roman"/>
        </w:rPr>
        <w:t>n</w:t>
      </w:r>
      <w:r w:rsidRPr="009946B1">
        <w:rPr>
          <w:rFonts w:cs="Times New Roman"/>
        </w:rPr>
        <w:t xml:space="preserve"> er nog andere facetten d</w:t>
      </w:r>
      <w:r w:rsidR="00CE17A5">
        <w:rPr>
          <w:rFonts w:cs="Times New Roman"/>
        </w:rPr>
        <w:t>ie</w:t>
      </w:r>
      <w:r w:rsidRPr="009946B1">
        <w:rPr>
          <w:rFonts w:cs="Times New Roman"/>
        </w:rPr>
        <w:t xml:space="preserve"> een nadere toelichting verdien</w:t>
      </w:r>
      <w:r w:rsidR="00CE17A5">
        <w:rPr>
          <w:rFonts w:cs="Times New Roman"/>
        </w:rPr>
        <w:t>en</w:t>
      </w:r>
      <w:r w:rsidRPr="009946B1">
        <w:rPr>
          <w:rFonts w:cs="Times New Roman"/>
        </w:rPr>
        <w:t xml:space="preserve"> </w:t>
      </w:r>
      <w:r w:rsidR="00E541AC">
        <w:rPr>
          <w:rFonts w:cs="Times New Roman"/>
        </w:rPr>
        <w:t>ter begrip van</w:t>
      </w:r>
      <w:r w:rsidRPr="009946B1">
        <w:rPr>
          <w:rFonts w:cs="Times New Roman"/>
        </w:rPr>
        <w:t xml:space="preserve"> het strafproces van Engeland &amp; Wale</w:t>
      </w:r>
      <w:r w:rsidR="00E541AC">
        <w:rPr>
          <w:rFonts w:cs="Times New Roman"/>
        </w:rPr>
        <w:t>s</w:t>
      </w:r>
      <w:r w:rsidRPr="009946B1">
        <w:rPr>
          <w:rFonts w:cs="Times New Roman"/>
        </w:rPr>
        <w:t xml:space="preserve">. Een van deze facetten ziet op de hoeveelheid verschillende gerechtelijke instanties die Engeland &amp; Wales kent en de relatieve competentie die zij bezitten: in Engeland &amp; Wales worden strafbare feiten in eerste aanleg behandeld door het </w:t>
      </w:r>
      <w:r w:rsidRPr="41859A08">
        <w:rPr>
          <w:rFonts w:cs="Times New Roman"/>
          <w:i/>
          <w:iCs/>
        </w:rPr>
        <w:t>magistrates’ court</w:t>
      </w:r>
      <w:r w:rsidRPr="009946B1">
        <w:rPr>
          <w:rFonts w:cs="Times New Roman"/>
        </w:rPr>
        <w:t xml:space="preserve"> en het </w:t>
      </w:r>
      <w:r w:rsidRPr="41859A08">
        <w:rPr>
          <w:rFonts w:cs="Times New Roman"/>
          <w:i/>
          <w:iCs/>
        </w:rPr>
        <w:t>Crown Court</w:t>
      </w:r>
      <w:r w:rsidRPr="009946B1">
        <w:rPr>
          <w:rFonts w:cs="Times New Roman"/>
        </w:rPr>
        <w:t>. Het is afhankelijk van het type strafbaar feit voor de vraag naar welke instantie dient te worden uitgeweken.</w:t>
      </w:r>
      <w:r w:rsidR="009946B1" w:rsidRPr="009946B1">
        <w:rPr>
          <w:rFonts w:cs="Times New Roman"/>
          <w:vertAlign w:val="superscript"/>
        </w:rPr>
        <w:footnoteReference w:id="107"/>
      </w:r>
      <w:r w:rsidRPr="009946B1">
        <w:rPr>
          <w:rFonts w:cs="Times New Roman"/>
        </w:rPr>
        <w:t xml:space="preserve"> Daarnaast dient het Crown Court als appelrechter voor zaken uit het magistrates’ court.</w:t>
      </w:r>
      <w:r w:rsidR="009946B1" w:rsidRPr="009946B1">
        <w:rPr>
          <w:rFonts w:cs="Times New Roman"/>
          <w:vertAlign w:val="superscript"/>
        </w:rPr>
        <w:footnoteReference w:id="108"/>
      </w:r>
      <w:r w:rsidRPr="009946B1">
        <w:rPr>
          <w:rFonts w:cs="Times New Roman"/>
        </w:rPr>
        <w:t xml:space="preserve"> Een trede hoger in de strafrechtspraak bevindt zich de </w:t>
      </w:r>
      <w:r w:rsidRPr="41859A08">
        <w:rPr>
          <w:rFonts w:cs="Times New Roman"/>
          <w:i/>
          <w:iCs/>
        </w:rPr>
        <w:t>King’s Bench Division</w:t>
      </w:r>
      <w:r w:rsidRPr="009946B1">
        <w:rPr>
          <w:rFonts w:cs="Times New Roman"/>
        </w:rPr>
        <w:t xml:space="preserve"> van het </w:t>
      </w:r>
      <w:r w:rsidRPr="41859A08">
        <w:rPr>
          <w:rFonts w:cs="Times New Roman"/>
          <w:i/>
          <w:iCs/>
        </w:rPr>
        <w:t>High Court of Justice</w:t>
      </w:r>
      <w:r w:rsidRPr="009946B1">
        <w:rPr>
          <w:rFonts w:cs="Times New Roman"/>
        </w:rPr>
        <w:t>.</w:t>
      </w:r>
      <w:r w:rsidR="009946B1" w:rsidRPr="009946B1">
        <w:rPr>
          <w:rFonts w:cs="Times New Roman"/>
          <w:vertAlign w:val="superscript"/>
        </w:rPr>
        <w:footnoteReference w:id="109"/>
      </w:r>
      <w:r w:rsidRPr="009946B1">
        <w:rPr>
          <w:rFonts w:cs="Times New Roman"/>
        </w:rPr>
        <w:t xml:space="preserve"> Rechters van deze afdeling nemen deel aan de belangrijkste zaken in het Crown Court.</w:t>
      </w:r>
      <w:r w:rsidR="009946B1" w:rsidRPr="009946B1">
        <w:rPr>
          <w:rFonts w:cs="Times New Roman"/>
          <w:vertAlign w:val="superscript"/>
        </w:rPr>
        <w:footnoteReference w:id="110"/>
      </w:r>
      <w:r w:rsidRPr="009946B1">
        <w:rPr>
          <w:rFonts w:cs="Times New Roman"/>
        </w:rPr>
        <w:t xml:space="preserve"> Daarnaast kan bij de King’s Bench Division in beroep worden gegaan met betrekking tot specifieke rechtsvragen.</w:t>
      </w:r>
      <w:r w:rsidR="009946B1" w:rsidRPr="009946B1">
        <w:rPr>
          <w:rFonts w:cs="Times New Roman"/>
          <w:vertAlign w:val="superscript"/>
        </w:rPr>
        <w:footnoteReference w:id="111"/>
      </w:r>
      <w:r w:rsidRPr="009946B1">
        <w:rPr>
          <w:rFonts w:cs="Times New Roman"/>
        </w:rPr>
        <w:t xml:space="preserve"> Het hoger beroep van zaken die zich in het Crown Court afspelen, word</w:t>
      </w:r>
      <w:r w:rsidR="00A4294A">
        <w:rPr>
          <w:rFonts w:cs="Times New Roman"/>
        </w:rPr>
        <w:t>t</w:t>
      </w:r>
      <w:r w:rsidRPr="009946B1">
        <w:rPr>
          <w:rFonts w:cs="Times New Roman"/>
        </w:rPr>
        <w:t xml:space="preserve"> behandeld door het </w:t>
      </w:r>
      <w:r w:rsidRPr="41859A08">
        <w:rPr>
          <w:rFonts w:cs="Times New Roman"/>
          <w:i/>
          <w:iCs/>
        </w:rPr>
        <w:t>Court of Appeal</w:t>
      </w:r>
      <w:r w:rsidRPr="009946B1">
        <w:rPr>
          <w:rFonts w:cs="Times New Roman"/>
        </w:rPr>
        <w:t>.</w:t>
      </w:r>
      <w:r w:rsidR="009946B1" w:rsidRPr="009946B1">
        <w:rPr>
          <w:rFonts w:cs="Times New Roman"/>
          <w:vertAlign w:val="superscript"/>
        </w:rPr>
        <w:footnoteReference w:id="112"/>
      </w:r>
      <w:r w:rsidRPr="009946B1">
        <w:rPr>
          <w:rFonts w:cs="Times New Roman"/>
        </w:rPr>
        <w:t xml:space="preserve"> De hoogste rechtsprekende instantie van Engeland &amp; Wales is het </w:t>
      </w:r>
      <w:r w:rsidRPr="41859A08">
        <w:rPr>
          <w:rFonts w:cs="Times New Roman"/>
          <w:i/>
          <w:iCs/>
        </w:rPr>
        <w:t>Supreme Court of the United Kingdom</w:t>
      </w:r>
      <w:r w:rsidRPr="009946B1">
        <w:rPr>
          <w:rFonts w:cs="Times New Roman"/>
        </w:rPr>
        <w:t>, die het hoger beroep behandelt van zaken uit zowel het High Court of Justice als het Court of Appeal.</w:t>
      </w:r>
      <w:r w:rsidR="009946B1" w:rsidRPr="009946B1">
        <w:rPr>
          <w:rFonts w:cs="Times New Roman"/>
          <w:vertAlign w:val="superscript"/>
        </w:rPr>
        <w:footnoteReference w:id="113"/>
      </w:r>
    </w:p>
    <w:p w14:paraId="7A585AD9" w14:textId="77777777" w:rsidR="009946B1" w:rsidRPr="009946B1" w:rsidRDefault="009946B1" w:rsidP="00821865">
      <w:pPr>
        <w:rPr>
          <w:rFonts w:cs="Times New Roman"/>
        </w:rPr>
      </w:pPr>
    </w:p>
    <w:p w14:paraId="2AA2304B" w14:textId="4D5739BF" w:rsidR="009946B1" w:rsidRDefault="1E54B126" w:rsidP="00821865">
      <w:pPr>
        <w:rPr>
          <w:rFonts w:cs="Times New Roman"/>
        </w:rPr>
      </w:pPr>
      <w:r>
        <w:rPr>
          <w:rFonts w:cs="Times New Roman"/>
        </w:rPr>
        <w:t xml:space="preserve">De </w:t>
      </w:r>
      <w:r w:rsidR="7057B6F6">
        <w:rPr>
          <w:rFonts w:cs="Times New Roman"/>
        </w:rPr>
        <w:t>competentie van het magistrates’ court en het Crown Court</w:t>
      </w:r>
      <w:r>
        <w:rPr>
          <w:rFonts w:cs="Times New Roman"/>
        </w:rPr>
        <w:t xml:space="preserve"> is dus afhankelijk van het type strafbaar feit </w:t>
      </w:r>
      <w:r w:rsidR="60460423">
        <w:rPr>
          <w:rFonts w:cs="Times New Roman"/>
        </w:rPr>
        <w:t>dat wordt vervolgd</w:t>
      </w:r>
      <w:r w:rsidR="46371543" w:rsidRPr="009946B1">
        <w:rPr>
          <w:rFonts w:cs="Times New Roman"/>
        </w:rPr>
        <w:t>. Er bestaan</w:t>
      </w:r>
      <w:r w:rsidR="661FEA9D">
        <w:rPr>
          <w:rFonts w:cs="Times New Roman"/>
        </w:rPr>
        <w:t xml:space="preserve"> in Engeland &amp; Wales</w:t>
      </w:r>
      <w:r w:rsidR="46371543" w:rsidRPr="009946B1">
        <w:rPr>
          <w:rFonts w:cs="Times New Roman"/>
        </w:rPr>
        <w:t xml:space="preserve"> een drietal typen strafbare feiten. De </w:t>
      </w:r>
      <w:r w:rsidR="46371543" w:rsidRPr="41859A08">
        <w:rPr>
          <w:rFonts w:cs="Times New Roman"/>
          <w:i/>
          <w:iCs/>
        </w:rPr>
        <w:t>summary offence</w:t>
      </w:r>
      <w:r w:rsidR="46371543" w:rsidRPr="009946B1">
        <w:rPr>
          <w:rFonts w:cs="Times New Roman"/>
        </w:rPr>
        <w:t xml:space="preserve"> behoort tot de minst zware vorm van criminaliteit en neemt een soortgelijke vorm aan als de Nederlandse overtreding. Summary offences kunnen doorgaans </w:t>
      </w:r>
      <w:r w:rsidR="67F0817A">
        <w:rPr>
          <w:rFonts w:cs="Times New Roman"/>
        </w:rPr>
        <w:t>enkel worden behandeld bij het magistrates’ c</w:t>
      </w:r>
      <w:r w:rsidR="46371543" w:rsidRPr="009946B1">
        <w:rPr>
          <w:rFonts w:cs="Times New Roman"/>
        </w:rPr>
        <w:t xml:space="preserve">ourt. De zwaarste vorm van strafbare feiten is de </w:t>
      </w:r>
      <w:r w:rsidR="46371543" w:rsidRPr="41859A08">
        <w:rPr>
          <w:rFonts w:cs="Times New Roman"/>
          <w:i/>
          <w:iCs/>
        </w:rPr>
        <w:t>indictable offence</w:t>
      </w:r>
      <w:r w:rsidR="46371543" w:rsidRPr="009946B1">
        <w:rPr>
          <w:rFonts w:cs="Times New Roman"/>
        </w:rPr>
        <w:t>: deze typen strafbare feiten kunnen enkel behandeld worden middels een trial bij het Crown Court.</w:t>
      </w:r>
      <w:r w:rsidR="009946B1" w:rsidRPr="009946B1">
        <w:rPr>
          <w:rFonts w:cs="Times New Roman"/>
          <w:vertAlign w:val="superscript"/>
        </w:rPr>
        <w:footnoteReference w:id="114"/>
      </w:r>
      <w:r w:rsidR="46371543" w:rsidRPr="009946B1">
        <w:rPr>
          <w:rFonts w:cs="Times New Roman"/>
        </w:rPr>
        <w:t xml:space="preserve"> Een tussenvorm van de</w:t>
      </w:r>
      <w:r w:rsidR="008E716F">
        <w:rPr>
          <w:rFonts w:cs="Times New Roman"/>
        </w:rPr>
        <w:t>ze</w:t>
      </w:r>
      <w:r w:rsidR="46371543" w:rsidRPr="009946B1">
        <w:rPr>
          <w:rFonts w:cs="Times New Roman"/>
        </w:rPr>
        <w:t xml:space="preserve"> strafbare feiten valt te vinden in de zogeheten </w:t>
      </w:r>
      <w:r w:rsidR="46371543" w:rsidRPr="41859A08">
        <w:rPr>
          <w:rFonts w:cs="Times New Roman"/>
          <w:i/>
          <w:iCs/>
        </w:rPr>
        <w:t>either way offence</w:t>
      </w:r>
      <w:r w:rsidR="46371543" w:rsidRPr="009946B1">
        <w:rPr>
          <w:rFonts w:cs="Times New Roman"/>
        </w:rPr>
        <w:t>, waarvoor zowel in het magistrates’ court als het Crown Court kan worden geprocedeerd.</w:t>
      </w:r>
      <w:r w:rsidR="009946B1" w:rsidRPr="009946B1">
        <w:rPr>
          <w:rFonts w:cs="Times New Roman"/>
          <w:vertAlign w:val="superscript"/>
        </w:rPr>
        <w:footnoteReference w:id="115"/>
      </w:r>
      <w:r w:rsidR="46371543" w:rsidRPr="009946B1">
        <w:rPr>
          <w:rFonts w:cs="Times New Roman"/>
        </w:rPr>
        <w:t xml:space="preserve"> Een dergelijke vorm valt in Nederland niet terug te vinden, nu daar ook geen verschillende rechtbanken bestaan voor de </w:t>
      </w:r>
      <w:r w:rsidR="46371543" w:rsidRPr="009946B1">
        <w:rPr>
          <w:rFonts w:cs="Times New Roman"/>
        </w:rPr>
        <w:lastRenderedPageBreak/>
        <w:t xml:space="preserve">behandeling van strafbare feiten. Voorbeelden van </w:t>
      </w:r>
      <w:r w:rsidR="46371543" w:rsidRPr="41859A08">
        <w:rPr>
          <w:rFonts w:cs="Times New Roman"/>
          <w:i/>
          <w:iCs/>
        </w:rPr>
        <w:t>either way offences</w:t>
      </w:r>
      <w:r w:rsidR="46371543" w:rsidRPr="009946B1">
        <w:rPr>
          <w:rFonts w:cs="Times New Roman"/>
        </w:rPr>
        <w:t xml:space="preserve"> zijn diefstal, fraude en mishandeling.</w:t>
      </w:r>
      <w:r w:rsidR="009946B1" w:rsidRPr="009946B1">
        <w:rPr>
          <w:rFonts w:cs="Times New Roman"/>
          <w:vertAlign w:val="superscript"/>
        </w:rPr>
        <w:footnoteReference w:id="116"/>
      </w:r>
    </w:p>
    <w:p w14:paraId="4D2D776D" w14:textId="77777777" w:rsidR="00ED6986" w:rsidRPr="009946B1" w:rsidRDefault="00ED6986" w:rsidP="00821865">
      <w:pPr>
        <w:rPr>
          <w:rFonts w:cs="Times New Roman"/>
        </w:rPr>
      </w:pPr>
    </w:p>
    <w:p w14:paraId="2B2371A8" w14:textId="5F51C3EA" w:rsidR="009946B1" w:rsidRPr="009946B1" w:rsidRDefault="46371543" w:rsidP="00821865">
      <w:pPr>
        <w:rPr>
          <w:rFonts w:cs="Times New Roman"/>
        </w:rPr>
      </w:pPr>
      <w:r w:rsidRPr="009946B1">
        <w:rPr>
          <w:rFonts w:cs="Times New Roman"/>
        </w:rPr>
        <w:t xml:space="preserve">Daarnaast </w:t>
      </w:r>
      <w:r w:rsidR="732FDFA9">
        <w:rPr>
          <w:rFonts w:cs="Times New Roman"/>
        </w:rPr>
        <w:t xml:space="preserve">verdient </w:t>
      </w:r>
      <w:r w:rsidRPr="009946B1">
        <w:rPr>
          <w:rFonts w:cs="Times New Roman"/>
        </w:rPr>
        <w:t xml:space="preserve">het aanbrengen van </w:t>
      </w:r>
      <w:r w:rsidR="006C1B16">
        <w:rPr>
          <w:rFonts w:cs="Times New Roman"/>
        </w:rPr>
        <w:t xml:space="preserve">een </w:t>
      </w:r>
      <w:r w:rsidRPr="009946B1">
        <w:rPr>
          <w:rFonts w:cs="Times New Roman"/>
        </w:rPr>
        <w:t>straf</w:t>
      </w:r>
      <w:r w:rsidR="00292963">
        <w:rPr>
          <w:rFonts w:cs="Times New Roman"/>
        </w:rPr>
        <w:t xml:space="preserve">vervolging </w:t>
      </w:r>
      <w:r w:rsidR="732FDFA9">
        <w:rPr>
          <w:rFonts w:cs="Times New Roman"/>
        </w:rPr>
        <w:t>enige opmerking.</w:t>
      </w:r>
      <w:r w:rsidRPr="009946B1">
        <w:rPr>
          <w:rFonts w:cs="Times New Roman"/>
        </w:rPr>
        <w:t xml:space="preserve"> </w:t>
      </w:r>
      <w:r w:rsidR="732FDFA9">
        <w:rPr>
          <w:rFonts w:cs="Times New Roman"/>
        </w:rPr>
        <w:t>I</w:t>
      </w:r>
      <w:r w:rsidRPr="009946B1">
        <w:rPr>
          <w:rFonts w:cs="Times New Roman"/>
        </w:rPr>
        <w:t>n Engeland &amp; Wales</w:t>
      </w:r>
      <w:r w:rsidR="732FDFA9">
        <w:rPr>
          <w:rFonts w:cs="Times New Roman"/>
        </w:rPr>
        <w:t xml:space="preserve"> hoeft dit immers</w:t>
      </w:r>
      <w:r w:rsidRPr="009946B1">
        <w:rPr>
          <w:rFonts w:cs="Times New Roman"/>
        </w:rPr>
        <w:t xml:space="preserve"> niet door één centrale instantie dient te geschieden: sterker nog, tot 1986 kenden Engeland &amp; Wales geen instantie die zich richtte op het vervolgen van strafbare feiten. Tot op dat moment lag de taak tot het aanbrengen van </w:t>
      </w:r>
      <w:r w:rsidR="006C1B16">
        <w:rPr>
          <w:rFonts w:cs="Times New Roman"/>
        </w:rPr>
        <w:t xml:space="preserve">een </w:t>
      </w:r>
      <w:r w:rsidRPr="009946B1">
        <w:rPr>
          <w:rFonts w:cs="Times New Roman"/>
        </w:rPr>
        <w:t>straf</w:t>
      </w:r>
      <w:r w:rsidR="00B34A90">
        <w:rPr>
          <w:rFonts w:cs="Times New Roman"/>
        </w:rPr>
        <w:t>vervolging</w:t>
      </w:r>
      <w:r w:rsidRPr="009946B1">
        <w:rPr>
          <w:rFonts w:cs="Times New Roman"/>
        </w:rPr>
        <w:t xml:space="preserve"> bij de politie. Sedert 1986 </w:t>
      </w:r>
      <w:r w:rsidR="00AF3F60">
        <w:rPr>
          <w:rFonts w:cs="Times New Roman"/>
        </w:rPr>
        <w:t xml:space="preserve">vindt </w:t>
      </w:r>
      <w:r w:rsidRPr="009946B1">
        <w:rPr>
          <w:rFonts w:cs="Times New Roman"/>
        </w:rPr>
        <w:t xml:space="preserve">het gros van de vervolgingen </w:t>
      </w:r>
      <w:r w:rsidR="00AF3F60">
        <w:rPr>
          <w:rFonts w:cs="Times New Roman"/>
        </w:rPr>
        <w:t xml:space="preserve">plaats </w:t>
      </w:r>
      <w:r w:rsidRPr="009946B1">
        <w:rPr>
          <w:rFonts w:cs="Times New Roman"/>
        </w:rPr>
        <w:t xml:space="preserve">door de </w:t>
      </w:r>
      <w:r w:rsidRPr="41859A08">
        <w:rPr>
          <w:rFonts w:cs="Times New Roman"/>
          <w:i/>
          <w:iCs/>
        </w:rPr>
        <w:t xml:space="preserve">Crown Prosecution Service </w:t>
      </w:r>
      <w:r w:rsidRPr="009946B1">
        <w:rPr>
          <w:rFonts w:cs="Times New Roman"/>
        </w:rPr>
        <w:t xml:space="preserve">(hierna: CPS). In tegenstelling tot Nederland kent de CPS geen officieren van justitie: in de rechtszaal wordt de CPS vertegenwoordigd door een advocaat (een zogeheten </w:t>
      </w:r>
      <w:r w:rsidRPr="41859A08">
        <w:rPr>
          <w:rFonts w:cs="Times New Roman"/>
          <w:i/>
          <w:iCs/>
        </w:rPr>
        <w:t>prosecution solicitor/barrister</w:t>
      </w:r>
      <w:r w:rsidRPr="009946B1">
        <w:rPr>
          <w:rFonts w:cs="Times New Roman"/>
        </w:rPr>
        <w:t>).</w:t>
      </w:r>
      <w:r w:rsidR="009946B1" w:rsidRPr="009946B1">
        <w:rPr>
          <w:rFonts w:cs="Times New Roman"/>
          <w:vertAlign w:val="superscript"/>
        </w:rPr>
        <w:footnoteReference w:id="117"/>
      </w:r>
      <w:r w:rsidRPr="009946B1">
        <w:rPr>
          <w:rFonts w:cs="Times New Roman"/>
        </w:rPr>
        <w:t xml:space="preserve"> Om voor deze scriptie de overzichtelijkheid te bewaren, zal </w:t>
      </w:r>
      <w:r w:rsidR="003C1282">
        <w:rPr>
          <w:rFonts w:cs="Times New Roman"/>
        </w:rPr>
        <w:t xml:space="preserve">in plaats van de CPS </w:t>
      </w:r>
      <w:r w:rsidRPr="009946B1">
        <w:rPr>
          <w:rFonts w:cs="Times New Roman"/>
        </w:rPr>
        <w:t xml:space="preserve">worden gesproken van de </w:t>
      </w:r>
      <w:r w:rsidRPr="41859A08">
        <w:rPr>
          <w:rFonts w:cs="Times New Roman"/>
          <w:i/>
          <w:iCs/>
        </w:rPr>
        <w:t>prosecutor</w:t>
      </w:r>
      <w:r w:rsidRPr="009946B1">
        <w:rPr>
          <w:rFonts w:cs="Times New Roman"/>
        </w:rPr>
        <w:t>.</w:t>
      </w:r>
      <w:r w:rsidR="009946B1" w:rsidRPr="009946B1">
        <w:rPr>
          <w:rFonts w:cs="Times New Roman"/>
          <w:vertAlign w:val="superscript"/>
        </w:rPr>
        <w:footnoteReference w:id="118"/>
      </w:r>
      <w:r w:rsidRPr="009946B1">
        <w:rPr>
          <w:rFonts w:cs="Times New Roman"/>
        </w:rPr>
        <w:t xml:space="preserve"> Daarnaast draagt de CPS geen verantwoordelijkheid voor het opsporingsonderzoek: dat wordt geheel verzorgd en overzien door de politie. </w:t>
      </w:r>
      <w:r w:rsidR="00962A49">
        <w:rPr>
          <w:rFonts w:cs="Times New Roman"/>
        </w:rPr>
        <w:t>De</w:t>
      </w:r>
      <w:r w:rsidRPr="009946B1">
        <w:rPr>
          <w:rFonts w:cs="Times New Roman"/>
        </w:rPr>
        <w:t xml:space="preserve"> vervolgingsbeslissing w</w:t>
      </w:r>
      <w:r w:rsidR="00962A49">
        <w:rPr>
          <w:rFonts w:cs="Times New Roman"/>
        </w:rPr>
        <w:t>ordt</w:t>
      </w:r>
      <w:r w:rsidR="00BD6812">
        <w:rPr>
          <w:rFonts w:cs="Times New Roman"/>
        </w:rPr>
        <w:t xml:space="preserve"> daarentegen</w:t>
      </w:r>
      <w:r w:rsidR="00962A49">
        <w:rPr>
          <w:rFonts w:cs="Times New Roman"/>
        </w:rPr>
        <w:t xml:space="preserve"> wel genomen door</w:t>
      </w:r>
      <w:r w:rsidRPr="009946B1">
        <w:rPr>
          <w:rFonts w:cs="Times New Roman"/>
        </w:rPr>
        <w:t xml:space="preserve"> de prosecutor.</w:t>
      </w:r>
      <w:r w:rsidR="009946B1" w:rsidRPr="009946B1">
        <w:rPr>
          <w:rFonts w:cs="Times New Roman"/>
          <w:vertAlign w:val="superscript"/>
        </w:rPr>
        <w:footnoteReference w:id="119"/>
      </w:r>
      <w:r w:rsidRPr="009946B1">
        <w:rPr>
          <w:rFonts w:cs="Times New Roman"/>
        </w:rPr>
        <w:t xml:space="preserve"> Verder is het ook mogelijk dat andere instanties vervolgen en</w:t>
      </w:r>
      <w:r w:rsidR="72A05425">
        <w:rPr>
          <w:rFonts w:cs="Times New Roman"/>
        </w:rPr>
        <w:t xml:space="preserve"> het</w:t>
      </w:r>
      <w:r w:rsidRPr="009946B1">
        <w:rPr>
          <w:rFonts w:cs="Times New Roman"/>
        </w:rPr>
        <w:t xml:space="preserve"> gebeurt zelfs dat private partijen een vervolging kunnen aanbrengen.</w:t>
      </w:r>
      <w:r w:rsidR="009946B1" w:rsidRPr="009946B1">
        <w:rPr>
          <w:rFonts w:cs="Times New Roman"/>
          <w:vertAlign w:val="superscript"/>
        </w:rPr>
        <w:footnoteReference w:id="120"/>
      </w:r>
      <w:r w:rsidRPr="009946B1">
        <w:rPr>
          <w:rFonts w:cs="Times New Roman"/>
        </w:rPr>
        <w:t xml:space="preserve"> In de regel worden de meeste vervolgingen echter door de CPS uitgevoerd, en </w:t>
      </w:r>
      <w:r w:rsidR="2E91088B">
        <w:rPr>
          <w:rFonts w:cs="Times New Roman"/>
        </w:rPr>
        <w:t xml:space="preserve">er </w:t>
      </w:r>
      <w:r w:rsidRPr="009946B1">
        <w:rPr>
          <w:rFonts w:cs="Times New Roman"/>
        </w:rPr>
        <w:t xml:space="preserve">zal voor deze scriptie dan ook van de CPS als vervolgende instantie worden uitgegaan. </w:t>
      </w:r>
    </w:p>
    <w:p w14:paraId="09CC0DA8" w14:textId="77777777" w:rsidR="009946B1" w:rsidRPr="009946B1" w:rsidRDefault="009946B1" w:rsidP="00821865">
      <w:pPr>
        <w:rPr>
          <w:rFonts w:cs="Times New Roman"/>
          <w:b/>
          <w:bCs/>
        </w:rPr>
      </w:pPr>
    </w:p>
    <w:p w14:paraId="625984F0" w14:textId="1A9F9E5E" w:rsidR="00EA7EF3" w:rsidRPr="00EA7EF3" w:rsidRDefault="0ED087FD" w:rsidP="00EA7EF3">
      <w:pPr>
        <w:rPr>
          <w:rFonts w:eastAsia="Calibri" w:cs="Times New Roman"/>
        </w:rPr>
      </w:pPr>
      <w:r w:rsidRPr="00EA7EF3">
        <w:rPr>
          <w:rFonts w:eastAsia="Calibri" w:cs="Times New Roman"/>
        </w:rPr>
        <w:t xml:space="preserve">Als laatste verdient het EVRM en de werking daarvan binnen Engeland &amp; Wales nog een algemene bespreking. Het Verenigd Koninkrijk is immers lid van de Raad van Europa en daarmee aangesloten bij het verdrag. Op basis van het </w:t>
      </w:r>
      <w:r w:rsidR="0972372B" w:rsidRPr="41859A08">
        <w:rPr>
          <w:rFonts w:eastAsia="Calibri" w:cs="Times New Roman"/>
          <w:i/>
          <w:iCs/>
        </w:rPr>
        <w:t>common law</w:t>
      </w:r>
      <w:r w:rsidRPr="00EA7EF3">
        <w:rPr>
          <w:rFonts w:eastAsia="Calibri" w:cs="Times New Roman"/>
        </w:rPr>
        <w:t>-stelsel van Engeland &amp; Wales is het echter niet mogelijk dat het EVRM rechtstreeks toepasbaar wordt verklaard.</w:t>
      </w:r>
      <w:r w:rsidR="00EA7EF3" w:rsidRPr="00EA7EF3">
        <w:rPr>
          <w:rFonts w:eastAsia="Calibri" w:cs="Times New Roman"/>
          <w:vertAlign w:val="superscript"/>
        </w:rPr>
        <w:footnoteReference w:id="121"/>
      </w:r>
      <w:r w:rsidRPr="00EA7EF3">
        <w:rPr>
          <w:rFonts w:eastAsia="Calibri" w:cs="Times New Roman"/>
        </w:rPr>
        <w:t xml:space="preserve"> Daarom heeft de wetgever in 1998 de Human Rights Act (hierna: HRA) ingevoerd: daarin wordt onder meer bepaald dat een aantal rechten uit het EVRM en de jurisprudentie van het EHRM met betrekking tot die rechten van toepassing zijn binnen Engeland &amp; Wales.</w:t>
      </w:r>
      <w:r w:rsidR="00EA7EF3" w:rsidRPr="00EA7EF3">
        <w:rPr>
          <w:rFonts w:eastAsia="Calibri" w:cs="Times New Roman"/>
          <w:vertAlign w:val="superscript"/>
        </w:rPr>
        <w:footnoteReference w:id="122"/>
      </w:r>
      <w:r w:rsidRPr="00EA7EF3">
        <w:rPr>
          <w:rFonts w:eastAsia="Calibri" w:cs="Times New Roman"/>
        </w:rPr>
        <w:t xml:space="preserve"> Hoewel het systeem van de HRA anders is ingestoken dan de wijze waarop het EVRM doorwerkt in het Nederlandse recht, heeft dit voor de rechtsbescherming van de verdachte geen gevolgen</w:t>
      </w:r>
      <w:r>
        <w:rPr>
          <w:rFonts w:eastAsia="Calibri" w:cs="Times New Roman"/>
        </w:rPr>
        <w:t>.</w:t>
      </w:r>
      <w:r w:rsidRPr="00EA7EF3">
        <w:rPr>
          <w:rFonts w:eastAsia="Calibri" w:cs="Times New Roman"/>
        </w:rPr>
        <w:t xml:space="preserve"> Een verdere bespreking van de jurisprudentie van het EHRM omtrent de toegang tot datasets wordt in dit hoofdstuk achterwege gelaten, nu dit reeds in paragraaf 2.4 ter sprake is gekomen.</w:t>
      </w:r>
      <w:r w:rsidR="58342153">
        <w:rPr>
          <w:rFonts w:eastAsia="Calibri" w:cs="Times New Roman"/>
        </w:rPr>
        <w:t xml:space="preserve"> </w:t>
      </w:r>
      <w:r w:rsidR="00F105F1">
        <w:rPr>
          <w:rFonts w:eastAsia="Calibri" w:cs="Times New Roman"/>
        </w:rPr>
        <w:t>Deze jurisprudentie heeft echter</w:t>
      </w:r>
      <w:r w:rsidRPr="00EA7EF3">
        <w:rPr>
          <w:rFonts w:eastAsia="Calibri" w:cs="Times New Roman"/>
        </w:rPr>
        <w:t xml:space="preserve"> wel geldende werking binnen het straf(proces)recht van Engeland &amp; Wales.</w:t>
      </w:r>
    </w:p>
    <w:p w14:paraId="5498BF89" w14:textId="77777777" w:rsidR="009D1D3F" w:rsidRPr="009946B1" w:rsidRDefault="009D1D3F" w:rsidP="00821865">
      <w:pPr>
        <w:rPr>
          <w:rFonts w:cs="Times New Roman"/>
        </w:rPr>
      </w:pPr>
    </w:p>
    <w:p w14:paraId="0C66756F" w14:textId="77777777" w:rsidR="00C835BE" w:rsidRPr="00C835BE" w:rsidRDefault="00C835BE" w:rsidP="00C835BE">
      <w:pPr>
        <w:tabs>
          <w:tab w:val="left" w:pos="2250"/>
        </w:tabs>
        <w:rPr>
          <w:rFonts w:eastAsia="Calibri" w:cs="Times New Roman"/>
          <w:b/>
          <w:bCs/>
        </w:rPr>
      </w:pPr>
      <w:r w:rsidRPr="00C835BE">
        <w:rPr>
          <w:rFonts w:eastAsia="Calibri" w:cs="Times New Roman"/>
          <w:b/>
          <w:bCs/>
        </w:rPr>
        <w:lastRenderedPageBreak/>
        <w:t>3.3   Disclosure</w:t>
      </w:r>
      <w:r w:rsidRPr="00C835BE">
        <w:rPr>
          <w:rFonts w:eastAsia="Calibri" w:cs="Times New Roman"/>
          <w:b/>
          <w:bCs/>
        </w:rPr>
        <w:tab/>
      </w:r>
    </w:p>
    <w:p w14:paraId="51B3E70F" w14:textId="3990245A" w:rsidR="00C835BE" w:rsidRPr="00C835BE" w:rsidRDefault="11CB81CA" w:rsidP="00C835BE">
      <w:pPr>
        <w:rPr>
          <w:rFonts w:eastAsia="Calibri" w:cs="Times New Roman"/>
        </w:rPr>
      </w:pPr>
      <w:r w:rsidRPr="00C835BE">
        <w:rPr>
          <w:rFonts w:eastAsia="Calibri" w:cs="Times New Roman"/>
        </w:rPr>
        <w:t>De verdediging is zelf verantwoordelijk om bewijs te verzamelen dat zijn standpunt ondersteunt. Desalniettemin kan hij het bewijs niet op dezelfde voet vergaren als de justitiële actoren: deze kunnen immers gebruikmaken van diverse opsporingsbevoegdheden</w:t>
      </w:r>
      <w:r w:rsidR="00B54557">
        <w:rPr>
          <w:rFonts w:eastAsia="Calibri" w:cs="Times New Roman"/>
        </w:rPr>
        <w:t>.</w:t>
      </w:r>
      <w:r w:rsidRPr="00C835BE">
        <w:rPr>
          <w:rFonts w:eastAsia="Calibri" w:cs="Times New Roman"/>
        </w:rPr>
        <w:t xml:space="preserve"> Het is dus goed denkbaar dat de prosecutor in een strafzaak over bewijsmateriaal beschikt dat de verdediging niet heeft. Daarom kennen</w:t>
      </w:r>
      <w:r w:rsidR="009166CE">
        <w:rPr>
          <w:rFonts w:eastAsia="Calibri" w:cs="Times New Roman"/>
        </w:rPr>
        <w:t xml:space="preserve"> ook</w:t>
      </w:r>
      <w:r w:rsidRPr="00C835BE">
        <w:rPr>
          <w:rFonts w:eastAsia="Calibri" w:cs="Times New Roman"/>
        </w:rPr>
        <w:t xml:space="preserve"> Engeland &amp; Wales een rechtsfiguur dat het voor de verdediging mogelijk maakt om </w:t>
      </w:r>
      <w:r w:rsidR="002433B8">
        <w:rPr>
          <w:rFonts w:eastAsia="Calibri" w:cs="Times New Roman"/>
        </w:rPr>
        <w:t>toegang</w:t>
      </w:r>
      <w:r w:rsidRPr="00C835BE">
        <w:rPr>
          <w:rFonts w:eastAsia="Calibri" w:cs="Times New Roman"/>
        </w:rPr>
        <w:t xml:space="preserve"> te krijgen </w:t>
      </w:r>
      <w:r w:rsidR="002433B8">
        <w:rPr>
          <w:rFonts w:eastAsia="Calibri" w:cs="Times New Roman"/>
        </w:rPr>
        <w:t>tot</w:t>
      </w:r>
      <w:r w:rsidRPr="00C835BE">
        <w:rPr>
          <w:rFonts w:eastAsia="Calibri" w:cs="Times New Roman"/>
        </w:rPr>
        <w:t xml:space="preserve"> het bewijsmateriaal dat de prosecutor heeft verzameld, hetgeen wordt aangeduid als </w:t>
      </w:r>
      <w:r w:rsidRPr="41859A08">
        <w:rPr>
          <w:rFonts w:eastAsia="Calibri" w:cs="Times New Roman"/>
          <w:i/>
          <w:iCs/>
        </w:rPr>
        <w:t>disclosure</w:t>
      </w:r>
      <w:r w:rsidRPr="00C835BE">
        <w:rPr>
          <w:rFonts w:eastAsia="Calibri" w:cs="Times New Roman"/>
        </w:rPr>
        <w:t>.</w:t>
      </w:r>
      <w:r w:rsidR="00C835BE" w:rsidRPr="00C835BE">
        <w:rPr>
          <w:rFonts w:eastAsia="Calibri" w:cs="Times New Roman"/>
          <w:vertAlign w:val="superscript"/>
        </w:rPr>
        <w:footnoteReference w:id="123"/>
      </w:r>
      <w:r w:rsidRPr="00C835BE">
        <w:rPr>
          <w:rFonts w:eastAsia="Calibri" w:cs="Times New Roman"/>
        </w:rPr>
        <w:t xml:space="preserve"> De verplichting tot </w:t>
      </w:r>
      <w:r w:rsidRPr="41859A08">
        <w:rPr>
          <w:rFonts w:eastAsia="Calibri" w:cs="Times New Roman"/>
          <w:i/>
          <w:iCs/>
        </w:rPr>
        <w:t>disclosure</w:t>
      </w:r>
      <w:r w:rsidRPr="00C835BE">
        <w:rPr>
          <w:rFonts w:eastAsia="Calibri" w:cs="Times New Roman"/>
        </w:rPr>
        <w:t xml:space="preserve"> heeft als doel om compensatie te bieden voor de procedurele ongelijkheid van de verdediging.</w:t>
      </w:r>
      <w:r w:rsidR="00C835BE" w:rsidRPr="00C835BE">
        <w:rPr>
          <w:rFonts w:eastAsia="Calibri" w:cs="Times New Roman"/>
          <w:vertAlign w:val="superscript"/>
        </w:rPr>
        <w:footnoteReference w:id="124"/>
      </w:r>
      <w:r w:rsidRPr="00C835BE">
        <w:rPr>
          <w:rFonts w:eastAsia="Calibri" w:cs="Times New Roman"/>
        </w:rPr>
        <w:t xml:space="preserve"> Er bestaan drie vormen van </w:t>
      </w:r>
      <w:r w:rsidRPr="41859A08">
        <w:rPr>
          <w:rFonts w:eastAsia="Calibri" w:cs="Times New Roman"/>
          <w:i/>
          <w:iCs/>
        </w:rPr>
        <w:t>disclosure</w:t>
      </w:r>
      <w:r w:rsidRPr="00C835BE">
        <w:rPr>
          <w:rFonts w:eastAsia="Calibri" w:cs="Times New Roman"/>
        </w:rPr>
        <w:t xml:space="preserve"> waarbij de prosecutor bewijsmateriaal verstrekt aan de verdediging: (1) de toezending van het belastend bewijsmateriaal dat tegen de verdachte wordt gebruikt (</w:t>
      </w:r>
      <w:r w:rsidRPr="41859A08">
        <w:rPr>
          <w:rFonts w:eastAsia="Calibri" w:cs="Times New Roman"/>
          <w:i/>
          <w:iCs/>
        </w:rPr>
        <w:t xml:space="preserve">disclosure </w:t>
      </w:r>
      <w:r w:rsidRPr="00C835BE">
        <w:rPr>
          <w:rFonts w:eastAsia="Calibri" w:cs="Times New Roman"/>
        </w:rPr>
        <w:t>van de</w:t>
      </w:r>
      <w:r w:rsidRPr="41859A08">
        <w:rPr>
          <w:rFonts w:eastAsia="Calibri" w:cs="Times New Roman"/>
          <w:i/>
          <w:iCs/>
        </w:rPr>
        <w:t xml:space="preserve"> prosecution case</w:t>
      </w:r>
      <w:r w:rsidRPr="00C835BE">
        <w:rPr>
          <w:rFonts w:eastAsia="Calibri" w:cs="Times New Roman"/>
        </w:rPr>
        <w:t>), (2) de toezending van ongebruikt bewijsmateriaal dat relevant is voor de verdediging (</w:t>
      </w:r>
      <w:r w:rsidRPr="41859A08">
        <w:rPr>
          <w:rFonts w:eastAsia="Calibri" w:cs="Times New Roman"/>
          <w:i/>
          <w:iCs/>
        </w:rPr>
        <w:t>statutory disclosure</w:t>
      </w:r>
      <w:r w:rsidRPr="00C835BE">
        <w:rPr>
          <w:rFonts w:eastAsia="Calibri" w:cs="Times New Roman"/>
        </w:rPr>
        <w:t>) en (3) de toezending van bewijsmateriaal dat redelijke twijfel zaait over de veroordeling van de verdachte (</w:t>
      </w:r>
      <w:r w:rsidRPr="41859A08">
        <w:rPr>
          <w:rFonts w:eastAsia="Calibri" w:cs="Times New Roman"/>
          <w:i/>
          <w:iCs/>
        </w:rPr>
        <w:t>post-conviction disclosure</w:t>
      </w:r>
      <w:r w:rsidRPr="00C835BE">
        <w:rPr>
          <w:rFonts w:eastAsia="Calibri" w:cs="Times New Roman"/>
        </w:rPr>
        <w:t xml:space="preserve">). In deze scriptie worden slechts de </w:t>
      </w:r>
      <w:r w:rsidRPr="41859A08">
        <w:rPr>
          <w:rFonts w:eastAsia="Calibri" w:cs="Times New Roman"/>
          <w:i/>
          <w:iCs/>
        </w:rPr>
        <w:t>disclosure</w:t>
      </w:r>
      <w:r w:rsidRPr="00C835BE">
        <w:rPr>
          <w:rFonts w:eastAsia="Calibri" w:cs="Times New Roman"/>
        </w:rPr>
        <w:t xml:space="preserve"> van de </w:t>
      </w:r>
      <w:r w:rsidRPr="41859A08">
        <w:rPr>
          <w:rFonts w:eastAsia="Calibri" w:cs="Times New Roman"/>
          <w:i/>
          <w:iCs/>
        </w:rPr>
        <w:t>prosecution case</w:t>
      </w:r>
      <w:r w:rsidRPr="00C835BE">
        <w:rPr>
          <w:rFonts w:eastAsia="Calibri" w:cs="Times New Roman"/>
        </w:rPr>
        <w:t xml:space="preserve"> en de </w:t>
      </w:r>
      <w:r w:rsidRPr="41859A08">
        <w:rPr>
          <w:rFonts w:eastAsia="Calibri" w:cs="Times New Roman"/>
          <w:i/>
          <w:iCs/>
        </w:rPr>
        <w:t>statutory disclosure</w:t>
      </w:r>
      <w:r w:rsidRPr="00C835BE">
        <w:rPr>
          <w:rFonts w:eastAsia="Calibri" w:cs="Times New Roman"/>
        </w:rPr>
        <w:t xml:space="preserve"> besproken. Een bespreking van </w:t>
      </w:r>
      <w:r w:rsidRPr="41859A08">
        <w:rPr>
          <w:rFonts w:eastAsia="Calibri" w:cs="Times New Roman"/>
          <w:i/>
          <w:iCs/>
        </w:rPr>
        <w:t>post-conviction disclosure</w:t>
      </w:r>
      <w:r w:rsidRPr="00C835BE">
        <w:rPr>
          <w:rFonts w:eastAsia="Calibri" w:cs="Times New Roman"/>
        </w:rPr>
        <w:t xml:space="preserve"> voert te ver en is wegens de aard van het rechtsfiguur niet relevant voor het beantwoorden van de onderzoeksvraag. </w:t>
      </w:r>
    </w:p>
    <w:p w14:paraId="7DB40C14" w14:textId="77777777" w:rsidR="00C835BE" w:rsidRPr="00C835BE" w:rsidRDefault="00C835BE" w:rsidP="00C835BE">
      <w:pPr>
        <w:rPr>
          <w:rFonts w:eastAsia="Calibri" w:cs="Times New Roman"/>
        </w:rPr>
      </w:pPr>
    </w:p>
    <w:p w14:paraId="7F404F1A" w14:textId="5F67F310" w:rsidR="00C835BE" w:rsidRPr="00C835BE" w:rsidRDefault="11CB81CA" w:rsidP="00C835BE">
      <w:pPr>
        <w:rPr>
          <w:rFonts w:eastAsia="Calibri" w:cs="Times New Roman"/>
        </w:rPr>
      </w:pPr>
      <w:r w:rsidRPr="00C835BE">
        <w:rPr>
          <w:rFonts w:eastAsia="Calibri" w:cs="Times New Roman"/>
        </w:rPr>
        <w:t xml:space="preserve">De regelingen van zowel de </w:t>
      </w:r>
      <w:r w:rsidRPr="41859A08">
        <w:rPr>
          <w:rFonts w:eastAsia="Calibri" w:cs="Times New Roman"/>
          <w:i/>
          <w:iCs/>
        </w:rPr>
        <w:t xml:space="preserve">disclosure </w:t>
      </w:r>
      <w:r w:rsidRPr="00C835BE">
        <w:rPr>
          <w:rFonts w:eastAsia="Calibri" w:cs="Times New Roman"/>
        </w:rPr>
        <w:t xml:space="preserve">van de </w:t>
      </w:r>
      <w:r w:rsidRPr="41859A08">
        <w:rPr>
          <w:rFonts w:eastAsia="Calibri" w:cs="Times New Roman"/>
          <w:i/>
          <w:iCs/>
        </w:rPr>
        <w:t>prosecution case</w:t>
      </w:r>
      <w:r w:rsidRPr="00C835BE">
        <w:rPr>
          <w:rFonts w:eastAsia="Calibri" w:cs="Times New Roman"/>
        </w:rPr>
        <w:t xml:space="preserve"> als </w:t>
      </w:r>
      <w:r w:rsidRPr="41859A08">
        <w:rPr>
          <w:rFonts w:eastAsia="Calibri" w:cs="Times New Roman"/>
          <w:i/>
          <w:iCs/>
        </w:rPr>
        <w:t>statutory disclosure</w:t>
      </w:r>
      <w:r w:rsidRPr="00C835BE">
        <w:rPr>
          <w:rFonts w:eastAsia="Calibri" w:cs="Times New Roman"/>
        </w:rPr>
        <w:t xml:space="preserve"> zijn uitgebreid en vervat in meerdere (rechts)bronnen. De </w:t>
      </w:r>
      <w:r w:rsidRPr="41859A08">
        <w:rPr>
          <w:rFonts w:eastAsia="Calibri" w:cs="Times New Roman"/>
          <w:i/>
          <w:iCs/>
        </w:rPr>
        <w:t xml:space="preserve">disclosure </w:t>
      </w:r>
      <w:r w:rsidRPr="00C835BE">
        <w:rPr>
          <w:rFonts w:eastAsia="Calibri" w:cs="Times New Roman"/>
        </w:rPr>
        <w:t xml:space="preserve">van de </w:t>
      </w:r>
      <w:r w:rsidRPr="41859A08">
        <w:rPr>
          <w:rFonts w:eastAsia="Calibri" w:cs="Times New Roman"/>
          <w:i/>
          <w:iCs/>
        </w:rPr>
        <w:t>prosecution case</w:t>
      </w:r>
      <w:r w:rsidRPr="00C835BE">
        <w:rPr>
          <w:rFonts w:eastAsia="Calibri" w:cs="Times New Roman"/>
        </w:rPr>
        <w:t xml:space="preserve"> vindt zijn grondslag in de wet en in nationale en Europese jurisprudentie. De regeling van </w:t>
      </w:r>
      <w:r w:rsidRPr="41859A08">
        <w:rPr>
          <w:rFonts w:eastAsia="Calibri" w:cs="Times New Roman"/>
          <w:i/>
          <w:iCs/>
        </w:rPr>
        <w:t>statutory disclosure</w:t>
      </w:r>
      <w:r w:rsidRPr="00C835BE">
        <w:rPr>
          <w:rFonts w:eastAsia="Calibri" w:cs="Times New Roman"/>
        </w:rPr>
        <w:t xml:space="preserve"> valt terug te vinden in de Criminal Procedure and Investigations Act uit 1996 (hierna: CPIA), die later is geamendeerd door de Criminal Justice Act uit 2003 (hierna: CJA).</w:t>
      </w:r>
      <w:r w:rsidR="00C835BE" w:rsidRPr="00C835BE">
        <w:rPr>
          <w:rFonts w:eastAsia="Calibri" w:cs="Times New Roman"/>
          <w:vertAlign w:val="superscript"/>
        </w:rPr>
        <w:footnoteReference w:id="125"/>
      </w:r>
      <w:r w:rsidRPr="00C835BE">
        <w:rPr>
          <w:rFonts w:eastAsia="Calibri" w:cs="Times New Roman"/>
        </w:rPr>
        <w:t xml:space="preserve"> De wettelijke regeling uit de CPIA wordt daarnaast aangevuld door de zogeheten CPIA Code of Practice uit 2020, een op s. 23(1) CPIA gebaseerd instrument waarin nadere regels voor </w:t>
      </w:r>
      <w:r w:rsidRPr="41859A08">
        <w:rPr>
          <w:rFonts w:eastAsia="Calibri" w:cs="Times New Roman"/>
          <w:i/>
          <w:iCs/>
        </w:rPr>
        <w:t>statutory disclosure</w:t>
      </w:r>
      <w:r w:rsidRPr="00C835BE">
        <w:rPr>
          <w:rFonts w:eastAsia="Calibri" w:cs="Times New Roman"/>
        </w:rPr>
        <w:t xml:space="preserve"> zijn opgesteld. Daarnaast zijn er nog aanvullende regels voor </w:t>
      </w:r>
      <w:r w:rsidRPr="41859A08">
        <w:rPr>
          <w:rFonts w:eastAsia="Calibri" w:cs="Times New Roman"/>
          <w:i/>
          <w:iCs/>
        </w:rPr>
        <w:t>statutory disclosure</w:t>
      </w:r>
      <w:r w:rsidRPr="00C835BE">
        <w:rPr>
          <w:rFonts w:eastAsia="Calibri" w:cs="Times New Roman"/>
        </w:rPr>
        <w:t xml:space="preserve"> op grond van de CPIA neergelegd in de Criminal Procedure Rules uit 2020 (hierna: CPR).</w:t>
      </w:r>
      <w:r w:rsidR="00647DA2">
        <w:rPr>
          <w:rStyle w:val="Voetnootmarkering"/>
          <w:rFonts w:eastAsia="Calibri" w:cs="Times New Roman"/>
        </w:rPr>
        <w:footnoteReference w:id="126"/>
      </w:r>
      <w:r w:rsidRPr="00C835BE">
        <w:rPr>
          <w:rFonts w:eastAsia="Calibri" w:cs="Times New Roman"/>
        </w:rPr>
        <w:t xml:space="preserve"> Verder wordt het hiervoor weergegeven wettelijke kader aangevuld door zowel Europese als </w:t>
      </w:r>
      <w:r w:rsidRPr="41859A08">
        <w:rPr>
          <w:rFonts w:eastAsia="Calibri" w:cs="Times New Roman"/>
          <w:i/>
          <w:iCs/>
        </w:rPr>
        <w:t>common law</w:t>
      </w:r>
      <w:r w:rsidRPr="00C835BE">
        <w:rPr>
          <w:rFonts w:eastAsia="Calibri" w:cs="Times New Roman"/>
        </w:rPr>
        <w:t>-jurisprudentie.</w:t>
      </w:r>
    </w:p>
    <w:p w14:paraId="612791C1" w14:textId="77777777" w:rsidR="00C835BE" w:rsidRPr="00C835BE" w:rsidRDefault="00C835BE" w:rsidP="00C835BE">
      <w:pPr>
        <w:rPr>
          <w:rFonts w:eastAsia="Calibri" w:cs="Times New Roman"/>
          <w:highlight w:val="yellow"/>
        </w:rPr>
      </w:pPr>
    </w:p>
    <w:p w14:paraId="460F75F3" w14:textId="69C41627" w:rsidR="00C835BE" w:rsidRPr="00C835BE" w:rsidRDefault="11CB81CA" w:rsidP="00C835BE">
      <w:pPr>
        <w:rPr>
          <w:rFonts w:eastAsia="Calibri" w:cs="Times New Roman"/>
        </w:rPr>
      </w:pPr>
      <w:r w:rsidRPr="00C835BE">
        <w:rPr>
          <w:rFonts w:eastAsia="Calibri" w:cs="Times New Roman"/>
        </w:rPr>
        <w:t xml:space="preserve">Naast de wet en jurisprudentie bestaat er ook een groot aantal richtlijnen waarin voor verschillende actoren wordt beschreven hoe zij met de plicht tot </w:t>
      </w:r>
      <w:r w:rsidRPr="41859A08">
        <w:rPr>
          <w:rFonts w:eastAsia="Calibri" w:cs="Times New Roman"/>
          <w:i/>
          <w:iCs/>
        </w:rPr>
        <w:t>statutory</w:t>
      </w:r>
      <w:r w:rsidRPr="00C835BE">
        <w:rPr>
          <w:rFonts w:eastAsia="Calibri" w:cs="Times New Roman"/>
        </w:rPr>
        <w:t xml:space="preserve"> </w:t>
      </w:r>
      <w:r w:rsidRPr="41859A08">
        <w:rPr>
          <w:rFonts w:eastAsia="Calibri" w:cs="Times New Roman"/>
          <w:i/>
          <w:iCs/>
        </w:rPr>
        <w:t>disclosure</w:t>
      </w:r>
      <w:r w:rsidRPr="00C835BE">
        <w:rPr>
          <w:rFonts w:eastAsia="Calibri" w:cs="Times New Roman"/>
        </w:rPr>
        <w:t xml:space="preserve"> dienen om te gaan. Het aantal richtlijnen is echter te groot voor een integrale behandeling binnen deze scriptie: omdat sommige </w:t>
      </w:r>
      <w:r w:rsidRPr="00C835BE">
        <w:rPr>
          <w:rFonts w:eastAsia="Calibri" w:cs="Times New Roman"/>
        </w:rPr>
        <w:lastRenderedPageBreak/>
        <w:t>richtlijnen zien op zeer specifieke gevallen die niet te maken hebben met de onderzoeksvraag</w:t>
      </w:r>
      <w:r w:rsidR="00C835BE" w:rsidRPr="00C835BE">
        <w:rPr>
          <w:rFonts w:eastAsia="Calibri" w:cs="Times New Roman"/>
          <w:vertAlign w:val="superscript"/>
        </w:rPr>
        <w:footnoteReference w:id="127"/>
      </w:r>
      <w:r w:rsidRPr="00C835BE">
        <w:rPr>
          <w:rFonts w:eastAsia="Calibri" w:cs="Times New Roman"/>
        </w:rPr>
        <w:t xml:space="preserve"> of nagenoeg dezelfde informatie bevatten als andere richtlijnen,</w:t>
      </w:r>
      <w:r w:rsidR="005A0834" w:rsidRPr="00C835BE">
        <w:rPr>
          <w:rFonts w:eastAsia="Calibri" w:cs="Times New Roman"/>
          <w:vertAlign w:val="superscript"/>
        </w:rPr>
        <w:footnoteReference w:id="128"/>
      </w:r>
      <w:r w:rsidRPr="00C835BE">
        <w:rPr>
          <w:rFonts w:eastAsia="Calibri" w:cs="Times New Roman"/>
        </w:rPr>
        <w:t xml:space="preserve"> worden deze buiten beschouwing gelaten. Een bespreking daarvan zal immers niet bijdragen aan het beantwoorden van de onderzoeksvraag. Deze scriptie behandelt daarom drie richtlijnen. De eerste daarvan is de Attorney General’s Guidelines on Disclosure</w:t>
      </w:r>
      <w:r w:rsidR="00DD59E2">
        <w:rPr>
          <w:rFonts w:eastAsia="Calibri" w:cs="Times New Roman"/>
        </w:rPr>
        <w:t xml:space="preserve">. </w:t>
      </w:r>
      <w:r w:rsidRPr="00C835BE">
        <w:rPr>
          <w:rFonts w:eastAsia="Calibri" w:cs="Times New Roman"/>
        </w:rPr>
        <w:t xml:space="preserve">Op grond </w:t>
      </w:r>
      <w:r w:rsidRPr="0029485D">
        <w:rPr>
          <w:rFonts w:eastAsia="Calibri" w:cs="Times New Roman"/>
        </w:rPr>
        <w:t>van de Criminal Practice Directions</w:t>
      </w:r>
      <w:r w:rsidR="00AF59D5" w:rsidRPr="0029485D">
        <w:rPr>
          <w:rStyle w:val="Voetnootmarkering"/>
          <w:rFonts w:eastAsia="Calibri" w:cs="Times New Roman"/>
        </w:rPr>
        <w:footnoteReference w:id="129"/>
      </w:r>
      <w:r w:rsidRPr="0029485D">
        <w:rPr>
          <w:rFonts w:eastAsia="Calibri" w:cs="Times New Roman"/>
        </w:rPr>
        <w:t xml:space="preserve"> dienen</w:t>
      </w:r>
      <w:r w:rsidRPr="00C835BE">
        <w:rPr>
          <w:rFonts w:eastAsia="Calibri" w:cs="Times New Roman"/>
        </w:rPr>
        <w:t xml:space="preserve"> de procespartijen bekend te zijn met deze richtlijn en overeenkomstig de inhoud daarvan te handelen.</w:t>
      </w:r>
      <w:r w:rsidR="00C835BE" w:rsidRPr="00C835BE">
        <w:rPr>
          <w:rFonts w:eastAsia="Calibri" w:cs="Times New Roman"/>
          <w:vertAlign w:val="superscript"/>
        </w:rPr>
        <w:footnoteReference w:id="130"/>
      </w:r>
      <w:r w:rsidRPr="00C835BE">
        <w:rPr>
          <w:rFonts w:eastAsia="Calibri" w:cs="Times New Roman"/>
        </w:rPr>
        <w:t xml:space="preserve"> Daarnaast wordt gekeken naar de CPS Disclosure Manual: dit is een handleiding voor alle betrokken justitiële actoren bij het strafproces over de wijze waarop </w:t>
      </w:r>
      <w:r w:rsidRPr="41859A08">
        <w:rPr>
          <w:rFonts w:eastAsia="Calibri" w:cs="Times New Roman"/>
          <w:i/>
          <w:iCs/>
        </w:rPr>
        <w:t>disclosure</w:t>
      </w:r>
      <w:r w:rsidRPr="00C835BE">
        <w:rPr>
          <w:rFonts w:eastAsia="Calibri" w:cs="Times New Roman"/>
        </w:rPr>
        <w:t xml:space="preserve"> dient te geschieden.</w:t>
      </w:r>
      <w:r w:rsidR="00C835BE" w:rsidRPr="00C835BE">
        <w:rPr>
          <w:rFonts w:eastAsia="Calibri" w:cs="Times New Roman"/>
          <w:vertAlign w:val="superscript"/>
        </w:rPr>
        <w:footnoteReference w:id="131"/>
      </w:r>
      <w:r w:rsidRPr="00C835BE">
        <w:rPr>
          <w:rFonts w:eastAsia="Calibri" w:cs="Times New Roman"/>
        </w:rPr>
        <w:t xml:space="preserve"> Als laatste komt de </w:t>
      </w:r>
      <w:r w:rsidRPr="00046845">
        <w:rPr>
          <w:rFonts w:eastAsia="Calibri" w:cs="Times New Roman"/>
        </w:rPr>
        <w:t>Good Practice Guide for Digital Evidence van de Association of Chief Police Officers</w:t>
      </w:r>
      <w:r w:rsidRPr="00C835BE">
        <w:rPr>
          <w:rFonts w:eastAsia="Calibri" w:cs="Times New Roman"/>
        </w:rPr>
        <w:t xml:space="preserve"> (hierna: ACPO) aan bod. Deze richtlijn kent autoriteit binnen de praktijk voor de omgang met digitaal bewijs en behandelt eveneens de </w:t>
      </w:r>
      <w:r w:rsidRPr="41859A08">
        <w:rPr>
          <w:rFonts w:eastAsia="Calibri" w:cs="Times New Roman"/>
          <w:i/>
          <w:iCs/>
        </w:rPr>
        <w:t>disclosure</w:t>
      </w:r>
      <w:r w:rsidRPr="00C835BE">
        <w:rPr>
          <w:rFonts w:eastAsia="Calibri" w:cs="Times New Roman"/>
        </w:rPr>
        <w:t xml:space="preserve"> daarvan. Hoewel de CPS Disclosure Manual en de richtlijn van de ACPO dus geen wettelijke basis kennen, mag ervan worden uitgegaan dat zij een aanvullende werking hebben op het bestaande wettelijke stelsel.</w:t>
      </w:r>
      <w:r w:rsidR="00C835BE" w:rsidRPr="00C835BE">
        <w:rPr>
          <w:rFonts w:eastAsia="Calibri" w:cs="Times New Roman"/>
          <w:vertAlign w:val="superscript"/>
        </w:rPr>
        <w:footnoteReference w:id="132"/>
      </w:r>
      <w:r w:rsidRPr="00C835BE">
        <w:rPr>
          <w:rFonts w:eastAsia="Calibri" w:cs="Times New Roman"/>
        </w:rPr>
        <w:t xml:space="preserve"> </w:t>
      </w:r>
    </w:p>
    <w:p w14:paraId="5A2CC723" w14:textId="77777777" w:rsidR="00C835BE" w:rsidRPr="00C835BE" w:rsidRDefault="00C835BE" w:rsidP="00C835BE">
      <w:pPr>
        <w:rPr>
          <w:rFonts w:eastAsia="Calibri" w:cs="Times New Roman"/>
        </w:rPr>
      </w:pPr>
    </w:p>
    <w:p w14:paraId="02E07E15" w14:textId="77777777" w:rsidR="00C835BE" w:rsidRPr="00C835BE" w:rsidRDefault="00C835BE" w:rsidP="00C835BE">
      <w:pPr>
        <w:rPr>
          <w:rFonts w:eastAsia="Calibri" w:cs="Times New Roman"/>
        </w:rPr>
      </w:pPr>
      <w:r w:rsidRPr="00C835BE">
        <w:rPr>
          <w:rFonts w:eastAsia="Calibri" w:cs="Times New Roman"/>
        </w:rPr>
        <w:t xml:space="preserve">Met de voorgaande informatie is een algemene inleiding van het begrip </w:t>
      </w:r>
      <w:r w:rsidRPr="00C835BE">
        <w:rPr>
          <w:rFonts w:eastAsia="Calibri" w:cs="Times New Roman"/>
          <w:i/>
          <w:iCs/>
        </w:rPr>
        <w:t>disclosure</w:t>
      </w:r>
      <w:r w:rsidRPr="00C835BE">
        <w:rPr>
          <w:rFonts w:eastAsia="Calibri" w:cs="Times New Roman"/>
        </w:rPr>
        <w:t xml:space="preserve"> gegeven. In de hierop volgende paragraaf zal worden aangevangen met een bespreking van de </w:t>
      </w:r>
      <w:r w:rsidRPr="00C835BE">
        <w:rPr>
          <w:rFonts w:eastAsia="Calibri" w:cs="Times New Roman"/>
          <w:i/>
          <w:iCs/>
        </w:rPr>
        <w:t>disclosure</w:t>
      </w:r>
      <w:r w:rsidRPr="00C835BE">
        <w:rPr>
          <w:rFonts w:eastAsia="Calibri" w:cs="Times New Roman"/>
        </w:rPr>
        <w:t xml:space="preserve"> van de </w:t>
      </w:r>
      <w:r w:rsidRPr="00C835BE">
        <w:rPr>
          <w:rFonts w:eastAsia="Calibri" w:cs="Times New Roman"/>
          <w:i/>
          <w:iCs/>
        </w:rPr>
        <w:t>prosecution case</w:t>
      </w:r>
      <w:r w:rsidRPr="00C835BE">
        <w:rPr>
          <w:rFonts w:eastAsia="Calibri" w:cs="Times New Roman"/>
        </w:rPr>
        <w:t xml:space="preserve">. Daarna zal in vier fasen de </w:t>
      </w:r>
      <w:r w:rsidRPr="00C835BE">
        <w:rPr>
          <w:rFonts w:eastAsia="Calibri" w:cs="Times New Roman"/>
          <w:i/>
          <w:iCs/>
        </w:rPr>
        <w:t xml:space="preserve">statutory disclosure </w:t>
      </w:r>
      <w:r w:rsidRPr="00C835BE">
        <w:rPr>
          <w:rFonts w:eastAsia="Calibri" w:cs="Times New Roman"/>
        </w:rPr>
        <w:t xml:space="preserve">worden besproken: eerst wordt een inkijk gegeven in het onderzoeksproces dat aan </w:t>
      </w:r>
      <w:r w:rsidRPr="00C835BE">
        <w:rPr>
          <w:rFonts w:eastAsia="Calibri" w:cs="Times New Roman"/>
          <w:i/>
          <w:iCs/>
        </w:rPr>
        <w:t xml:space="preserve">statutory disclosure </w:t>
      </w:r>
      <w:r w:rsidRPr="00C835BE">
        <w:rPr>
          <w:rFonts w:eastAsia="Calibri" w:cs="Times New Roman"/>
        </w:rPr>
        <w:t xml:space="preserve">voorafgaat. Vervolgens wordt de wettelijke regeling van </w:t>
      </w:r>
      <w:r w:rsidRPr="00C835BE">
        <w:rPr>
          <w:rFonts w:eastAsia="Calibri" w:cs="Times New Roman"/>
          <w:i/>
          <w:iCs/>
        </w:rPr>
        <w:t>statutory disclosure</w:t>
      </w:r>
      <w:r w:rsidRPr="00C835BE">
        <w:rPr>
          <w:rFonts w:eastAsia="Calibri" w:cs="Times New Roman"/>
        </w:rPr>
        <w:t xml:space="preserve"> behandeld. In het verlengde daarvan komen ook de uitzonderingen op deze wettelijke regeling aan bod. Als laatste wordt de rol van de verdediging binnen de regeling van </w:t>
      </w:r>
      <w:r w:rsidRPr="00C835BE">
        <w:rPr>
          <w:rFonts w:eastAsia="Calibri" w:cs="Times New Roman"/>
          <w:i/>
          <w:iCs/>
        </w:rPr>
        <w:t>statutory disclosure</w:t>
      </w:r>
      <w:r w:rsidRPr="00C835BE">
        <w:rPr>
          <w:rFonts w:eastAsia="Calibri" w:cs="Times New Roman"/>
        </w:rPr>
        <w:t xml:space="preserve"> behandeld, de zogeheten </w:t>
      </w:r>
      <w:r w:rsidRPr="00C835BE">
        <w:rPr>
          <w:rFonts w:eastAsia="Calibri" w:cs="Times New Roman"/>
          <w:i/>
          <w:iCs/>
        </w:rPr>
        <w:t>defence disclosure</w:t>
      </w:r>
      <w:r w:rsidRPr="00C835BE">
        <w:rPr>
          <w:rFonts w:eastAsia="Calibri" w:cs="Times New Roman"/>
        </w:rPr>
        <w:t>.</w:t>
      </w:r>
    </w:p>
    <w:p w14:paraId="1E3009EC" w14:textId="77777777" w:rsidR="008473F7" w:rsidRPr="00C835BE" w:rsidRDefault="008473F7" w:rsidP="00C835BE">
      <w:pPr>
        <w:rPr>
          <w:rFonts w:eastAsia="Calibri" w:cs="Times New Roman"/>
        </w:rPr>
      </w:pPr>
    </w:p>
    <w:p w14:paraId="4BD2FAAA" w14:textId="77777777" w:rsidR="00C835BE" w:rsidRPr="00C835BE" w:rsidRDefault="00C835BE" w:rsidP="00C835BE">
      <w:pPr>
        <w:rPr>
          <w:rFonts w:eastAsia="Aptos" w:cs="Times New Roman"/>
        </w:rPr>
      </w:pPr>
      <w:r w:rsidRPr="00C835BE">
        <w:rPr>
          <w:rFonts w:eastAsia="Aptos" w:cs="Times New Roman"/>
        </w:rPr>
        <w:t xml:space="preserve">3.3.1   </w:t>
      </w:r>
      <w:r w:rsidRPr="00C835BE">
        <w:rPr>
          <w:rFonts w:eastAsia="Aptos" w:cs="Times New Roman"/>
          <w:i/>
          <w:iCs/>
        </w:rPr>
        <w:t>Disclosure van de prosecution case</w:t>
      </w:r>
    </w:p>
    <w:p w14:paraId="77E71C27" w14:textId="3E024344" w:rsidR="00C835BE" w:rsidRPr="00C835BE" w:rsidRDefault="11CB81CA" w:rsidP="00C835BE">
      <w:pPr>
        <w:rPr>
          <w:rFonts w:eastAsia="Aptos" w:cs="Times New Roman"/>
        </w:rPr>
      </w:pPr>
      <w:r w:rsidRPr="00C835BE">
        <w:rPr>
          <w:rFonts w:eastAsia="Aptos" w:cs="Times New Roman"/>
        </w:rPr>
        <w:t xml:space="preserve">De meest elementaire vorm van </w:t>
      </w:r>
      <w:r w:rsidRPr="41859A08">
        <w:rPr>
          <w:rFonts w:eastAsia="Aptos" w:cs="Times New Roman"/>
          <w:i/>
          <w:iCs/>
        </w:rPr>
        <w:t>disclosure</w:t>
      </w:r>
      <w:r w:rsidRPr="00C835BE">
        <w:rPr>
          <w:rFonts w:eastAsia="Aptos" w:cs="Times New Roman"/>
        </w:rPr>
        <w:t xml:space="preserve"> ziet op de verstrekking van het bewijsmateriaal dat op belastende wijze tegen de verdachte zal worden gebruikt, de zogeheten </w:t>
      </w:r>
      <w:r w:rsidRPr="41859A08">
        <w:rPr>
          <w:rFonts w:eastAsia="Aptos" w:cs="Times New Roman"/>
          <w:i/>
          <w:iCs/>
        </w:rPr>
        <w:t>prosecution case</w:t>
      </w:r>
      <w:r w:rsidRPr="00C835BE">
        <w:rPr>
          <w:rFonts w:eastAsia="Aptos" w:cs="Times New Roman"/>
        </w:rPr>
        <w:t xml:space="preserve">. Hoewel de </w:t>
      </w:r>
      <w:r w:rsidRPr="41859A08">
        <w:rPr>
          <w:rFonts w:eastAsia="Aptos" w:cs="Times New Roman"/>
          <w:i/>
          <w:iCs/>
        </w:rPr>
        <w:t>prosecution case</w:t>
      </w:r>
      <w:r w:rsidRPr="00C835BE">
        <w:rPr>
          <w:rFonts w:eastAsia="Aptos" w:cs="Times New Roman"/>
        </w:rPr>
        <w:t xml:space="preserve"> lijkt op het Nederlandse procesdossier, bestaat er een genuanceerd verschil tussen beide: het procesdossier kan </w:t>
      </w:r>
      <w:r w:rsidR="009E7EF9">
        <w:rPr>
          <w:rFonts w:eastAsia="Aptos" w:cs="Times New Roman"/>
        </w:rPr>
        <w:t>namelijk ook</w:t>
      </w:r>
      <w:r w:rsidRPr="00C835BE">
        <w:rPr>
          <w:rFonts w:eastAsia="Aptos" w:cs="Times New Roman"/>
        </w:rPr>
        <w:t xml:space="preserve"> bewijsmateriaal bevatten dat op verzoek van de verdediging is gevoegd. In Engeland &amp; Wales is voeging niet nodig, gezien de verantwoordelijkheid tot het </w:t>
      </w:r>
      <w:r w:rsidRPr="00C835BE">
        <w:rPr>
          <w:rFonts w:eastAsia="Aptos" w:cs="Times New Roman"/>
        </w:rPr>
        <w:lastRenderedPageBreak/>
        <w:t xml:space="preserve">presenteren van het bewijsmateriaal bij de verdediging zelf ligt. Daarom bestaat de </w:t>
      </w:r>
      <w:r w:rsidRPr="41859A08">
        <w:rPr>
          <w:rFonts w:eastAsia="Aptos" w:cs="Times New Roman"/>
          <w:i/>
          <w:iCs/>
        </w:rPr>
        <w:t>prosecution case</w:t>
      </w:r>
      <w:r w:rsidRPr="00C835BE">
        <w:rPr>
          <w:rFonts w:eastAsia="Aptos" w:cs="Times New Roman"/>
        </w:rPr>
        <w:t xml:space="preserve"> slechts uit bewijsmateriaal waarmee wordt getracht de verdachte te veroordelen. In 2001 kwam Lord Justice Auld tot de constatering dat de verstrekking van de </w:t>
      </w:r>
      <w:r w:rsidRPr="41859A08">
        <w:rPr>
          <w:rFonts w:eastAsia="Aptos" w:cs="Times New Roman"/>
          <w:i/>
          <w:iCs/>
        </w:rPr>
        <w:t>prosecution case</w:t>
      </w:r>
      <w:r w:rsidRPr="00C835BE">
        <w:rPr>
          <w:rFonts w:eastAsia="Aptos" w:cs="Times New Roman"/>
        </w:rPr>
        <w:t xml:space="preserve"> enigszins verwarrend is: hoewel de prosecutor te allen tijde is gehouden om de </w:t>
      </w:r>
      <w:r w:rsidRPr="41859A08">
        <w:rPr>
          <w:rFonts w:eastAsia="Aptos" w:cs="Times New Roman"/>
          <w:i/>
          <w:iCs/>
        </w:rPr>
        <w:t>prosecution case</w:t>
      </w:r>
      <w:r w:rsidRPr="00C835BE">
        <w:rPr>
          <w:rFonts w:eastAsia="Aptos" w:cs="Times New Roman"/>
        </w:rPr>
        <w:t xml:space="preserve"> voorafgaand aan de strafzaak te verstrekken, is het recht daaromtrent versplinterd. Om die reden beveelt Auld dan ook aan om de </w:t>
      </w:r>
      <w:r w:rsidRPr="41859A08">
        <w:rPr>
          <w:rFonts w:eastAsia="Aptos" w:cs="Times New Roman"/>
          <w:i/>
          <w:iCs/>
        </w:rPr>
        <w:t>disclosure</w:t>
      </w:r>
      <w:r w:rsidRPr="00C835BE">
        <w:rPr>
          <w:rFonts w:eastAsia="Aptos" w:cs="Times New Roman"/>
        </w:rPr>
        <w:t xml:space="preserve"> van de </w:t>
      </w:r>
      <w:r w:rsidRPr="41859A08">
        <w:rPr>
          <w:rFonts w:eastAsia="Aptos" w:cs="Times New Roman"/>
          <w:i/>
          <w:iCs/>
        </w:rPr>
        <w:t>prosecution case</w:t>
      </w:r>
      <w:r w:rsidRPr="00C835BE">
        <w:rPr>
          <w:rFonts w:eastAsia="Aptos" w:cs="Times New Roman"/>
        </w:rPr>
        <w:t xml:space="preserve"> te stroomlijnen en in één centrale wettelijke bepaling op te nemen.</w:t>
      </w:r>
      <w:r w:rsidR="00C835BE" w:rsidRPr="00C835BE">
        <w:rPr>
          <w:rFonts w:eastAsia="Aptos" w:cs="Times New Roman"/>
          <w:vertAlign w:val="superscript"/>
        </w:rPr>
        <w:footnoteReference w:id="133"/>
      </w:r>
      <w:r w:rsidRPr="00C835BE">
        <w:rPr>
          <w:rFonts w:eastAsia="Aptos" w:cs="Times New Roman"/>
        </w:rPr>
        <w:t xml:space="preserve"> Zoals uit de volgende uiteenzetting zal blijken, is deze aanbeveling tot op heden</w:t>
      </w:r>
      <w:r w:rsidR="00B01C29">
        <w:rPr>
          <w:rFonts w:eastAsia="Aptos" w:cs="Times New Roman"/>
        </w:rPr>
        <w:t xml:space="preserve"> </w:t>
      </w:r>
      <w:r w:rsidRPr="00C835BE">
        <w:rPr>
          <w:rFonts w:eastAsia="Aptos" w:cs="Times New Roman"/>
        </w:rPr>
        <w:t>niet opgevolgd.</w:t>
      </w:r>
    </w:p>
    <w:p w14:paraId="7830008C" w14:textId="77777777" w:rsidR="00C835BE" w:rsidRPr="00C835BE" w:rsidRDefault="00C835BE" w:rsidP="00C835BE">
      <w:pPr>
        <w:rPr>
          <w:rFonts w:eastAsia="Aptos" w:cs="Times New Roman"/>
        </w:rPr>
      </w:pPr>
    </w:p>
    <w:p w14:paraId="6491E8C7" w14:textId="3C7B1C4C" w:rsidR="00C835BE" w:rsidRPr="00C835BE" w:rsidRDefault="11CB81CA" w:rsidP="00C835BE">
      <w:pPr>
        <w:rPr>
          <w:rFonts w:eastAsia="Aptos" w:cs="Times New Roman"/>
          <w:lang w:val="en-US"/>
        </w:rPr>
      </w:pPr>
      <w:r w:rsidRPr="00C835BE">
        <w:rPr>
          <w:rFonts w:eastAsia="Aptos" w:cs="Times New Roman"/>
        </w:rPr>
        <w:t xml:space="preserve">In het geval van </w:t>
      </w:r>
      <w:r w:rsidRPr="41859A08">
        <w:rPr>
          <w:rFonts w:eastAsia="Aptos" w:cs="Times New Roman"/>
          <w:i/>
          <w:iCs/>
        </w:rPr>
        <w:t>summary proceedings</w:t>
      </w:r>
      <w:r w:rsidRPr="00C835BE">
        <w:rPr>
          <w:rFonts w:eastAsia="Aptos" w:cs="Times New Roman"/>
        </w:rPr>
        <w:t xml:space="preserve"> in het magistrates’ court bestaat er geen wettelijke verplichting voor de prosecutor om de </w:t>
      </w:r>
      <w:r w:rsidRPr="41859A08">
        <w:rPr>
          <w:rFonts w:eastAsia="Aptos" w:cs="Times New Roman"/>
          <w:i/>
          <w:iCs/>
        </w:rPr>
        <w:t>prosecution case</w:t>
      </w:r>
      <w:r w:rsidRPr="00C835BE">
        <w:rPr>
          <w:rFonts w:eastAsia="Aptos" w:cs="Times New Roman"/>
        </w:rPr>
        <w:t xml:space="preserve"> aan de verdediging te verstrekken.</w:t>
      </w:r>
      <w:r w:rsidR="00C835BE" w:rsidRPr="00C835BE">
        <w:rPr>
          <w:rFonts w:eastAsia="Aptos" w:cs="Times New Roman"/>
          <w:vertAlign w:val="superscript"/>
        </w:rPr>
        <w:footnoteReference w:id="134"/>
      </w:r>
      <w:r w:rsidRPr="00C835BE">
        <w:rPr>
          <w:rFonts w:eastAsia="Aptos" w:cs="Times New Roman"/>
        </w:rPr>
        <w:t xml:space="preserve"> Opvallend genoeg bevatte de richtlijn van de Attorney General uit 2005 wel een dergelijke verplichting.</w:t>
      </w:r>
      <w:r w:rsidR="00C835BE" w:rsidRPr="00C835BE">
        <w:rPr>
          <w:rFonts w:eastAsia="Aptos" w:cs="Times New Roman"/>
          <w:vertAlign w:val="superscript"/>
        </w:rPr>
        <w:footnoteReference w:id="135"/>
      </w:r>
      <w:r w:rsidRPr="00C835BE">
        <w:rPr>
          <w:rFonts w:eastAsia="Aptos" w:cs="Times New Roman"/>
        </w:rPr>
        <w:t xml:space="preserve"> In de huidige versie valt deze echter niet terug te vinden. De grondslag voor de prosecutor om de </w:t>
      </w:r>
      <w:r w:rsidRPr="41859A08">
        <w:rPr>
          <w:rFonts w:eastAsia="Aptos" w:cs="Times New Roman"/>
          <w:i/>
          <w:iCs/>
        </w:rPr>
        <w:t>prosecution case</w:t>
      </w:r>
      <w:r w:rsidRPr="00C835BE">
        <w:rPr>
          <w:rFonts w:eastAsia="Aptos" w:cs="Times New Roman"/>
        </w:rPr>
        <w:t xml:space="preserve"> aan de verdediging te verstrekken, komt voort uit het belang van een behoorlijke rechtspleging.</w:t>
      </w:r>
      <w:r w:rsidR="00C835BE" w:rsidRPr="00C835BE">
        <w:rPr>
          <w:rFonts w:eastAsia="Aptos" w:cs="Times New Roman"/>
          <w:vertAlign w:val="superscript"/>
        </w:rPr>
        <w:footnoteReference w:id="136"/>
      </w:r>
      <w:r w:rsidRPr="00C835BE">
        <w:rPr>
          <w:rFonts w:eastAsia="Aptos" w:cs="Times New Roman"/>
        </w:rPr>
        <w:t xml:space="preserve"> Dit belang brengt met zich dat de verdachte in staat wordt gesteld om zijn verdediging met voldoende tijd voor te bereiden, hetgeen een verplichting is onder zowel Europese als nationale jurisprudentie.</w:t>
      </w:r>
      <w:r w:rsidR="00C835BE" w:rsidRPr="00C835BE">
        <w:rPr>
          <w:rFonts w:eastAsia="Aptos" w:cs="Times New Roman"/>
          <w:vertAlign w:val="superscript"/>
        </w:rPr>
        <w:footnoteReference w:id="137"/>
      </w:r>
      <w:r w:rsidRPr="00C835BE">
        <w:rPr>
          <w:rFonts w:eastAsia="Aptos" w:cs="Times New Roman"/>
        </w:rPr>
        <w:t xml:space="preserve"> In de zaak </w:t>
      </w:r>
      <w:r w:rsidRPr="41859A08">
        <w:rPr>
          <w:rFonts w:eastAsia="Aptos" w:cs="Times New Roman"/>
          <w:i/>
          <w:iCs/>
        </w:rPr>
        <w:t xml:space="preserve">Jespers </w:t>
      </w:r>
      <w:r w:rsidRPr="00C835BE">
        <w:rPr>
          <w:rFonts w:eastAsia="Aptos" w:cs="Times New Roman"/>
        </w:rPr>
        <w:t xml:space="preserve">heeft het </w:t>
      </w:r>
      <w:r w:rsidR="4345329F">
        <w:rPr>
          <w:rFonts w:eastAsia="Aptos" w:cs="Times New Roman"/>
        </w:rPr>
        <w:t>de Europese Commissie voor de Rechten van de Mens</w:t>
      </w:r>
      <w:r w:rsidR="00CA3A5F">
        <w:rPr>
          <w:rStyle w:val="Voetnootmarkering"/>
          <w:rFonts w:eastAsia="Aptos" w:cs="Times New Roman"/>
        </w:rPr>
        <w:footnoteReference w:id="138"/>
      </w:r>
      <w:r w:rsidRPr="00C835BE">
        <w:rPr>
          <w:rFonts w:eastAsia="Aptos" w:cs="Times New Roman"/>
        </w:rPr>
        <w:t xml:space="preserve"> geoordeeld dat </w:t>
      </w:r>
      <w:r w:rsidR="009D36C5">
        <w:rPr>
          <w:rFonts w:eastAsia="Aptos" w:cs="Times New Roman"/>
        </w:rPr>
        <w:t>deze</w:t>
      </w:r>
      <w:r w:rsidRPr="00C835BE">
        <w:rPr>
          <w:rFonts w:eastAsia="Aptos" w:cs="Times New Roman"/>
        </w:rPr>
        <w:t xml:space="preserve"> verplichting met zich brengt dat de prosecutor al het bewijsmateriaal dient te verstrekken dat de verdachte zou kunnen helpen bij het voorbereiden van zijn verdediging.</w:t>
      </w:r>
      <w:r w:rsidR="00C835BE" w:rsidRPr="00C835BE">
        <w:rPr>
          <w:rFonts w:eastAsia="Aptos" w:cs="Times New Roman"/>
          <w:vertAlign w:val="superscript"/>
        </w:rPr>
        <w:footnoteReference w:id="139"/>
      </w:r>
      <w:r w:rsidRPr="00C835BE">
        <w:rPr>
          <w:rFonts w:eastAsia="Aptos" w:cs="Times New Roman"/>
        </w:rPr>
        <w:t xml:space="preserve"> Daarnaast blijkt het belang van de </w:t>
      </w:r>
      <w:r w:rsidRPr="41859A08">
        <w:rPr>
          <w:rFonts w:eastAsia="Aptos" w:cs="Times New Roman"/>
          <w:i/>
          <w:iCs/>
        </w:rPr>
        <w:t>disclosure</w:t>
      </w:r>
      <w:r w:rsidRPr="00C835BE">
        <w:rPr>
          <w:rFonts w:eastAsia="Aptos" w:cs="Times New Roman"/>
        </w:rPr>
        <w:t xml:space="preserve"> van de </w:t>
      </w:r>
      <w:r w:rsidRPr="41859A08">
        <w:rPr>
          <w:rFonts w:eastAsia="Aptos" w:cs="Times New Roman"/>
          <w:i/>
          <w:iCs/>
        </w:rPr>
        <w:t>prosecution case</w:t>
      </w:r>
      <w:r w:rsidRPr="00C835BE">
        <w:rPr>
          <w:rFonts w:eastAsia="Aptos" w:cs="Times New Roman"/>
        </w:rPr>
        <w:t xml:space="preserve"> voorafgaand aan de strafzaak uit nationale jurisprudentie. </w:t>
      </w:r>
      <w:r w:rsidRPr="00C835BE">
        <w:rPr>
          <w:rFonts w:eastAsia="Aptos" w:cs="Times New Roman"/>
          <w:lang w:val="en-US"/>
        </w:rPr>
        <w:t xml:space="preserve">Reeds in 1962 merkte Lord Denning op dat: </w:t>
      </w:r>
    </w:p>
    <w:p w14:paraId="4C9C061D" w14:textId="77777777" w:rsidR="00C835BE" w:rsidRPr="00C835BE" w:rsidRDefault="00C835BE" w:rsidP="00C835BE">
      <w:pPr>
        <w:rPr>
          <w:rFonts w:eastAsia="Aptos" w:cs="Times New Roman"/>
          <w:lang w:val="en-US"/>
        </w:rPr>
      </w:pPr>
    </w:p>
    <w:p w14:paraId="18A36EFD" w14:textId="77777777" w:rsidR="00C835BE" w:rsidRPr="00C835BE" w:rsidRDefault="11CB81CA" w:rsidP="00C835BE">
      <w:pPr>
        <w:rPr>
          <w:rFonts w:eastAsia="Aptos" w:cs="Times New Roman"/>
          <w:lang w:val="en-GB"/>
        </w:rPr>
      </w:pPr>
      <w:r w:rsidRPr="41859A08">
        <w:rPr>
          <w:rFonts w:eastAsia="Aptos" w:cs="Times New Roman"/>
          <w:i/>
          <w:iCs/>
          <w:lang w:val="en-GB"/>
        </w:rPr>
        <w:t>“If the right to be heard is to be a real right which is worth anything, it must carry with it a right in the accused person to know the case which is made against him. He must know what evidence has been given and what statements have been made affecting him: and then he must be given a fair opportunity to correct or contradict them.”</w:t>
      </w:r>
      <w:r w:rsidR="00C835BE" w:rsidRPr="00841618">
        <w:rPr>
          <w:rFonts w:eastAsia="Aptos" w:cs="Times New Roman"/>
          <w:vertAlign w:val="superscript"/>
          <w:lang w:val="en-GB"/>
        </w:rPr>
        <w:footnoteReference w:id="140"/>
      </w:r>
    </w:p>
    <w:p w14:paraId="50E59B54" w14:textId="77777777" w:rsidR="00C835BE" w:rsidRPr="00C835BE" w:rsidRDefault="00C835BE" w:rsidP="00C835BE">
      <w:pPr>
        <w:rPr>
          <w:rFonts w:eastAsia="Aptos" w:cs="Times New Roman"/>
          <w:lang w:val="en-GB"/>
        </w:rPr>
      </w:pPr>
    </w:p>
    <w:p w14:paraId="1384C0EE" w14:textId="77777777" w:rsidR="00C835BE" w:rsidRPr="00C835BE" w:rsidRDefault="11CB81CA" w:rsidP="00C835BE">
      <w:pPr>
        <w:rPr>
          <w:rFonts w:eastAsia="Aptos" w:cs="Times New Roman"/>
        </w:rPr>
      </w:pPr>
      <w:r w:rsidRPr="00C835BE">
        <w:rPr>
          <w:rFonts w:eastAsia="Aptos" w:cs="Times New Roman"/>
        </w:rPr>
        <w:t>Hoewel dit niet specifiek het strafproces betreft, is deze overweging ook in strafzaken bij het High Court of Justice onderstreept.</w:t>
      </w:r>
      <w:r w:rsidR="00C835BE" w:rsidRPr="00C835BE">
        <w:rPr>
          <w:rFonts w:eastAsia="Aptos" w:cs="Times New Roman"/>
          <w:vertAlign w:val="superscript"/>
        </w:rPr>
        <w:footnoteReference w:id="141"/>
      </w:r>
      <w:r w:rsidRPr="00C835BE">
        <w:rPr>
          <w:rFonts w:eastAsia="Aptos" w:cs="Times New Roman"/>
        </w:rPr>
        <w:t xml:space="preserve"> Daarnaast is het volgens het High Court of Justice niet zo dat het </w:t>
      </w:r>
      <w:r w:rsidRPr="00C835BE">
        <w:rPr>
          <w:rFonts w:eastAsia="Aptos" w:cs="Times New Roman"/>
        </w:rPr>
        <w:lastRenderedPageBreak/>
        <w:t xml:space="preserve">ontbreken van een wettelijke regeling voor de </w:t>
      </w:r>
      <w:r w:rsidRPr="41859A08">
        <w:rPr>
          <w:rFonts w:eastAsia="Aptos" w:cs="Times New Roman"/>
          <w:i/>
          <w:iCs/>
        </w:rPr>
        <w:t>disclosure</w:t>
      </w:r>
      <w:r w:rsidRPr="00C835BE">
        <w:rPr>
          <w:rFonts w:eastAsia="Aptos" w:cs="Times New Roman"/>
        </w:rPr>
        <w:t xml:space="preserve"> van de </w:t>
      </w:r>
      <w:r w:rsidRPr="41859A08">
        <w:rPr>
          <w:rFonts w:eastAsia="Aptos" w:cs="Times New Roman"/>
          <w:i/>
          <w:iCs/>
        </w:rPr>
        <w:t>prosecution case</w:t>
      </w:r>
      <w:r w:rsidRPr="00C835BE">
        <w:rPr>
          <w:rFonts w:eastAsia="Aptos" w:cs="Times New Roman"/>
        </w:rPr>
        <w:t xml:space="preserve"> het recht op een eerlijk proces aantast: het magistrates’ court kan immers verplicht zijn om het strafproces te schorsen zodat de verdediging de tijd heeft om bekend te raken met het bewijs en tegenbewijs te vergaren.</w:t>
      </w:r>
      <w:r w:rsidR="00C835BE" w:rsidRPr="00C835BE">
        <w:rPr>
          <w:rFonts w:eastAsia="Aptos" w:cs="Times New Roman"/>
          <w:vertAlign w:val="superscript"/>
        </w:rPr>
        <w:footnoteReference w:id="142"/>
      </w:r>
      <w:r w:rsidRPr="00C835BE">
        <w:rPr>
          <w:rFonts w:eastAsia="Aptos" w:cs="Times New Roman"/>
        </w:rPr>
        <w:t xml:space="preserve"> Het is daarom – gelet op de proceseconomie – ook voor de prosecutor voordelig dat hij de </w:t>
      </w:r>
      <w:r w:rsidRPr="41859A08">
        <w:rPr>
          <w:rFonts w:eastAsia="Aptos" w:cs="Times New Roman"/>
          <w:i/>
          <w:iCs/>
        </w:rPr>
        <w:t>prosecution case</w:t>
      </w:r>
      <w:r w:rsidRPr="00C835BE">
        <w:rPr>
          <w:rFonts w:eastAsia="Aptos" w:cs="Times New Roman"/>
        </w:rPr>
        <w:t xml:space="preserve"> nog voorafgaand aan de zitting toestuurt.</w:t>
      </w:r>
    </w:p>
    <w:p w14:paraId="66EA3503" w14:textId="77777777" w:rsidR="00C835BE" w:rsidRPr="00C835BE" w:rsidRDefault="00C835BE" w:rsidP="00C835BE">
      <w:pPr>
        <w:rPr>
          <w:rFonts w:eastAsia="Aptos" w:cs="Times New Roman"/>
        </w:rPr>
      </w:pPr>
      <w:r w:rsidRPr="00C835BE">
        <w:rPr>
          <w:rFonts w:eastAsia="Aptos" w:cs="Times New Roman"/>
        </w:rPr>
        <w:t xml:space="preserve"> </w:t>
      </w:r>
    </w:p>
    <w:p w14:paraId="4200AA07" w14:textId="77777777" w:rsidR="00C835BE" w:rsidRPr="00C835BE" w:rsidRDefault="11CB81CA" w:rsidP="00C835BE">
      <w:pPr>
        <w:rPr>
          <w:rFonts w:eastAsia="Aptos" w:cs="Times New Roman"/>
        </w:rPr>
      </w:pPr>
      <w:r w:rsidRPr="00C835BE">
        <w:rPr>
          <w:rFonts w:eastAsia="Aptos" w:cs="Times New Roman"/>
        </w:rPr>
        <w:t xml:space="preserve">Wanneer er sprake is van een either way offence dat bij het Crown Court zal worden behandeld door middel van een </w:t>
      </w:r>
      <w:r w:rsidRPr="41859A08">
        <w:rPr>
          <w:rFonts w:eastAsia="Aptos" w:cs="Times New Roman"/>
          <w:i/>
          <w:iCs/>
        </w:rPr>
        <w:t>committal proceeding</w:t>
      </w:r>
      <w:r w:rsidRPr="00C835BE">
        <w:rPr>
          <w:rFonts w:eastAsia="Aptos" w:cs="Times New Roman"/>
        </w:rPr>
        <w:t xml:space="preserve">, voorziet de wet wel in de </w:t>
      </w:r>
      <w:r w:rsidRPr="41859A08">
        <w:rPr>
          <w:rFonts w:eastAsia="Aptos" w:cs="Times New Roman"/>
          <w:i/>
          <w:iCs/>
        </w:rPr>
        <w:t>disclosure</w:t>
      </w:r>
      <w:r w:rsidRPr="00C835BE">
        <w:rPr>
          <w:rFonts w:eastAsia="Aptos" w:cs="Times New Roman"/>
        </w:rPr>
        <w:t xml:space="preserve"> van de </w:t>
      </w:r>
      <w:r w:rsidRPr="41859A08">
        <w:rPr>
          <w:rFonts w:eastAsia="Aptos" w:cs="Times New Roman"/>
          <w:i/>
          <w:iCs/>
        </w:rPr>
        <w:t>prosecution case</w:t>
      </w:r>
      <w:r w:rsidRPr="00C835BE">
        <w:rPr>
          <w:rFonts w:eastAsia="Aptos" w:cs="Times New Roman"/>
        </w:rPr>
        <w:t>.</w:t>
      </w:r>
      <w:r w:rsidR="00C835BE" w:rsidRPr="00C835BE">
        <w:rPr>
          <w:rFonts w:eastAsia="Aptos" w:cs="Times New Roman"/>
          <w:vertAlign w:val="superscript"/>
        </w:rPr>
        <w:footnoteReference w:id="143"/>
      </w:r>
      <w:r w:rsidRPr="00C835BE">
        <w:rPr>
          <w:rFonts w:eastAsia="Aptos" w:cs="Times New Roman"/>
        </w:rPr>
        <w:t xml:space="preserve"> Het magistrates’ court zal de strafzaak op grond van s. 6(1) of 6(2) Magistrates’ Court Act 1980 (hierna: MCA) moeten doorverwijzen naar het Crown Court. Bij de voorbereiding van deze doorverwijzing dient de prosecutor een kopie van het bewijsmateriaal dat hij zal gebruiken aan de verdediging te verstrekken. Hiervoor bestaat geen wettelijke termijn, maar het is standaard dat dit binnen zes weken geschiedt.</w:t>
      </w:r>
      <w:r w:rsidR="00C835BE" w:rsidRPr="00C835BE">
        <w:rPr>
          <w:rFonts w:eastAsia="Aptos" w:cs="Times New Roman"/>
          <w:vertAlign w:val="superscript"/>
        </w:rPr>
        <w:footnoteReference w:id="144"/>
      </w:r>
      <w:r w:rsidRPr="00C835BE">
        <w:rPr>
          <w:rFonts w:eastAsia="Aptos" w:cs="Times New Roman"/>
        </w:rPr>
        <w:t xml:space="preserve"> In s. 5A MCA wordt een overzicht gegeven van welk bewijs toelaatbaar wordt geacht, en in s. 5B-F MCA wordt het bewijs aanvullend geregeld. Het is de plicht van de prosecutor om ervoor te zorgen dat er </w:t>
      </w:r>
      <w:r w:rsidRPr="41859A08">
        <w:rPr>
          <w:rFonts w:eastAsia="Aptos" w:cs="Times New Roman"/>
          <w:i/>
          <w:iCs/>
        </w:rPr>
        <w:t>prima facie</w:t>
      </w:r>
      <w:r w:rsidRPr="00C835BE">
        <w:rPr>
          <w:rFonts w:eastAsia="Aptos" w:cs="Times New Roman"/>
        </w:rPr>
        <w:t xml:space="preserve"> een strafzaak tegen de verdachte wordt gevoerd.</w:t>
      </w:r>
      <w:r w:rsidR="00C835BE" w:rsidRPr="00C835BE">
        <w:rPr>
          <w:rFonts w:eastAsia="Aptos" w:cs="Times New Roman"/>
          <w:vertAlign w:val="superscript"/>
        </w:rPr>
        <w:footnoteReference w:id="145"/>
      </w:r>
      <w:r w:rsidRPr="00C835BE">
        <w:rPr>
          <w:rFonts w:eastAsia="Aptos" w:cs="Times New Roman"/>
        </w:rPr>
        <w:t xml:space="preserve"> Daarom hoeft de prosecutor niet direct al zijn bewijs aan te leveren, en kan hij volstaan met het minimum om van een prima facie-strafzaak te kunnen spreken.</w:t>
      </w:r>
      <w:r w:rsidR="00C835BE" w:rsidRPr="00C835BE">
        <w:rPr>
          <w:rFonts w:eastAsia="Aptos" w:cs="Times New Roman"/>
          <w:vertAlign w:val="superscript"/>
        </w:rPr>
        <w:footnoteReference w:id="146"/>
      </w:r>
    </w:p>
    <w:p w14:paraId="2E87A4A3" w14:textId="77777777" w:rsidR="00C835BE" w:rsidRPr="00C835BE" w:rsidRDefault="00C835BE" w:rsidP="00C835BE">
      <w:pPr>
        <w:rPr>
          <w:rFonts w:eastAsia="Aptos" w:cs="Times New Roman"/>
        </w:rPr>
      </w:pPr>
    </w:p>
    <w:p w14:paraId="65B35670" w14:textId="27F6B83F" w:rsidR="00B33C82" w:rsidRDefault="5252D214" w:rsidP="00C835BE">
      <w:pPr>
        <w:rPr>
          <w:rFonts w:eastAsia="Aptos" w:cs="Times New Roman"/>
        </w:rPr>
      </w:pPr>
      <w:r w:rsidRPr="41859A08">
        <w:rPr>
          <w:rFonts w:eastAsia="Aptos" w:cs="Times New Roman"/>
        </w:rPr>
        <w:t>De</w:t>
      </w:r>
      <w:r w:rsidR="70702259" w:rsidRPr="00C835BE">
        <w:rPr>
          <w:rFonts w:eastAsia="Aptos" w:cs="Times New Roman"/>
        </w:rPr>
        <w:t xml:space="preserve"> </w:t>
      </w:r>
      <w:r w:rsidR="70702259" w:rsidRPr="41859A08">
        <w:rPr>
          <w:rFonts w:eastAsia="Aptos" w:cs="Times New Roman"/>
          <w:i/>
          <w:iCs/>
        </w:rPr>
        <w:t xml:space="preserve">disclosure </w:t>
      </w:r>
      <w:r w:rsidR="70702259" w:rsidRPr="41859A08">
        <w:rPr>
          <w:rFonts w:eastAsia="Aptos" w:cs="Times New Roman"/>
        </w:rPr>
        <w:t xml:space="preserve">van de </w:t>
      </w:r>
      <w:r w:rsidR="70702259" w:rsidRPr="41859A08">
        <w:rPr>
          <w:rFonts w:eastAsia="Aptos" w:cs="Times New Roman"/>
          <w:i/>
          <w:iCs/>
        </w:rPr>
        <w:t>prosecution case</w:t>
      </w:r>
      <w:r w:rsidR="70702259" w:rsidRPr="41859A08">
        <w:rPr>
          <w:rFonts w:eastAsia="Aptos" w:cs="Times New Roman"/>
        </w:rPr>
        <w:t xml:space="preserve"> in het Crown Court</w:t>
      </w:r>
      <w:r w:rsidR="4A0E3162" w:rsidRPr="41859A08">
        <w:rPr>
          <w:rFonts w:eastAsia="Aptos" w:cs="Times New Roman"/>
        </w:rPr>
        <w:t xml:space="preserve"> is afhankelijk van </w:t>
      </w:r>
      <w:r w:rsidR="13F8FE34" w:rsidRPr="41859A08">
        <w:rPr>
          <w:rFonts w:eastAsia="Aptos" w:cs="Times New Roman"/>
        </w:rPr>
        <w:t>het verloop van de procedure in het magistrates’ court</w:t>
      </w:r>
      <w:r w:rsidR="70702259" w:rsidRPr="41859A08">
        <w:rPr>
          <w:rFonts w:eastAsia="Aptos" w:cs="Times New Roman"/>
        </w:rPr>
        <w:t xml:space="preserve">. </w:t>
      </w:r>
      <w:r w:rsidR="38BC67D5" w:rsidRPr="41859A08">
        <w:rPr>
          <w:rFonts w:eastAsia="Aptos" w:cs="Times New Roman"/>
        </w:rPr>
        <w:t>Het is immers zo dat</w:t>
      </w:r>
      <w:r w:rsidR="11CB81CA" w:rsidRPr="41859A08">
        <w:rPr>
          <w:rFonts w:eastAsia="Aptos" w:cs="Times New Roman"/>
        </w:rPr>
        <w:t xml:space="preserve"> alle strafvervolgingen bij het Crown Court</w:t>
      </w:r>
      <w:r w:rsidR="632762C6" w:rsidRPr="41859A08">
        <w:rPr>
          <w:rFonts w:eastAsia="Aptos" w:cs="Times New Roman"/>
        </w:rPr>
        <w:t xml:space="preserve"> in de regel </w:t>
      </w:r>
      <w:r w:rsidR="005E1F85">
        <w:rPr>
          <w:rFonts w:eastAsia="Aptos" w:cs="Times New Roman"/>
        </w:rPr>
        <w:t>zijn gestart bij</w:t>
      </w:r>
      <w:r w:rsidR="11CB81CA" w:rsidRPr="41859A08">
        <w:rPr>
          <w:rFonts w:eastAsia="Aptos" w:cs="Times New Roman"/>
        </w:rPr>
        <w:t xml:space="preserve"> het magistrates’ court.</w:t>
      </w:r>
      <w:r w:rsidR="00C835BE" w:rsidRPr="00C835BE">
        <w:rPr>
          <w:rFonts w:eastAsia="Aptos" w:cs="Times New Roman"/>
          <w:vertAlign w:val="superscript"/>
        </w:rPr>
        <w:footnoteReference w:id="147"/>
      </w:r>
      <w:r w:rsidR="11CB81CA" w:rsidRPr="00C835BE">
        <w:rPr>
          <w:rFonts w:eastAsia="Aptos" w:cs="Times New Roman"/>
        </w:rPr>
        <w:t xml:space="preserve"> Uit s. 1(2) CPIA blijkt dat er zeven routes zijn om een strafzaak aanhangig te maken bij het Crown Court: via </w:t>
      </w:r>
      <w:r w:rsidR="11CB81CA" w:rsidRPr="41859A08">
        <w:rPr>
          <w:rFonts w:eastAsia="Aptos" w:cs="Times New Roman"/>
          <w:i/>
          <w:iCs/>
        </w:rPr>
        <w:t>committal proceedings</w:t>
      </w:r>
      <w:r w:rsidR="11CB81CA" w:rsidRPr="00C835BE">
        <w:rPr>
          <w:rFonts w:eastAsia="Aptos" w:cs="Times New Roman"/>
        </w:rPr>
        <w:t xml:space="preserve"> (a), door overdracht van strafvervolging wegens een specifiek delict (b en c), wanneer de verdachte </w:t>
      </w:r>
      <w:r w:rsidR="11CB81CA" w:rsidRPr="41859A08">
        <w:rPr>
          <w:rFonts w:eastAsia="Aptos" w:cs="Times New Roman"/>
          <w:i/>
          <w:iCs/>
        </w:rPr>
        <w:t xml:space="preserve">sent for trial </w:t>
      </w:r>
      <w:r w:rsidR="11CB81CA" w:rsidRPr="00C835BE">
        <w:rPr>
          <w:rFonts w:eastAsia="Aptos" w:cs="Times New Roman"/>
        </w:rPr>
        <w:t xml:space="preserve">is (cc), bij samenloop met een </w:t>
      </w:r>
      <w:r w:rsidR="11CB81CA" w:rsidRPr="41859A08">
        <w:rPr>
          <w:rFonts w:eastAsia="Aptos" w:cs="Times New Roman"/>
          <w:i/>
          <w:iCs/>
        </w:rPr>
        <w:t>indictable offence</w:t>
      </w:r>
      <w:r w:rsidR="11CB81CA" w:rsidRPr="00C835BE">
        <w:rPr>
          <w:rFonts w:eastAsia="Aptos" w:cs="Times New Roman"/>
        </w:rPr>
        <w:t xml:space="preserve"> (d) en wanneer een </w:t>
      </w:r>
      <w:r w:rsidR="11CB81CA" w:rsidRPr="41859A08">
        <w:rPr>
          <w:rFonts w:eastAsia="Aptos" w:cs="Times New Roman"/>
          <w:i/>
          <w:iCs/>
        </w:rPr>
        <w:t>bill of indictment</w:t>
      </w:r>
      <w:r w:rsidR="11CB81CA" w:rsidRPr="00C835BE">
        <w:rPr>
          <w:rFonts w:eastAsia="Aptos" w:cs="Times New Roman"/>
        </w:rPr>
        <w:t xml:space="preserve"> wenselijk wordt geacht (e en f). In s. 5(1-4) CPIA wordt de prosecutor verplicht om bij routes b, c en e de verdachte een kopie van de </w:t>
      </w:r>
      <w:r w:rsidR="11CB81CA" w:rsidRPr="41859A08">
        <w:rPr>
          <w:rFonts w:eastAsia="Aptos" w:cs="Times New Roman"/>
          <w:i/>
          <w:iCs/>
        </w:rPr>
        <w:t xml:space="preserve">prosecution case </w:t>
      </w:r>
      <w:r w:rsidR="11CB81CA" w:rsidRPr="00C835BE">
        <w:rPr>
          <w:rFonts w:eastAsia="Aptos" w:cs="Times New Roman"/>
        </w:rPr>
        <w:t xml:space="preserve">te verstrekken. Voor de routes a en d is deze wetsbepaling niet nodig: in deze gevallen is er sprake van een </w:t>
      </w:r>
      <w:r w:rsidR="11CB81CA" w:rsidRPr="41859A08">
        <w:rPr>
          <w:rFonts w:eastAsia="Aptos" w:cs="Times New Roman"/>
          <w:i/>
          <w:iCs/>
        </w:rPr>
        <w:t>committal proceeding</w:t>
      </w:r>
      <w:r w:rsidR="11CB81CA" w:rsidRPr="00C835BE">
        <w:rPr>
          <w:rFonts w:eastAsia="Aptos" w:cs="Times New Roman"/>
        </w:rPr>
        <w:t xml:space="preserve">, waardoor het in de voorgaande alinea beschreven kader reeds voorziet in de </w:t>
      </w:r>
      <w:r w:rsidR="11CB81CA" w:rsidRPr="41859A08">
        <w:rPr>
          <w:rFonts w:eastAsia="Aptos" w:cs="Times New Roman"/>
          <w:i/>
          <w:iCs/>
        </w:rPr>
        <w:t>disclosure</w:t>
      </w:r>
      <w:r w:rsidR="11CB81CA" w:rsidRPr="00C835BE">
        <w:rPr>
          <w:rFonts w:eastAsia="Aptos" w:cs="Times New Roman"/>
        </w:rPr>
        <w:t xml:space="preserve"> van de </w:t>
      </w:r>
      <w:r w:rsidR="11CB81CA" w:rsidRPr="41859A08">
        <w:rPr>
          <w:rFonts w:eastAsia="Aptos" w:cs="Times New Roman"/>
          <w:i/>
          <w:iCs/>
        </w:rPr>
        <w:t>prosecution case</w:t>
      </w:r>
      <w:r w:rsidR="11CB81CA" w:rsidRPr="00C835BE">
        <w:rPr>
          <w:rFonts w:eastAsia="Aptos" w:cs="Times New Roman"/>
        </w:rPr>
        <w:t xml:space="preserve">. In het geval dat de verdachte </w:t>
      </w:r>
      <w:r w:rsidR="11CB81CA" w:rsidRPr="41859A08">
        <w:rPr>
          <w:rFonts w:eastAsia="Aptos" w:cs="Times New Roman"/>
          <w:i/>
          <w:iCs/>
        </w:rPr>
        <w:t>sent for trial</w:t>
      </w:r>
      <w:r w:rsidR="11CB81CA" w:rsidRPr="00C835BE">
        <w:rPr>
          <w:rFonts w:eastAsia="Aptos" w:cs="Times New Roman"/>
        </w:rPr>
        <w:t xml:space="preserve"> is, dient de prosecutor op grondslag van de Crime and Disorder Act Regulations de </w:t>
      </w:r>
      <w:r w:rsidR="11CB81CA" w:rsidRPr="41859A08">
        <w:rPr>
          <w:rFonts w:eastAsia="Aptos" w:cs="Times New Roman"/>
          <w:i/>
          <w:iCs/>
        </w:rPr>
        <w:t xml:space="preserve">prosecution </w:t>
      </w:r>
      <w:r w:rsidR="11CB81CA" w:rsidRPr="41859A08">
        <w:rPr>
          <w:rFonts w:eastAsia="Aptos" w:cs="Times New Roman"/>
          <w:i/>
          <w:iCs/>
        </w:rPr>
        <w:lastRenderedPageBreak/>
        <w:t>case</w:t>
      </w:r>
      <w:r w:rsidR="11CB81CA" w:rsidRPr="00C835BE">
        <w:rPr>
          <w:rFonts w:eastAsia="Aptos" w:cs="Times New Roman"/>
        </w:rPr>
        <w:t xml:space="preserve"> aan de verdachte te verstrekken binnen 70 dan wel 50 dagen, afhankelijk van de omstandigheid of de verdachte in voorlopige hechtenis zit of niet.</w:t>
      </w:r>
      <w:r w:rsidR="00C835BE" w:rsidRPr="00C835BE">
        <w:rPr>
          <w:rFonts w:eastAsia="Aptos" w:cs="Times New Roman"/>
          <w:vertAlign w:val="superscript"/>
        </w:rPr>
        <w:footnoteReference w:id="148"/>
      </w:r>
      <w:r w:rsidR="11CB81CA" w:rsidRPr="00C835BE">
        <w:rPr>
          <w:rFonts w:eastAsia="Aptos" w:cs="Times New Roman"/>
        </w:rPr>
        <w:t xml:space="preserve"> </w:t>
      </w:r>
    </w:p>
    <w:p w14:paraId="3C3C7C72" w14:textId="77777777" w:rsidR="00B33C82" w:rsidRPr="00B33C82" w:rsidRDefault="00B33C82" w:rsidP="00C835BE">
      <w:pPr>
        <w:rPr>
          <w:rFonts w:eastAsia="Aptos" w:cs="Times New Roman"/>
        </w:rPr>
      </w:pPr>
    </w:p>
    <w:p w14:paraId="763E6B5F" w14:textId="77777777" w:rsidR="00C835BE" w:rsidRPr="00C835BE" w:rsidRDefault="00C835BE" w:rsidP="00C835BE">
      <w:pPr>
        <w:rPr>
          <w:rFonts w:eastAsia="Calibri" w:cs="Times New Roman"/>
        </w:rPr>
      </w:pPr>
      <w:r w:rsidRPr="00C835BE">
        <w:rPr>
          <w:rFonts w:eastAsia="Calibri" w:cs="Times New Roman"/>
        </w:rPr>
        <w:t xml:space="preserve">3.3.2   </w:t>
      </w:r>
      <w:r w:rsidRPr="00C835BE">
        <w:rPr>
          <w:rFonts w:eastAsia="Calibri" w:cs="Times New Roman"/>
          <w:i/>
          <w:iCs/>
        </w:rPr>
        <w:t>De procedure voorafgaand aan statutory disclosure</w:t>
      </w:r>
    </w:p>
    <w:p w14:paraId="53AA2441" w14:textId="79159CE1" w:rsidR="00C835BE" w:rsidRPr="00C835BE" w:rsidRDefault="11CB81CA" w:rsidP="00C835BE">
      <w:pPr>
        <w:rPr>
          <w:rFonts w:eastAsia="Calibri" w:cs="Times New Roman"/>
        </w:rPr>
      </w:pPr>
      <w:r w:rsidRPr="00C835BE">
        <w:rPr>
          <w:rFonts w:eastAsia="Calibri" w:cs="Times New Roman"/>
        </w:rPr>
        <w:t xml:space="preserve">Nu een overzicht is gegeven van de </w:t>
      </w:r>
      <w:r w:rsidRPr="41859A08">
        <w:rPr>
          <w:rFonts w:eastAsia="Calibri" w:cs="Times New Roman"/>
          <w:i/>
          <w:iCs/>
        </w:rPr>
        <w:t xml:space="preserve">disclosure </w:t>
      </w:r>
      <w:r w:rsidRPr="00C835BE">
        <w:rPr>
          <w:rFonts w:eastAsia="Calibri" w:cs="Times New Roman"/>
        </w:rPr>
        <w:t xml:space="preserve">van de </w:t>
      </w:r>
      <w:r w:rsidRPr="41859A08">
        <w:rPr>
          <w:rFonts w:eastAsia="Calibri" w:cs="Times New Roman"/>
          <w:i/>
          <w:iCs/>
        </w:rPr>
        <w:t>prosecution case</w:t>
      </w:r>
      <w:r w:rsidRPr="00C835BE">
        <w:rPr>
          <w:rFonts w:eastAsia="Calibri" w:cs="Times New Roman"/>
        </w:rPr>
        <w:t xml:space="preserve">, volgt een bespreking van </w:t>
      </w:r>
      <w:r w:rsidRPr="41859A08">
        <w:rPr>
          <w:rFonts w:eastAsia="Calibri" w:cs="Times New Roman"/>
          <w:i/>
          <w:iCs/>
        </w:rPr>
        <w:t>statutory disclosure</w:t>
      </w:r>
      <w:r w:rsidRPr="00C835BE">
        <w:rPr>
          <w:rFonts w:eastAsia="Calibri" w:cs="Times New Roman"/>
        </w:rPr>
        <w:t xml:space="preserve">. Om </w:t>
      </w:r>
      <w:r w:rsidRPr="41859A08">
        <w:rPr>
          <w:rFonts w:eastAsia="Calibri" w:cs="Times New Roman"/>
          <w:i/>
          <w:iCs/>
        </w:rPr>
        <w:t xml:space="preserve">statutory disclosure </w:t>
      </w:r>
      <w:r w:rsidRPr="00C835BE">
        <w:rPr>
          <w:rFonts w:eastAsia="Calibri" w:cs="Times New Roman"/>
        </w:rPr>
        <w:t xml:space="preserve">in zijn geheel te kunnen begrijpen, dient echter eerst een inkijk te worden gegeven in het onderzoeksproces dat daaraan voorafgaat. Daarin zijn </w:t>
      </w:r>
      <w:r w:rsidR="0093111B">
        <w:rPr>
          <w:rFonts w:eastAsia="Calibri" w:cs="Times New Roman"/>
        </w:rPr>
        <w:t>twee</w:t>
      </w:r>
      <w:r w:rsidRPr="00C835BE">
        <w:rPr>
          <w:rFonts w:eastAsia="Calibri" w:cs="Times New Roman"/>
        </w:rPr>
        <w:t xml:space="preserve"> actoren van belang: de </w:t>
      </w:r>
      <w:r w:rsidR="0093111B">
        <w:rPr>
          <w:rFonts w:eastAsia="Calibri" w:cs="Times New Roman"/>
        </w:rPr>
        <w:t xml:space="preserve">investigator </w:t>
      </w:r>
      <w:r w:rsidRPr="00C835BE">
        <w:rPr>
          <w:rFonts w:eastAsia="Calibri" w:cs="Times New Roman"/>
        </w:rPr>
        <w:t>(</w:t>
      </w:r>
      <w:r w:rsidR="0093111B">
        <w:rPr>
          <w:rFonts w:eastAsia="Calibri" w:cs="Times New Roman"/>
        </w:rPr>
        <w:t>opsporingsambtenaar</w:t>
      </w:r>
      <w:r w:rsidRPr="00C835BE">
        <w:rPr>
          <w:rFonts w:eastAsia="Calibri" w:cs="Times New Roman"/>
        </w:rPr>
        <w:t xml:space="preserve">) en de zogeheten </w:t>
      </w:r>
      <w:r w:rsidRPr="005040E4">
        <w:rPr>
          <w:rFonts w:eastAsia="Calibri" w:cs="Times New Roman"/>
        </w:rPr>
        <w:t>disclosure officer</w:t>
      </w:r>
      <w:r w:rsidRPr="00C835BE">
        <w:rPr>
          <w:rFonts w:eastAsia="Calibri" w:cs="Times New Roman"/>
        </w:rPr>
        <w:t>.</w:t>
      </w:r>
      <w:r w:rsidR="00C835BE" w:rsidRPr="00C835BE">
        <w:rPr>
          <w:rFonts w:eastAsia="Calibri" w:cs="Times New Roman"/>
          <w:vertAlign w:val="superscript"/>
        </w:rPr>
        <w:footnoteReference w:id="149"/>
      </w:r>
      <w:r w:rsidRPr="00C835BE">
        <w:rPr>
          <w:rFonts w:eastAsia="Calibri" w:cs="Times New Roman"/>
        </w:rPr>
        <w:t xml:space="preserve"> Deze rollen kunnen worden aangenomen door dezelfde persoon of door </w:t>
      </w:r>
      <w:r w:rsidR="0021315C">
        <w:rPr>
          <w:rFonts w:eastAsia="Calibri" w:cs="Times New Roman"/>
        </w:rPr>
        <w:t>verschillende</w:t>
      </w:r>
      <w:r w:rsidRPr="00C835BE">
        <w:rPr>
          <w:rFonts w:eastAsia="Calibri" w:cs="Times New Roman"/>
        </w:rPr>
        <w:t xml:space="preserve"> personen.</w:t>
      </w:r>
      <w:r w:rsidR="00C835BE" w:rsidRPr="00C835BE">
        <w:rPr>
          <w:rFonts w:eastAsia="Calibri" w:cs="Times New Roman"/>
          <w:vertAlign w:val="superscript"/>
        </w:rPr>
        <w:footnoteReference w:id="150"/>
      </w:r>
      <w:r w:rsidRPr="00C835BE">
        <w:rPr>
          <w:rFonts w:eastAsia="Calibri" w:cs="Times New Roman"/>
        </w:rPr>
        <w:t xml:space="preserve"> </w:t>
      </w:r>
    </w:p>
    <w:p w14:paraId="413DBE7C" w14:textId="77777777" w:rsidR="00C835BE" w:rsidRPr="00C835BE" w:rsidRDefault="00C835BE" w:rsidP="00C835BE">
      <w:pPr>
        <w:rPr>
          <w:rFonts w:eastAsia="Calibri" w:cs="Times New Roman"/>
        </w:rPr>
      </w:pPr>
    </w:p>
    <w:p w14:paraId="78C171F6" w14:textId="77777777" w:rsidR="00C835BE" w:rsidRPr="00C835BE" w:rsidRDefault="11CB81CA" w:rsidP="00C835BE">
      <w:pPr>
        <w:rPr>
          <w:rFonts w:eastAsia="Calibri" w:cs="Times New Roman"/>
        </w:rPr>
      </w:pPr>
      <w:r w:rsidRPr="00C835BE">
        <w:rPr>
          <w:rFonts w:eastAsia="Calibri" w:cs="Times New Roman"/>
        </w:rPr>
        <w:t xml:space="preserve">Het strafrechtelijk onderzoek wordt uitgevoerd door een of meer investigators. Tijdens het onderzoek is het van groot belang dat de investigator alle </w:t>
      </w:r>
      <w:r w:rsidRPr="41859A08">
        <w:rPr>
          <w:rFonts w:eastAsia="Calibri" w:cs="Times New Roman"/>
          <w:i/>
          <w:iCs/>
        </w:rPr>
        <w:t>reasonable lines of enquiry</w:t>
      </w:r>
      <w:r w:rsidRPr="00C835BE">
        <w:rPr>
          <w:rFonts w:eastAsia="Calibri" w:cs="Times New Roman"/>
        </w:rPr>
        <w:t xml:space="preserve"> afloopt, los van de vraag of deze voor de verdachte belastend of ontlastend zijn. Het is per strafzaak afhankelijk van de omstandigheden van het geval of een line of enquiry als reasonable kan worden aangemerkt. De investigator bepaalt – al dan niet in overleg met de prosecutor – of dit het geval is.</w:t>
      </w:r>
      <w:r w:rsidR="00C835BE" w:rsidRPr="00C835BE">
        <w:rPr>
          <w:rFonts w:eastAsia="Calibri" w:cs="Times New Roman"/>
          <w:vertAlign w:val="superscript"/>
        </w:rPr>
        <w:footnoteReference w:id="151"/>
      </w:r>
      <w:r w:rsidRPr="00C835BE">
        <w:rPr>
          <w:rFonts w:eastAsia="Calibri" w:cs="Times New Roman"/>
        </w:rPr>
        <w:t xml:space="preserve"> Uit de CPIA Code of Practice blijkt echter niet concreet wat een </w:t>
      </w:r>
      <w:r w:rsidRPr="41859A08">
        <w:rPr>
          <w:rFonts w:eastAsia="Calibri" w:cs="Times New Roman"/>
          <w:i/>
          <w:iCs/>
        </w:rPr>
        <w:t>reasonable line of enquiry</w:t>
      </w:r>
      <w:r w:rsidRPr="00C835BE">
        <w:rPr>
          <w:rFonts w:eastAsia="Calibri" w:cs="Times New Roman"/>
        </w:rPr>
        <w:t xml:space="preserve"> constitueert. In de zaak </w:t>
      </w:r>
      <w:r w:rsidRPr="41859A08">
        <w:rPr>
          <w:rFonts w:eastAsia="Calibri" w:cs="Times New Roman"/>
          <w:i/>
          <w:iCs/>
        </w:rPr>
        <w:t>R v Bater-James</w:t>
      </w:r>
      <w:r w:rsidRPr="00C835BE">
        <w:rPr>
          <w:rFonts w:eastAsia="Calibri" w:cs="Times New Roman"/>
        </w:rPr>
        <w:t xml:space="preserve"> heeft het Court of Appeal echter nadere duiding gegeven aan deze vraag. Een </w:t>
      </w:r>
      <w:r w:rsidRPr="41859A08">
        <w:rPr>
          <w:rFonts w:eastAsia="Calibri" w:cs="Times New Roman"/>
          <w:i/>
          <w:iCs/>
        </w:rPr>
        <w:t xml:space="preserve">reasonable line of enquiry </w:t>
      </w:r>
      <w:r w:rsidRPr="00C835BE">
        <w:rPr>
          <w:rFonts w:eastAsia="Calibri" w:cs="Times New Roman"/>
        </w:rPr>
        <w:t>is afhankelijk van de feiten en omstandigheden van het geval, waarbij mede wordt gelet op een mogelijke verdediging.</w:t>
      </w:r>
      <w:r w:rsidR="00C835BE" w:rsidRPr="00C835BE">
        <w:rPr>
          <w:rFonts w:ascii="Calibri" w:eastAsia="Calibri" w:hAnsi="Calibri" w:cs="Times New Roman"/>
          <w:vertAlign w:val="superscript"/>
        </w:rPr>
        <w:footnoteReference w:id="152"/>
      </w:r>
      <w:r w:rsidRPr="00C835BE">
        <w:rPr>
          <w:rFonts w:eastAsia="Calibri" w:cs="Times New Roman"/>
        </w:rPr>
        <w:t xml:space="preserve"> In het geval van digitale data dient de investigator zich daarnaast af te vragen of het noodzakelijk is om al het materiaal door te spitten, of dat slechts kan worden volstaan met het onderzoeken van een deel van het materiaal.</w:t>
      </w:r>
      <w:r w:rsidR="00C835BE" w:rsidRPr="00C835BE">
        <w:rPr>
          <w:rFonts w:ascii="Calibri" w:eastAsia="Calibri" w:hAnsi="Calibri" w:cs="Times New Roman"/>
          <w:vertAlign w:val="superscript"/>
        </w:rPr>
        <w:footnoteReference w:id="153"/>
      </w:r>
    </w:p>
    <w:p w14:paraId="303DDF2F" w14:textId="77777777" w:rsidR="00C835BE" w:rsidRPr="00C835BE" w:rsidRDefault="00C835BE" w:rsidP="00C835BE">
      <w:pPr>
        <w:rPr>
          <w:rFonts w:eastAsia="Calibri" w:cs="Times New Roman"/>
        </w:rPr>
      </w:pPr>
    </w:p>
    <w:p w14:paraId="50A7C871" w14:textId="345EC55A" w:rsidR="00C835BE" w:rsidRPr="00C835BE" w:rsidRDefault="11CB81CA" w:rsidP="00C835BE">
      <w:pPr>
        <w:rPr>
          <w:rFonts w:eastAsia="Calibri" w:cs="Times New Roman"/>
        </w:rPr>
      </w:pPr>
      <w:r w:rsidRPr="00C835BE">
        <w:rPr>
          <w:rFonts w:eastAsia="Calibri" w:cs="Times New Roman"/>
        </w:rPr>
        <w:t xml:space="preserve">Wanneer de opsporingsambtenaren een </w:t>
      </w:r>
      <w:r w:rsidRPr="41859A08">
        <w:rPr>
          <w:rFonts w:eastAsia="Calibri" w:cs="Times New Roman"/>
          <w:i/>
          <w:iCs/>
        </w:rPr>
        <w:t>reasonable line of enquiry</w:t>
      </w:r>
      <w:r w:rsidRPr="00C835BE">
        <w:rPr>
          <w:rFonts w:eastAsia="Calibri" w:cs="Times New Roman"/>
        </w:rPr>
        <w:t xml:space="preserve"> nalopen, is het de bedoeling dat ze de vergaarde informatie </w:t>
      </w:r>
      <w:r w:rsidR="006E51B1">
        <w:rPr>
          <w:rFonts w:eastAsia="Calibri" w:cs="Times New Roman"/>
        </w:rPr>
        <w:t>vastleggen</w:t>
      </w:r>
      <w:r w:rsidRPr="00C835BE">
        <w:rPr>
          <w:rFonts w:eastAsia="Calibri" w:cs="Times New Roman"/>
        </w:rPr>
        <w:t xml:space="preserve"> in een “durable or retrievable form”.</w:t>
      </w:r>
      <w:r w:rsidR="00C835BE" w:rsidRPr="00C835BE">
        <w:rPr>
          <w:rFonts w:eastAsia="Calibri" w:cs="Times New Roman"/>
          <w:vertAlign w:val="superscript"/>
        </w:rPr>
        <w:footnoteReference w:id="154"/>
      </w:r>
      <w:r w:rsidRPr="00C835BE">
        <w:rPr>
          <w:rFonts w:eastAsia="Calibri" w:cs="Times New Roman"/>
        </w:rPr>
        <w:t xml:space="preserve"> Al het verzamelde bewijsmateriaal dient vervolgens te worden opgeslagen: dit kan zowel in originele vorm zijn als in een kopie daarvan. Het bewijsmateriaal wordt vervolgens vastgehouden totdat de vervolging op welke manier dan ook tot een einde komt.</w:t>
      </w:r>
      <w:r w:rsidR="00C835BE" w:rsidRPr="00C835BE">
        <w:rPr>
          <w:rFonts w:eastAsia="Calibri" w:cs="Times New Roman"/>
          <w:vertAlign w:val="superscript"/>
        </w:rPr>
        <w:footnoteReference w:id="155"/>
      </w:r>
      <w:r w:rsidRPr="00C835BE">
        <w:rPr>
          <w:rFonts w:eastAsia="Calibri" w:cs="Times New Roman"/>
        </w:rPr>
        <w:t xml:space="preserve"> De CPS Disclosure Manual schrijft voor dat op het moment dat opsporingsambtenaren twijfelen over het opnemen en vasthouden van informatie omdat het mogelijk wel/niet relevant is, zij voor de zekerheid beter wel daartoe kunnen overgaan.</w:t>
      </w:r>
      <w:r w:rsidR="00C835BE" w:rsidRPr="00C835BE">
        <w:rPr>
          <w:rFonts w:eastAsia="Calibri" w:cs="Times New Roman"/>
          <w:vertAlign w:val="superscript"/>
        </w:rPr>
        <w:footnoteReference w:id="156"/>
      </w:r>
      <w:r w:rsidRPr="00C835BE">
        <w:rPr>
          <w:rFonts w:eastAsia="Calibri" w:cs="Times New Roman"/>
        </w:rPr>
        <w:t xml:space="preserve"> </w:t>
      </w:r>
    </w:p>
    <w:p w14:paraId="4FC183FF" w14:textId="77777777" w:rsidR="00C835BE" w:rsidRPr="00C835BE" w:rsidRDefault="00C835BE" w:rsidP="00C835BE">
      <w:pPr>
        <w:rPr>
          <w:rFonts w:eastAsia="Calibri" w:cs="Times New Roman"/>
        </w:rPr>
      </w:pPr>
    </w:p>
    <w:p w14:paraId="4DF1AB85" w14:textId="77777777" w:rsidR="00C835BE" w:rsidRPr="00C835BE" w:rsidRDefault="11CB81CA" w:rsidP="00C835BE">
      <w:pPr>
        <w:rPr>
          <w:rFonts w:eastAsia="Calibri" w:cs="Times New Roman"/>
        </w:rPr>
      </w:pPr>
      <w:r w:rsidRPr="00C835BE">
        <w:rPr>
          <w:rFonts w:eastAsia="Calibri" w:cs="Times New Roman"/>
        </w:rPr>
        <w:lastRenderedPageBreak/>
        <w:t xml:space="preserve">De </w:t>
      </w:r>
      <w:r w:rsidRPr="41859A08">
        <w:rPr>
          <w:rFonts w:eastAsia="Calibri" w:cs="Times New Roman"/>
          <w:i/>
          <w:iCs/>
        </w:rPr>
        <w:t>disclosure officer</w:t>
      </w:r>
      <w:r w:rsidRPr="00C835BE">
        <w:rPr>
          <w:rFonts w:eastAsia="Calibri" w:cs="Times New Roman"/>
        </w:rPr>
        <w:t xml:space="preserve"> onderhoudt nauw contact met de prosecutor om te beoordelen welk materiaal mogelijk relevant kan zijn voor het onderzoek. Daarnaast stelt hij een lijst op van al het verzamelde en behouden bewijsmateriaal dat naar zijn oordeel geen deel zal uitmaken van de </w:t>
      </w:r>
      <w:r w:rsidRPr="41859A08">
        <w:rPr>
          <w:rFonts w:eastAsia="Calibri" w:cs="Times New Roman"/>
          <w:i/>
          <w:iCs/>
        </w:rPr>
        <w:t>prosecution case</w:t>
      </w:r>
      <w:r w:rsidRPr="00C835BE">
        <w:rPr>
          <w:rFonts w:eastAsia="Calibri" w:cs="Times New Roman"/>
        </w:rPr>
        <w:t xml:space="preserve">. Deze lijst wordt ook wel een </w:t>
      </w:r>
      <w:r w:rsidRPr="41859A08">
        <w:rPr>
          <w:rFonts w:eastAsia="Calibri" w:cs="Times New Roman"/>
          <w:i/>
          <w:iCs/>
        </w:rPr>
        <w:t xml:space="preserve">schedule of unused material </w:t>
      </w:r>
      <w:r w:rsidRPr="00C835BE">
        <w:rPr>
          <w:rFonts w:eastAsia="Calibri" w:cs="Times New Roman"/>
        </w:rPr>
        <w:t>genoemd. Overigens hoeft het bijhouden van deze schedule slechts te geschiedden voor zover het proces (waarschijnlijk) uitloopt op een trial of wanneer de verdachte bij het magistrates’ court een not guilty plea zal houden.</w:t>
      </w:r>
      <w:r w:rsidR="00C835BE" w:rsidRPr="00C835BE">
        <w:rPr>
          <w:rFonts w:eastAsia="Calibri" w:cs="Times New Roman"/>
          <w:vertAlign w:val="superscript"/>
        </w:rPr>
        <w:footnoteReference w:id="157"/>
      </w:r>
      <w:r w:rsidRPr="00C835BE">
        <w:rPr>
          <w:rFonts w:eastAsia="Calibri" w:cs="Times New Roman"/>
        </w:rPr>
        <w:t xml:space="preserve"> De</w:t>
      </w:r>
      <w:r w:rsidRPr="00855D9F">
        <w:rPr>
          <w:rFonts w:eastAsia="Calibri" w:cs="Times New Roman"/>
          <w:i/>
          <w:iCs/>
        </w:rPr>
        <w:t xml:space="preserve"> schedule</w:t>
      </w:r>
      <w:r w:rsidRPr="00C835BE">
        <w:rPr>
          <w:rFonts w:eastAsia="Calibri" w:cs="Times New Roman"/>
        </w:rPr>
        <w:t xml:space="preserve"> is onderverdeeld in twee delen: de </w:t>
      </w:r>
      <w:r w:rsidRPr="41859A08">
        <w:rPr>
          <w:rFonts w:eastAsia="Calibri" w:cs="Times New Roman"/>
          <w:i/>
          <w:iCs/>
        </w:rPr>
        <w:t>disclosure officer</w:t>
      </w:r>
      <w:r w:rsidRPr="00C835BE">
        <w:rPr>
          <w:rFonts w:eastAsia="Calibri" w:cs="Times New Roman"/>
        </w:rPr>
        <w:t xml:space="preserve"> stelt een lijst op met ongebruikt bewijsmateriaal dat hij gevoelig acht, en een lijst met niet-gevoelig bewijsmateriaal. Elk stuk bewijsmateriaal wordt op deze lijsten apart opgesteld en genummerd, samen met een korte omschrijving ervan. Met gevoelig bewijsmateriaal wordt gedoeld op al het materiaal dat naar het oordeel van de </w:t>
      </w:r>
      <w:r w:rsidRPr="41859A08">
        <w:rPr>
          <w:rFonts w:eastAsia="Calibri" w:cs="Times New Roman"/>
          <w:i/>
          <w:iCs/>
        </w:rPr>
        <w:t>disclosure officer</w:t>
      </w:r>
      <w:r w:rsidRPr="00C835BE">
        <w:rPr>
          <w:rFonts w:eastAsia="Calibri" w:cs="Times New Roman"/>
        </w:rPr>
        <w:t xml:space="preserve"> aanleiding zou gegeven tot een reëel risico op ernstige schade aan het openbaar belang, alsmede de toelichting bij dat oordeel. Het kan daarnaast voorkomen dat bewijsmateriaal dat op zichzelf niet gevoelig is, wel gevoelige gegevens bevat. Denk in dit kader bijvoorbeeld aan persoonsgegevens en vertrouwelijke informatie. In het geval dat de </w:t>
      </w:r>
      <w:r w:rsidRPr="41859A08">
        <w:rPr>
          <w:rFonts w:eastAsia="Calibri" w:cs="Times New Roman"/>
          <w:i/>
          <w:iCs/>
        </w:rPr>
        <w:t>disclosure officer</w:t>
      </w:r>
      <w:r w:rsidRPr="00C835BE">
        <w:rPr>
          <w:rFonts w:eastAsia="Calibri" w:cs="Times New Roman"/>
        </w:rPr>
        <w:t xml:space="preserve"> verwacht dat het bewijsmateriaal aan de </w:t>
      </w:r>
      <w:r w:rsidRPr="41859A08">
        <w:rPr>
          <w:rFonts w:eastAsia="Calibri" w:cs="Times New Roman"/>
          <w:i/>
          <w:iCs/>
        </w:rPr>
        <w:t>disclosure test</w:t>
      </w:r>
      <w:r w:rsidRPr="00C835BE">
        <w:rPr>
          <w:rFonts w:eastAsia="Calibri" w:cs="Times New Roman"/>
        </w:rPr>
        <w:t xml:space="preserve"> kan voldoen, dient hij deze gevoelige informatie te anonimiseren.</w:t>
      </w:r>
      <w:r w:rsidR="00C835BE" w:rsidRPr="00C835BE">
        <w:rPr>
          <w:rFonts w:eastAsia="Calibri" w:cs="Times New Roman"/>
          <w:vertAlign w:val="superscript"/>
        </w:rPr>
        <w:footnoteReference w:id="158"/>
      </w:r>
    </w:p>
    <w:p w14:paraId="4B4DFE02" w14:textId="77777777" w:rsidR="00C835BE" w:rsidRPr="00C835BE" w:rsidRDefault="00C835BE" w:rsidP="00C835BE">
      <w:pPr>
        <w:rPr>
          <w:rFonts w:eastAsia="Calibri" w:cs="Times New Roman"/>
        </w:rPr>
      </w:pPr>
    </w:p>
    <w:p w14:paraId="0A1673C3" w14:textId="77777777" w:rsidR="00C835BE" w:rsidRPr="00C835BE" w:rsidRDefault="11CB81CA" w:rsidP="00C835BE">
      <w:pPr>
        <w:rPr>
          <w:rFonts w:eastAsia="Calibri" w:cs="Times New Roman"/>
        </w:rPr>
      </w:pPr>
      <w:r w:rsidRPr="00C835BE">
        <w:rPr>
          <w:rFonts w:eastAsia="Calibri" w:cs="Times New Roman"/>
        </w:rPr>
        <w:t xml:space="preserve">In het geval van een (geanticipeerde) </w:t>
      </w:r>
      <w:r w:rsidRPr="00413019">
        <w:rPr>
          <w:rFonts w:eastAsia="Calibri" w:cs="Times New Roman"/>
          <w:i/>
          <w:iCs/>
        </w:rPr>
        <w:t>not guilty plea</w:t>
      </w:r>
      <w:r w:rsidRPr="00C835BE">
        <w:rPr>
          <w:rFonts w:eastAsia="Calibri" w:cs="Times New Roman"/>
        </w:rPr>
        <w:t xml:space="preserve"> van de verdachte, zendt de </w:t>
      </w:r>
      <w:r w:rsidRPr="41859A08">
        <w:rPr>
          <w:rFonts w:eastAsia="Calibri" w:cs="Times New Roman"/>
          <w:i/>
          <w:iCs/>
        </w:rPr>
        <w:t>disclosure officer</w:t>
      </w:r>
      <w:r w:rsidRPr="00C835BE">
        <w:rPr>
          <w:rFonts w:eastAsia="Calibri" w:cs="Times New Roman"/>
        </w:rPr>
        <w:t xml:space="preserve"> de schedules toe naar de prosecutor. Daarbij wijst de </w:t>
      </w:r>
      <w:r w:rsidRPr="41859A08">
        <w:rPr>
          <w:rFonts w:eastAsia="Calibri" w:cs="Times New Roman"/>
          <w:i/>
          <w:iCs/>
        </w:rPr>
        <w:t>disclosure officer</w:t>
      </w:r>
      <w:r w:rsidRPr="00C835BE">
        <w:rPr>
          <w:rFonts w:eastAsia="Calibri" w:cs="Times New Roman"/>
        </w:rPr>
        <w:t xml:space="preserve"> op het bewijsmateriaal waarvan hij verwacht dat dit aan de maatstaven van </w:t>
      </w:r>
      <w:r w:rsidRPr="41859A08">
        <w:rPr>
          <w:rFonts w:eastAsia="Calibri" w:cs="Times New Roman"/>
          <w:i/>
          <w:iCs/>
        </w:rPr>
        <w:t>statutory disclosure</w:t>
      </w:r>
      <w:r w:rsidRPr="00C835BE">
        <w:rPr>
          <w:rFonts w:eastAsia="Calibri" w:cs="Times New Roman"/>
        </w:rPr>
        <w:t xml:space="preserve"> zal voldoen. Bovendien verstrekt hij daarmee meteen een kopie van dit materiaal aan de prosecutor. In het geval dat de prosecutor aanvullende inzage in ander bewijsmateriaal verlangt dat nog niet is verstrekt, dient de </w:t>
      </w:r>
      <w:r w:rsidRPr="41859A08">
        <w:rPr>
          <w:rFonts w:eastAsia="Calibri" w:cs="Times New Roman"/>
          <w:i/>
          <w:iCs/>
        </w:rPr>
        <w:t>disclosure officer</w:t>
      </w:r>
      <w:r w:rsidRPr="00C835BE">
        <w:rPr>
          <w:rFonts w:eastAsia="Calibri" w:cs="Times New Roman"/>
        </w:rPr>
        <w:t xml:space="preserve"> hier gehoor aan te geven.</w:t>
      </w:r>
      <w:r w:rsidR="00C835BE" w:rsidRPr="00C835BE">
        <w:rPr>
          <w:rFonts w:eastAsia="Calibri" w:cs="Times New Roman"/>
          <w:vertAlign w:val="superscript"/>
        </w:rPr>
        <w:footnoteReference w:id="159"/>
      </w:r>
      <w:r w:rsidRPr="00C835BE">
        <w:rPr>
          <w:rFonts w:eastAsia="Calibri" w:cs="Times New Roman"/>
        </w:rPr>
        <w:t xml:space="preserve"> </w:t>
      </w:r>
    </w:p>
    <w:p w14:paraId="1A63BBEF" w14:textId="77777777" w:rsidR="00C835BE" w:rsidRPr="00C835BE" w:rsidRDefault="00C835BE" w:rsidP="00C835BE">
      <w:pPr>
        <w:rPr>
          <w:rFonts w:eastAsia="Calibri" w:cs="Times New Roman"/>
        </w:rPr>
      </w:pPr>
    </w:p>
    <w:p w14:paraId="7F2D8D39" w14:textId="77777777" w:rsidR="00C835BE" w:rsidRPr="00C835BE" w:rsidRDefault="00C835BE" w:rsidP="00C835BE">
      <w:pPr>
        <w:rPr>
          <w:rFonts w:eastAsia="Calibri" w:cs="Times New Roman"/>
        </w:rPr>
      </w:pPr>
      <w:r w:rsidRPr="00C835BE">
        <w:rPr>
          <w:rFonts w:eastAsia="Calibri" w:cs="Times New Roman"/>
        </w:rPr>
        <w:t xml:space="preserve">3.3.3   </w:t>
      </w:r>
      <w:r w:rsidRPr="00C835BE">
        <w:rPr>
          <w:rFonts w:eastAsia="Calibri" w:cs="Times New Roman"/>
          <w:i/>
          <w:iCs/>
        </w:rPr>
        <w:t>Statutory disclosure</w:t>
      </w:r>
    </w:p>
    <w:p w14:paraId="118FB5E7" w14:textId="136A38FB" w:rsidR="00C835BE" w:rsidRPr="00C835BE" w:rsidRDefault="00C835BE" w:rsidP="00C835BE">
      <w:pPr>
        <w:rPr>
          <w:rFonts w:eastAsia="Calibri" w:cs="Times New Roman"/>
        </w:rPr>
      </w:pPr>
      <w:r w:rsidRPr="00C835BE">
        <w:rPr>
          <w:rFonts w:eastAsia="Calibri" w:cs="Times New Roman"/>
        </w:rPr>
        <w:t xml:space="preserve">Met het onderzoeksproces in het achterhoofd volgt een bespreking van </w:t>
      </w:r>
      <w:r w:rsidRPr="00C835BE">
        <w:rPr>
          <w:rFonts w:eastAsia="Calibri" w:cs="Times New Roman"/>
          <w:i/>
          <w:iCs/>
        </w:rPr>
        <w:t>statutory disclosure</w:t>
      </w:r>
      <w:r w:rsidRPr="00C835BE">
        <w:rPr>
          <w:rFonts w:eastAsia="Calibri" w:cs="Times New Roman"/>
        </w:rPr>
        <w:t xml:space="preserve">. Deze naam is ontleend aan het feit dat deze vorm van </w:t>
      </w:r>
      <w:r w:rsidRPr="00C835BE">
        <w:rPr>
          <w:rFonts w:eastAsia="Calibri" w:cs="Times New Roman"/>
          <w:i/>
          <w:iCs/>
        </w:rPr>
        <w:t>disclosure</w:t>
      </w:r>
      <w:r w:rsidRPr="00C835BE">
        <w:rPr>
          <w:rFonts w:eastAsia="Calibri" w:cs="Times New Roman"/>
        </w:rPr>
        <w:t xml:space="preserve"> zijn basis vindt in één centrale wettelijke regeling, namelijk de CPIA</w:t>
      </w:r>
      <w:r w:rsidR="00413019">
        <w:rPr>
          <w:rFonts w:eastAsia="Calibri" w:cs="Times New Roman"/>
        </w:rPr>
        <w:t xml:space="preserve">. </w:t>
      </w:r>
      <w:r w:rsidRPr="00C835BE">
        <w:rPr>
          <w:rFonts w:eastAsia="Calibri" w:cs="Times New Roman"/>
        </w:rPr>
        <w:t xml:space="preserve">Deze regeling wordt aangevuld door de bijbehorende Code of Practice en de overige benoemde regelgeving. Zoals uit de wettekst blijkt, ziet de regeling omtrent </w:t>
      </w:r>
      <w:r w:rsidRPr="00C835BE">
        <w:rPr>
          <w:rFonts w:eastAsia="Calibri" w:cs="Times New Roman"/>
          <w:i/>
        </w:rPr>
        <w:t>disclosure</w:t>
      </w:r>
      <w:r w:rsidRPr="00C835BE">
        <w:rPr>
          <w:rFonts w:eastAsia="Calibri" w:cs="Times New Roman"/>
        </w:rPr>
        <w:t xml:space="preserve"> uit de CPIA op het verlenen </w:t>
      </w:r>
      <w:r w:rsidR="008E5DF7">
        <w:rPr>
          <w:rFonts w:eastAsia="Calibri" w:cs="Times New Roman"/>
        </w:rPr>
        <w:t>toegang tot</w:t>
      </w:r>
      <w:r w:rsidRPr="00C835BE">
        <w:rPr>
          <w:rFonts w:eastAsia="Calibri" w:cs="Times New Roman"/>
        </w:rPr>
        <w:t xml:space="preserve"> bewijsmateriaal dat zich niet in de </w:t>
      </w:r>
      <w:r w:rsidRPr="00C835BE">
        <w:rPr>
          <w:rFonts w:eastAsia="Calibri" w:cs="Times New Roman"/>
          <w:i/>
          <w:iCs/>
        </w:rPr>
        <w:t>prosecution case</w:t>
      </w:r>
      <w:r w:rsidRPr="00C835BE">
        <w:rPr>
          <w:rFonts w:eastAsia="Calibri" w:cs="Times New Roman"/>
        </w:rPr>
        <w:t xml:space="preserve"> bevindt. In s. 1(1-2) CPIA wordt het toepassingsgebied van </w:t>
      </w:r>
      <w:r w:rsidR="007F4EBA">
        <w:rPr>
          <w:rFonts w:eastAsia="Calibri" w:cs="Times New Roman"/>
        </w:rPr>
        <w:t>deze</w:t>
      </w:r>
      <w:r w:rsidRPr="00C835BE">
        <w:rPr>
          <w:rFonts w:eastAsia="Calibri" w:cs="Times New Roman"/>
        </w:rPr>
        <w:t xml:space="preserve"> regeling gegeven. Hieruit blijkt dat de regeling van toepassing is op </w:t>
      </w:r>
      <w:r w:rsidRPr="00C835BE">
        <w:rPr>
          <w:rFonts w:eastAsia="Calibri" w:cs="Times New Roman"/>
          <w:i/>
          <w:iCs/>
        </w:rPr>
        <w:t>summary proceedings</w:t>
      </w:r>
      <w:r w:rsidRPr="00C835BE">
        <w:rPr>
          <w:rFonts w:eastAsia="Calibri" w:cs="Times New Roman"/>
        </w:rPr>
        <w:t xml:space="preserve"> in het magistrates’ court ten aanzien van alle soorten strafbare feiten, zolang de verdachte een </w:t>
      </w:r>
      <w:r w:rsidRPr="00C835BE">
        <w:rPr>
          <w:rFonts w:eastAsia="Calibri" w:cs="Times New Roman"/>
          <w:i/>
          <w:iCs/>
        </w:rPr>
        <w:t>not guilty plea</w:t>
      </w:r>
      <w:r w:rsidRPr="00C835BE">
        <w:rPr>
          <w:rFonts w:eastAsia="Calibri" w:cs="Times New Roman"/>
        </w:rPr>
        <w:t xml:space="preserve"> heeft gehouden. Daarnaast is de procedure van toepassing wanneer sprake is van de behandeling van een </w:t>
      </w:r>
      <w:r w:rsidRPr="00833D40">
        <w:rPr>
          <w:rFonts w:eastAsia="Calibri" w:cs="Times New Roman"/>
          <w:i/>
          <w:iCs/>
        </w:rPr>
        <w:t>indictable offence</w:t>
      </w:r>
      <w:r w:rsidRPr="00C835BE">
        <w:rPr>
          <w:rFonts w:eastAsia="Calibri" w:cs="Times New Roman"/>
        </w:rPr>
        <w:t xml:space="preserve"> in het Crown Court. Bovendien wordt er in s. 2(b-g) CPIA een aantal specifieke gevallen gegeven waar sprake is van de </w:t>
      </w:r>
      <w:r w:rsidRPr="00C835BE">
        <w:rPr>
          <w:rFonts w:eastAsia="Calibri" w:cs="Times New Roman"/>
        </w:rPr>
        <w:lastRenderedPageBreak/>
        <w:t>overdracht van de vervolging naar het Crown Court of vervolging ten aanzien van bepaalde strafbare feiten.</w:t>
      </w:r>
    </w:p>
    <w:p w14:paraId="51420B80" w14:textId="77777777" w:rsidR="00C835BE" w:rsidRPr="00C835BE" w:rsidRDefault="00C835BE" w:rsidP="00C835BE">
      <w:pPr>
        <w:rPr>
          <w:rFonts w:eastAsia="Calibri" w:cs="Times New Roman"/>
        </w:rPr>
      </w:pPr>
    </w:p>
    <w:p w14:paraId="6DC00A42" w14:textId="77777777" w:rsidR="00C835BE" w:rsidRPr="00C835BE" w:rsidRDefault="00C835BE" w:rsidP="00C835BE">
      <w:pPr>
        <w:rPr>
          <w:rFonts w:eastAsia="Calibri" w:cs="Times New Roman"/>
        </w:rPr>
      </w:pPr>
      <w:r w:rsidRPr="00C835BE">
        <w:rPr>
          <w:rFonts w:eastAsia="Calibri" w:cs="Times New Roman"/>
        </w:rPr>
        <w:t xml:space="preserve">In s. 3(1) CPIA wordt de verplichting tot </w:t>
      </w:r>
      <w:r w:rsidRPr="00C835BE">
        <w:rPr>
          <w:rFonts w:eastAsia="Calibri" w:cs="Times New Roman"/>
          <w:i/>
        </w:rPr>
        <w:t>disclosure</w:t>
      </w:r>
      <w:r w:rsidRPr="00C835BE">
        <w:rPr>
          <w:rFonts w:eastAsia="Calibri" w:cs="Times New Roman"/>
        </w:rPr>
        <w:t xml:space="preserve"> voor de prosecutor gegeven. Deze plicht houdt in dat de prosecutor toepassing dient te geven aan de </w:t>
      </w:r>
      <w:r w:rsidRPr="00C835BE">
        <w:rPr>
          <w:rFonts w:eastAsia="Calibri" w:cs="Times New Roman"/>
          <w:i/>
          <w:iCs/>
        </w:rPr>
        <w:t>disclosure test</w:t>
      </w:r>
      <w:r w:rsidRPr="00C835BE">
        <w:rPr>
          <w:rFonts w:eastAsia="Calibri" w:cs="Times New Roman"/>
        </w:rPr>
        <w:t xml:space="preserve">. Deze </w:t>
      </w:r>
      <w:r w:rsidRPr="00C835BE">
        <w:rPr>
          <w:rFonts w:eastAsia="Calibri" w:cs="Times New Roman"/>
          <w:i/>
        </w:rPr>
        <w:t>disclosure test</w:t>
      </w:r>
      <w:r w:rsidRPr="00C835BE">
        <w:rPr>
          <w:rFonts w:eastAsia="Calibri" w:cs="Times New Roman"/>
        </w:rPr>
        <w:t xml:space="preserve"> omvat de voorwaarden voor het verstrekken van het ongebruikt bewijsmateriaal en luidt als volgt:</w:t>
      </w:r>
    </w:p>
    <w:p w14:paraId="7B56813B" w14:textId="77777777" w:rsidR="00C835BE" w:rsidRPr="00C835BE" w:rsidRDefault="00C835BE" w:rsidP="00C835BE">
      <w:pPr>
        <w:rPr>
          <w:rFonts w:eastAsia="Calibri" w:cs="Times New Roman"/>
        </w:rPr>
      </w:pPr>
    </w:p>
    <w:p w14:paraId="40A8ACFE" w14:textId="77777777" w:rsidR="00C835BE" w:rsidRPr="00C835BE" w:rsidRDefault="00C835BE" w:rsidP="00C835BE">
      <w:pPr>
        <w:numPr>
          <w:ilvl w:val="0"/>
          <w:numId w:val="2"/>
        </w:numPr>
        <w:rPr>
          <w:rFonts w:eastAsia="Calibri" w:cs="Times New Roman"/>
          <w:i/>
          <w:iCs/>
        </w:rPr>
      </w:pPr>
      <w:r w:rsidRPr="00C835BE">
        <w:rPr>
          <w:rFonts w:eastAsia="Calibri" w:cs="Times New Roman"/>
          <w:i/>
          <w:iCs/>
        </w:rPr>
        <w:t>The prosecutor must—</w:t>
      </w:r>
    </w:p>
    <w:p w14:paraId="22017028" w14:textId="77777777" w:rsidR="00C835BE" w:rsidRPr="00C835BE" w:rsidRDefault="00C835BE" w:rsidP="00C835BE">
      <w:pPr>
        <w:rPr>
          <w:rFonts w:eastAsia="Calibri" w:cs="Times New Roman"/>
          <w:i/>
          <w:iCs/>
        </w:rPr>
      </w:pPr>
    </w:p>
    <w:p w14:paraId="2C3866E1" w14:textId="77777777" w:rsidR="00C835BE" w:rsidRPr="00C835BE" w:rsidRDefault="00C835BE" w:rsidP="00C835BE">
      <w:pPr>
        <w:numPr>
          <w:ilvl w:val="1"/>
          <w:numId w:val="2"/>
        </w:numPr>
        <w:rPr>
          <w:rFonts w:eastAsia="Calibri" w:cs="Times New Roman"/>
          <w:i/>
          <w:iCs/>
          <w:lang w:val="en-GB"/>
        </w:rPr>
      </w:pPr>
      <w:r w:rsidRPr="00C835BE">
        <w:rPr>
          <w:rFonts w:eastAsia="Calibri" w:cs="Times New Roman"/>
          <w:i/>
          <w:iCs/>
          <w:lang w:val="en-GB"/>
        </w:rPr>
        <w:t>disclose to the accused any prosecution material which has not previously been disclosed to the accused and which might reasonably be considered capable of undermining the case for the prosecution against the accused or of assisting the case for the accused, or</w:t>
      </w:r>
    </w:p>
    <w:p w14:paraId="0ACF8FFF" w14:textId="77777777" w:rsidR="00C835BE" w:rsidRPr="00C835BE" w:rsidRDefault="00C835BE" w:rsidP="00C835BE">
      <w:pPr>
        <w:rPr>
          <w:rFonts w:eastAsia="Calibri" w:cs="Times New Roman"/>
          <w:i/>
          <w:iCs/>
          <w:lang w:val="en-GB"/>
        </w:rPr>
      </w:pPr>
    </w:p>
    <w:p w14:paraId="57D3DD56" w14:textId="77777777" w:rsidR="00C835BE" w:rsidRPr="00C835BE" w:rsidRDefault="00C835BE" w:rsidP="00C835BE">
      <w:pPr>
        <w:numPr>
          <w:ilvl w:val="1"/>
          <w:numId w:val="2"/>
        </w:numPr>
        <w:rPr>
          <w:rFonts w:eastAsia="Calibri" w:cs="Times New Roman"/>
          <w:i/>
          <w:iCs/>
          <w:lang w:val="en-GB"/>
        </w:rPr>
      </w:pPr>
      <w:r w:rsidRPr="00C835BE">
        <w:rPr>
          <w:rFonts w:eastAsia="Calibri" w:cs="Times New Roman"/>
          <w:i/>
          <w:iCs/>
          <w:lang w:val="en-GB"/>
        </w:rPr>
        <w:t>give to the accused a written statement that there is no material of a description mentioned in paragraph (a).</w:t>
      </w:r>
    </w:p>
    <w:p w14:paraId="75DF12D1" w14:textId="77777777" w:rsidR="00C835BE" w:rsidRPr="00C835BE" w:rsidRDefault="00C835BE" w:rsidP="00C835BE">
      <w:pPr>
        <w:rPr>
          <w:rFonts w:eastAsia="Calibri" w:cs="Times New Roman"/>
          <w:lang w:val="en-US"/>
        </w:rPr>
      </w:pPr>
    </w:p>
    <w:p w14:paraId="09E1CF52" w14:textId="77777777" w:rsidR="00C835BE" w:rsidRPr="00C835BE" w:rsidRDefault="11CB81CA" w:rsidP="00C835BE">
      <w:pPr>
        <w:rPr>
          <w:rFonts w:eastAsia="Calibri" w:cs="Times New Roman"/>
        </w:rPr>
      </w:pPr>
      <w:r w:rsidRPr="00C835BE">
        <w:rPr>
          <w:rFonts w:eastAsia="Calibri" w:cs="Times New Roman"/>
        </w:rPr>
        <w:t xml:space="preserve">De prosecutor dient dus na te gaan of hij bewijsmateriaal in zijn bezit heeft dat in redelijkheid ondersteunend kan zijn voor de verdediging, zowel om het pleidooi van de verdediging te versterken als het pleidooi van de </w:t>
      </w:r>
      <w:r w:rsidRPr="41859A08">
        <w:rPr>
          <w:rFonts w:eastAsia="Calibri" w:cs="Times New Roman"/>
          <w:i/>
          <w:iCs/>
        </w:rPr>
        <w:t>prosecution</w:t>
      </w:r>
      <w:r w:rsidRPr="00C835BE">
        <w:rPr>
          <w:rFonts w:eastAsia="Calibri" w:cs="Times New Roman"/>
        </w:rPr>
        <w:t xml:space="preserve"> onderuit te halen. In dat kader is van belang dat de prosecutor de </w:t>
      </w:r>
      <w:r w:rsidRPr="41859A08">
        <w:rPr>
          <w:rFonts w:eastAsia="Calibri" w:cs="Times New Roman"/>
          <w:i/>
          <w:iCs/>
        </w:rPr>
        <w:t>disclosure test</w:t>
      </w:r>
      <w:r w:rsidRPr="00C835BE">
        <w:rPr>
          <w:rFonts w:eastAsia="Calibri" w:cs="Times New Roman"/>
        </w:rPr>
        <w:t xml:space="preserve"> serieus benadert en dit niet afdoet als een “box-ticking exercise”.</w:t>
      </w:r>
      <w:r w:rsidR="00C835BE" w:rsidRPr="00C835BE">
        <w:rPr>
          <w:rFonts w:eastAsia="Calibri" w:cs="Times New Roman"/>
          <w:vertAlign w:val="superscript"/>
        </w:rPr>
        <w:footnoteReference w:id="160"/>
      </w:r>
      <w:r w:rsidRPr="00C835BE">
        <w:rPr>
          <w:rFonts w:eastAsia="Calibri" w:cs="Times New Roman"/>
        </w:rPr>
        <w:t xml:space="preserve"> In het geval dat er geen bewijs aanwezig is dat aan de </w:t>
      </w:r>
      <w:r w:rsidRPr="41859A08">
        <w:rPr>
          <w:rFonts w:eastAsia="Calibri" w:cs="Times New Roman"/>
          <w:i/>
          <w:iCs/>
        </w:rPr>
        <w:t>disclosure test</w:t>
      </w:r>
      <w:r w:rsidRPr="00C835BE">
        <w:rPr>
          <w:rFonts w:eastAsia="Calibri" w:cs="Times New Roman"/>
        </w:rPr>
        <w:t xml:space="preserve"> voldoet, dient de prosecutor dat schriftelijk kennis te geven aan de verdediging.</w:t>
      </w:r>
    </w:p>
    <w:p w14:paraId="36DB25C7" w14:textId="77777777" w:rsidR="00C835BE" w:rsidRPr="00C835BE" w:rsidRDefault="00C835BE" w:rsidP="00C835BE">
      <w:pPr>
        <w:rPr>
          <w:rFonts w:eastAsia="Calibri" w:cs="Times New Roman"/>
        </w:rPr>
      </w:pPr>
    </w:p>
    <w:p w14:paraId="1045047C" w14:textId="34D56319" w:rsidR="00C835BE" w:rsidRPr="00C835BE" w:rsidRDefault="11CB81CA" w:rsidP="00C835BE">
      <w:pPr>
        <w:rPr>
          <w:rFonts w:eastAsia="Calibri" w:cs="Times New Roman"/>
        </w:rPr>
      </w:pPr>
      <w:r w:rsidRPr="00C835BE">
        <w:rPr>
          <w:rFonts w:eastAsia="Calibri" w:cs="Times New Roman"/>
        </w:rPr>
        <w:t xml:space="preserve">Op het moment dat de </w:t>
      </w:r>
      <w:r w:rsidRPr="41859A08">
        <w:rPr>
          <w:rFonts w:eastAsia="Calibri" w:cs="Times New Roman"/>
          <w:i/>
          <w:iCs/>
        </w:rPr>
        <w:t>disclosure test</w:t>
      </w:r>
      <w:r w:rsidRPr="00C835BE">
        <w:rPr>
          <w:rFonts w:eastAsia="Calibri" w:cs="Times New Roman"/>
        </w:rPr>
        <w:t xml:space="preserve"> positief luidt, heeft de prosecutor op grond van de CPIA een tweetal opties. Hij kan de verdediging een kopie toezenden van het bewijsmateriaal (s. 3(3)(a) CPIA) of in het geval dat dit onwenselijk wordt geacht, kan de verdediging inzage worden verleend in het bewijsmateriaal (s. 3(3)(b) CPIA). Wanneer het bewijsmateriaal bestaat uit informatie die nog niet op formele wijze is vastgelegd, zorgt de prosecutor er op grond van s. 3(4) CPIA voor dat dit alsnog gebeurt en dat het bewijsmateriaal vervolgens op een van de voornoemde wijzen wordt verstrekt. Het kan echter voorkomen dat het bewijsmateriaal niet bestaat uit informatie: in dat geval wordt de verdediging ingevolge s. 3(5) CPIA inzage verleend door middel van inspectie. Hoewel uit de CPIA dus de plicht tot </w:t>
      </w:r>
      <w:r w:rsidRPr="41859A08">
        <w:rPr>
          <w:rFonts w:eastAsia="Calibri" w:cs="Times New Roman"/>
          <w:i/>
          <w:iCs/>
        </w:rPr>
        <w:t>disclosure</w:t>
      </w:r>
      <w:r w:rsidRPr="00C835BE">
        <w:rPr>
          <w:rFonts w:eastAsia="Calibri" w:cs="Times New Roman"/>
        </w:rPr>
        <w:t xml:space="preserve"> blijkt, wordt daarin niet gesproken over het exacte moment waarop deze plicht aanvangt. Volgens de richtlijn van de Attorney General dient dit waar mogelijk plaats te vinden voor de ‘first hearing’.</w:t>
      </w:r>
      <w:r w:rsidR="00C835BE" w:rsidRPr="00C835BE">
        <w:rPr>
          <w:rFonts w:eastAsia="Calibri" w:cs="Times New Roman"/>
          <w:vertAlign w:val="superscript"/>
        </w:rPr>
        <w:footnoteReference w:id="161"/>
      </w:r>
      <w:r w:rsidRPr="00C835BE">
        <w:rPr>
          <w:rFonts w:eastAsia="Calibri" w:cs="Times New Roman"/>
        </w:rPr>
        <w:t xml:space="preserve"> In andere zaken geldt voor het magistrates’ court dat </w:t>
      </w:r>
      <w:r w:rsidRPr="41859A08">
        <w:rPr>
          <w:rFonts w:eastAsia="Calibri" w:cs="Times New Roman"/>
          <w:i/>
          <w:iCs/>
        </w:rPr>
        <w:t>disclosure</w:t>
      </w:r>
      <w:r w:rsidRPr="00C835BE">
        <w:rPr>
          <w:rFonts w:eastAsia="Calibri" w:cs="Times New Roman"/>
        </w:rPr>
        <w:t xml:space="preserve"> plaatsvindt </w:t>
      </w:r>
      <w:r w:rsidRPr="00C835BE">
        <w:rPr>
          <w:rFonts w:eastAsia="Calibri" w:cs="Times New Roman"/>
        </w:rPr>
        <w:lastRenderedPageBreak/>
        <w:t xml:space="preserve">zodra er sprake is van een </w:t>
      </w:r>
      <w:r w:rsidRPr="41859A08">
        <w:rPr>
          <w:rFonts w:eastAsia="Calibri" w:cs="Times New Roman"/>
          <w:i/>
          <w:iCs/>
        </w:rPr>
        <w:t>not guilty plea</w:t>
      </w:r>
      <w:r w:rsidRPr="00C835BE">
        <w:rPr>
          <w:rFonts w:eastAsia="Calibri" w:cs="Times New Roman"/>
        </w:rPr>
        <w:t xml:space="preserve">. In het Crown Court ligt het aangewezen moment - </w:t>
      </w:r>
      <w:r w:rsidR="0082406B">
        <w:rPr>
          <w:rFonts w:eastAsia="Calibri" w:cs="Times New Roman"/>
        </w:rPr>
        <w:t>indien</w:t>
      </w:r>
      <w:r w:rsidRPr="00C835BE">
        <w:rPr>
          <w:rFonts w:eastAsia="Calibri" w:cs="Times New Roman"/>
        </w:rPr>
        <w:t xml:space="preserve"> mogelijk - voordat de eerste terechtzitting plaatsvindt, en anders op het moment dat de prosecutor zijn pleidooi heeft gevoerd.</w:t>
      </w:r>
      <w:r w:rsidR="00C835BE" w:rsidRPr="00C835BE">
        <w:rPr>
          <w:rFonts w:eastAsia="Calibri" w:cs="Times New Roman"/>
          <w:vertAlign w:val="superscript"/>
        </w:rPr>
        <w:footnoteReference w:id="162"/>
      </w:r>
    </w:p>
    <w:p w14:paraId="42C9BD92" w14:textId="77777777" w:rsidR="00C835BE" w:rsidRPr="00C835BE" w:rsidRDefault="00C835BE" w:rsidP="00C835BE">
      <w:pPr>
        <w:rPr>
          <w:rFonts w:eastAsia="Calibri" w:cs="Times New Roman"/>
        </w:rPr>
      </w:pPr>
    </w:p>
    <w:p w14:paraId="507A708A" w14:textId="77777777" w:rsidR="00C835BE" w:rsidRPr="00C835BE" w:rsidRDefault="11CB81CA" w:rsidP="00C835BE">
      <w:pPr>
        <w:rPr>
          <w:rFonts w:eastAsia="Calibri" w:cs="Times New Roman"/>
        </w:rPr>
      </w:pPr>
      <w:r w:rsidRPr="00C835BE">
        <w:rPr>
          <w:rFonts w:eastAsia="Calibri" w:cs="Times New Roman"/>
        </w:rPr>
        <w:t xml:space="preserve">De voorgaande plicht voor de prosecutor om tot </w:t>
      </w:r>
      <w:r w:rsidRPr="41859A08">
        <w:rPr>
          <w:rFonts w:eastAsia="Calibri" w:cs="Times New Roman"/>
          <w:i/>
          <w:iCs/>
        </w:rPr>
        <w:t>disclosure</w:t>
      </w:r>
      <w:r w:rsidRPr="00C835BE">
        <w:rPr>
          <w:rFonts w:eastAsia="Calibri" w:cs="Times New Roman"/>
        </w:rPr>
        <w:t xml:space="preserve"> over te gaan wordt ook wel aangeduid als </w:t>
      </w:r>
      <w:r w:rsidRPr="41859A08">
        <w:rPr>
          <w:rFonts w:eastAsia="Calibri" w:cs="Times New Roman"/>
          <w:i/>
          <w:iCs/>
        </w:rPr>
        <w:t>initial disclosure</w:t>
      </w:r>
      <w:r w:rsidRPr="00C835BE">
        <w:rPr>
          <w:rFonts w:eastAsia="Calibri" w:cs="Times New Roman"/>
        </w:rPr>
        <w:t xml:space="preserve">. Deze naam is niet gek met het oog op s. 7A(2 en 3) CPIA, waarin de prosecutor de verplichting wordt opgelegd tot </w:t>
      </w:r>
      <w:r w:rsidRPr="41859A08">
        <w:rPr>
          <w:rFonts w:eastAsia="Calibri" w:cs="Times New Roman"/>
          <w:i/>
          <w:iCs/>
        </w:rPr>
        <w:t>continuing disclosure</w:t>
      </w:r>
      <w:r w:rsidRPr="00C835BE">
        <w:rPr>
          <w:rFonts w:eastAsia="Calibri" w:cs="Times New Roman"/>
        </w:rPr>
        <w:t xml:space="preserve">, inhoudende dat de prosecutor te allen tijde moet nagaan of hij bewijsmateriaal onder zich heeft dat voldoet aan de </w:t>
      </w:r>
      <w:r w:rsidRPr="41859A08">
        <w:rPr>
          <w:rFonts w:eastAsia="Calibri" w:cs="Times New Roman"/>
          <w:i/>
          <w:iCs/>
        </w:rPr>
        <w:t>disclosure test</w:t>
      </w:r>
      <w:r w:rsidRPr="00C835BE">
        <w:rPr>
          <w:rFonts w:eastAsia="Calibri" w:cs="Times New Roman"/>
        </w:rPr>
        <w:t xml:space="preserve"> en nog niet aan de verdediging is verstrekt. Als dat het geval is, dient de prosecutor alsnog tot </w:t>
      </w:r>
      <w:r w:rsidRPr="41859A08">
        <w:rPr>
          <w:rFonts w:eastAsia="Calibri" w:cs="Times New Roman"/>
          <w:i/>
          <w:iCs/>
        </w:rPr>
        <w:t>disclosure</w:t>
      </w:r>
      <w:r w:rsidRPr="00C835BE">
        <w:rPr>
          <w:rFonts w:eastAsia="Calibri" w:cs="Times New Roman"/>
        </w:rPr>
        <w:t xml:space="preserve"> van dit bewijsmateriaal over te gaan. Er kan dus niet worden volstaan met een eenmalige </w:t>
      </w:r>
      <w:r w:rsidRPr="41859A08">
        <w:rPr>
          <w:rFonts w:eastAsia="Calibri" w:cs="Times New Roman"/>
          <w:i/>
          <w:iCs/>
        </w:rPr>
        <w:t>disclosure</w:t>
      </w:r>
      <w:r w:rsidRPr="00C835BE">
        <w:rPr>
          <w:rFonts w:eastAsia="Calibri" w:cs="Times New Roman"/>
        </w:rPr>
        <w:t xml:space="preserve"> en de plicht tot </w:t>
      </w:r>
      <w:r w:rsidRPr="41859A08">
        <w:rPr>
          <w:rFonts w:eastAsia="Calibri" w:cs="Times New Roman"/>
          <w:i/>
          <w:iCs/>
        </w:rPr>
        <w:t>continuing</w:t>
      </w:r>
      <w:r w:rsidRPr="00C835BE">
        <w:rPr>
          <w:rFonts w:eastAsia="Calibri" w:cs="Times New Roman"/>
        </w:rPr>
        <w:t xml:space="preserve"> </w:t>
      </w:r>
      <w:r w:rsidRPr="41859A08">
        <w:rPr>
          <w:rFonts w:eastAsia="Calibri" w:cs="Times New Roman"/>
          <w:i/>
          <w:iCs/>
        </w:rPr>
        <w:t>disclosure</w:t>
      </w:r>
      <w:r w:rsidRPr="00C835BE">
        <w:rPr>
          <w:rFonts w:eastAsia="Calibri" w:cs="Times New Roman"/>
        </w:rPr>
        <w:t xml:space="preserve"> creëert een actieve rol voor de prosecutor de </w:t>
      </w:r>
      <w:r w:rsidRPr="41859A08">
        <w:rPr>
          <w:rFonts w:eastAsia="Calibri" w:cs="Times New Roman"/>
          <w:i/>
          <w:iCs/>
        </w:rPr>
        <w:t>disclosure test</w:t>
      </w:r>
      <w:r w:rsidRPr="00C835BE">
        <w:rPr>
          <w:rFonts w:eastAsia="Calibri" w:cs="Times New Roman"/>
        </w:rPr>
        <w:t xml:space="preserve"> meermaals uit te voeren zolang het proces nog voortduurt.</w:t>
      </w:r>
      <w:r w:rsidR="00C835BE" w:rsidRPr="00C835BE">
        <w:rPr>
          <w:rFonts w:eastAsia="Calibri" w:cs="Times New Roman"/>
          <w:vertAlign w:val="superscript"/>
        </w:rPr>
        <w:footnoteReference w:id="163"/>
      </w:r>
      <w:r w:rsidRPr="00C835BE">
        <w:rPr>
          <w:rFonts w:eastAsia="Calibri" w:cs="Times New Roman"/>
        </w:rPr>
        <w:t xml:space="preserve"> Hoe vaak dit zou moeten gebeuren, wordt uit de wet evenwel niet duidelijk.</w:t>
      </w:r>
    </w:p>
    <w:p w14:paraId="043C4A8F" w14:textId="77777777" w:rsidR="00C835BE" w:rsidRPr="00C835BE" w:rsidRDefault="00C835BE" w:rsidP="00C835BE">
      <w:pPr>
        <w:rPr>
          <w:rFonts w:eastAsia="Calibri" w:cs="Times New Roman"/>
        </w:rPr>
      </w:pPr>
    </w:p>
    <w:p w14:paraId="1804FD0F" w14:textId="77777777" w:rsidR="00C835BE" w:rsidRPr="00C835BE" w:rsidRDefault="00C835BE" w:rsidP="00C835BE">
      <w:pPr>
        <w:rPr>
          <w:rFonts w:eastAsia="Calibri" w:cs="Times New Roman"/>
          <w:i/>
          <w:iCs/>
        </w:rPr>
      </w:pPr>
      <w:r w:rsidRPr="00C835BE">
        <w:rPr>
          <w:rFonts w:eastAsia="Calibri" w:cs="Times New Roman"/>
        </w:rPr>
        <w:t xml:space="preserve">3.3.4   </w:t>
      </w:r>
      <w:r w:rsidRPr="00C835BE">
        <w:rPr>
          <w:rFonts w:eastAsia="Calibri" w:cs="Times New Roman"/>
          <w:i/>
          <w:iCs/>
        </w:rPr>
        <w:t>Uitzonderingen op statutory disclosure</w:t>
      </w:r>
    </w:p>
    <w:p w14:paraId="126CE944" w14:textId="172C7379" w:rsidR="00C835BE" w:rsidRPr="00C835BE" w:rsidRDefault="11CB81CA" w:rsidP="00C835BE">
      <w:pPr>
        <w:rPr>
          <w:rFonts w:eastAsia="Calibri" w:cs="Times New Roman"/>
        </w:rPr>
      </w:pPr>
      <w:r w:rsidRPr="00C835BE">
        <w:rPr>
          <w:rFonts w:eastAsia="Calibri" w:cs="Times New Roman"/>
        </w:rPr>
        <w:t xml:space="preserve">Er bestaan echter uitzonderingen op de hiervoor beschreven </w:t>
      </w:r>
      <w:r w:rsidRPr="41859A08">
        <w:rPr>
          <w:rFonts w:eastAsia="Calibri" w:cs="Times New Roman"/>
          <w:i/>
          <w:iCs/>
        </w:rPr>
        <w:t>disclosure test</w:t>
      </w:r>
      <w:r w:rsidRPr="00C835BE">
        <w:rPr>
          <w:rFonts w:eastAsia="Calibri" w:cs="Times New Roman"/>
        </w:rPr>
        <w:t xml:space="preserve"> uit s. 3(1) CPIA. De eerste uitzondering wordt in hetzelfde artikel gegeven en ziet op gevallen waarin sprake is van ‘onderschepte communicatie’ in de zin van de Investigatory Powers Act</w:t>
      </w:r>
      <w:r w:rsidR="00BA11A5">
        <w:rPr>
          <w:rFonts w:eastAsia="Calibri" w:cs="Times New Roman"/>
        </w:rPr>
        <w:t xml:space="preserve"> (hierna: IPA)</w:t>
      </w:r>
      <w:r w:rsidRPr="00C835BE">
        <w:rPr>
          <w:rFonts w:eastAsia="Calibri" w:cs="Times New Roman"/>
        </w:rPr>
        <w:t xml:space="preserve">. In s. 56 van die wet wordt immers uitdrukkelijk verboden dat dit soort communicatie of daarvan afgeleide data worden onderworpen aan </w:t>
      </w:r>
      <w:bookmarkStart w:id="13" w:name="_Hlk169181076"/>
      <w:r w:rsidRPr="41859A08">
        <w:rPr>
          <w:rFonts w:eastAsia="Calibri" w:cs="Times New Roman"/>
          <w:i/>
          <w:iCs/>
        </w:rPr>
        <w:t>statutory</w:t>
      </w:r>
      <w:r w:rsidRPr="00C835BE">
        <w:rPr>
          <w:rFonts w:eastAsia="Calibri" w:cs="Times New Roman"/>
        </w:rPr>
        <w:t xml:space="preserve"> </w:t>
      </w:r>
      <w:bookmarkEnd w:id="13"/>
      <w:r w:rsidRPr="41859A08">
        <w:rPr>
          <w:rFonts w:eastAsia="Calibri" w:cs="Times New Roman"/>
          <w:i/>
          <w:iCs/>
        </w:rPr>
        <w:t>disclosure</w:t>
      </w:r>
      <w:r w:rsidRPr="00C835BE">
        <w:rPr>
          <w:rFonts w:eastAsia="Calibri" w:cs="Times New Roman"/>
        </w:rPr>
        <w:t xml:space="preserve">. Dit wordt in de CPIA expliciet herhaald in s. 3(7). </w:t>
      </w:r>
      <w:r w:rsidR="39EA936E" w:rsidRPr="00C835BE">
        <w:rPr>
          <w:rFonts w:eastAsia="Calibri" w:cs="Times New Roman"/>
        </w:rPr>
        <w:t xml:space="preserve">Derhalve rijst de vraag of onderschepte/gehackte PGP-berichten uit een dataset ook onder dit verbod vallen. Dat is echter niet het geval: </w:t>
      </w:r>
      <w:r w:rsidR="4DF389F8" w:rsidRPr="00C835BE">
        <w:rPr>
          <w:rFonts w:eastAsia="Calibri" w:cs="Times New Roman"/>
        </w:rPr>
        <w:t xml:space="preserve">er bestaan immers uitzonderingen op het verbod uit s. 56 </w:t>
      </w:r>
      <w:r w:rsidR="00BA11A5">
        <w:rPr>
          <w:rFonts w:eastAsia="Calibri" w:cs="Times New Roman"/>
        </w:rPr>
        <w:t>IPA.</w:t>
      </w:r>
      <w:r w:rsidR="49450FEA" w:rsidRPr="00C835BE">
        <w:rPr>
          <w:rFonts w:eastAsia="Calibri" w:cs="Times New Roman"/>
        </w:rPr>
        <w:t xml:space="preserve"> Een van deze uitzonderingen ziet op </w:t>
      </w:r>
      <w:r w:rsidR="27C82046" w:rsidRPr="00C835BE">
        <w:rPr>
          <w:rFonts w:eastAsia="Calibri" w:cs="Times New Roman"/>
        </w:rPr>
        <w:t>de</w:t>
      </w:r>
      <w:r w:rsidR="47C373D6" w:rsidRPr="00C835BE">
        <w:rPr>
          <w:rFonts w:eastAsia="Calibri" w:cs="Times New Roman"/>
        </w:rPr>
        <w:t xml:space="preserve"> </w:t>
      </w:r>
      <w:r w:rsidR="27C82046" w:rsidRPr="00C835BE">
        <w:rPr>
          <w:rFonts w:eastAsia="Calibri" w:cs="Times New Roman"/>
        </w:rPr>
        <w:t xml:space="preserve">rechtmatige onderschepping van communicatie die wordt opgeslagen in of door een telecommunicatiesysteem. Derhalve vallen PGP-berichten </w:t>
      </w:r>
      <w:r w:rsidR="216B6375" w:rsidRPr="00C835BE">
        <w:rPr>
          <w:rFonts w:eastAsia="Calibri" w:cs="Times New Roman"/>
        </w:rPr>
        <w:t xml:space="preserve">(en daarvan afgeleide datasets) niet onder het verbod uit s. 56 </w:t>
      </w:r>
      <w:r w:rsidR="00252D59">
        <w:rPr>
          <w:rFonts w:eastAsia="Calibri" w:cs="Times New Roman"/>
        </w:rPr>
        <w:t>IPA</w:t>
      </w:r>
      <w:r w:rsidRPr="00C835BE">
        <w:rPr>
          <w:rFonts w:eastAsia="Calibri" w:cs="Times New Roman"/>
        </w:rPr>
        <w:t>.</w:t>
      </w:r>
      <w:r w:rsidR="00C835BE" w:rsidRPr="00C835BE">
        <w:rPr>
          <w:rFonts w:eastAsia="Calibri" w:cs="Times New Roman"/>
          <w:vertAlign w:val="superscript"/>
        </w:rPr>
        <w:footnoteReference w:id="164"/>
      </w:r>
      <w:r w:rsidRPr="00C835BE">
        <w:rPr>
          <w:rFonts w:eastAsia="Calibri" w:cs="Times New Roman"/>
        </w:rPr>
        <w:t xml:space="preserve"> Bovendien zullen niet alle vormen van datasets bestaan uit onderschepte communicatie: in dat verband kan bijvoorbeeld worden gedacht aan grote hoeveelheden administratie, afbeeldingen en/of opgeslagen documenten.</w:t>
      </w:r>
      <w:r w:rsidR="00C835BE" w:rsidRPr="00C835BE">
        <w:rPr>
          <w:rFonts w:eastAsia="Calibri" w:cs="Times New Roman"/>
          <w:vertAlign w:val="superscript"/>
        </w:rPr>
        <w:footnoteReference w:id="165"/>
      </w:r>
    </w:p>
    <w:p w14:paraId="773D8DBF" w14:textId="77777777" w:rsidR="00C835BE" w:rsidRPr="00C835BE" w:rsidRDefault="00C835BE" w:rsidP="00C835BE">
      <w:pPr>
        <w:rPr>
          <w:rFonts w:eastAsia="Calibri" w:cs="Times New Roman"/>
        </w:rPr>
      </w:pPr>
    </w:p>
    <w:p w14:paraId="0F73D37F" w14:textId="77777777" w:rsidR="00C835BE" w:rsidRPr="00C835BE" w:rsidRDefault="11CB81CA" w:rsidP="00C835BE">
      <w:pPr>
        <w:rPr>
          <w:rFonts w:eastAsia="Calibri" w:cs="Times New Roman"/>
        </w:rPr>
      </w:pPr>
      <w:r w:rsidRPr="00C835BE">
        <w:rPr>
          <w:rFonts w:eastAsia="Calibri" w:cs="Times New Roman"/>
        </w:rPr>
        <w:t xml:space="preserve">Een tweede uitzondering op </w:t>
      </w:r>
      <w:r w:rsidRPr="41859A08">
        <w:rPr>
          <w:rFonts w:eastAsia="Calibri" w:cs="Times New Roman"/>
          <w:i/>
          <w:iCs/>
        </w:rPr>
        <w:t>statutory</w:t>
      </w:r>
      <w:r w:rsidRPr="00C835BE">
        <w:rPr>
          <w:rFonts w:eastAsia="Calibri" w:cs="Times New Roman"/>
        </w:rPr>
        <w:t xml:space="preserve"> </w:t>
      </w:r>
      <w:r w:rsidRPr="41859A08">
        <w:rPr>
          <w:rFonts w:eastAsia="Calibri" w:cs="Times New Roman"/>
          <w:i/>
          <w:iCs/>
        </w:rPr>
        <w:t>disclosure</w:t>
      </w:r>
      <w:r w:rsidRPr="00C835BE">
        <w:rPr>
          <w:rFonts w:eastAsia="Calibri" w:cs="Times New Roman"/>
        </w:rPr>
        <w:t xml:space="preserve"> is gelegen in s. 3(6) CPIA en ziet op strijdigheid met het algemeen belang (</w:t>
      </w:r>
      <w:r w:rsidRPr="41859A08">
        <w:rPr>
          <w:rFonts w:eastAsia="Calibri" w:cs="Times New Roman"/>
          <w:i/>
          <w:iCs/>
        </w:rPr>
        <w:t>public interest</w:t>
      </w:r>
      <w:r w:rsidRPr="00C835BE">
        <w:rPr>
          <w:rFonts w:eastAsia="Calibri" w:cs="Times New Roman"/>
        </w:rPr>
        <w:t xml:space="preserve">) bij de </w:t>
      </w:r>
      <w:r w:rsidRPr="41859A08">
        <w:rPr>
          <w:rFonts w:eastAsia="Calibri" w:cs="Times New Roman"/>
          <w:i/>
          <w:iCs/>
        </w:rPr>
        <w:t>disclosure</w:t>
      </w:r>
      <w:r w:rsidRPr="00C835BE">
        <w:rPr>
          <w:rFonts w:eastAsia="Calibri" w:cs="Times New Roman"/>
        </w:rPr>
        <w:t xml:space="preserve"> van het bewijsmateriaal. In het geval dat er sprake is van strijd met het algemeen belang, kan de rechter oordelen dat de verdediging geen inzage of toezending daarvan toekomt. Wanneer sprake kan zijn van strijd met het algemeen belang, wordt evenwel niet aangeduid in de CPIA. Daarvoor moet worden uitgeweken naar de jurisprudentie. In </w:t>
      </w:r>
      <w:r w:rsidRPr="00C835BE">
        <w:rPr>
          <w:rFonts w:eastAsia="Calibri" w:cs="Times New Roman"/>
        </w:rPr>
        <w:lastRenderedPageBreak/>
        <w:t>2004 deed de House of Lords</w:t>
      </w:r>
      <w:r w:rsidR="00C835BE" w:rsidRPr="00C835BE">
        <w:rPr>
          <w:rFonts w:eastAsia="Calibri" w:cs="Times New Roman"/>
          <w:vertAlign w:val="superscript"/>
        </w:rPr>
        <w:footnoteReference w:id="166"/>
      </w:r>
      <w:r w:rsidRPr="00C835BE">
        <w:rPr>
          <w:rFonts w:eastAsia="Calibri" w:cs="Times New Roman"/>
        </w:rPr>
        <w:t xml:space="preserve"> een belangrijke uitspraak waarin hij een algemeen toetsingskader geeft voor het vaststellen van de strijd met het algemeen belang. Wanneer de prosecutor het verzoek tot het weigeren van </w:t>
      </w:r>
      <w:r w:rsidRPr="41859A08">
        <w:rPr>
          <w:rFonts w:eastAsia="Calibri" w:cs="Times New Roman"/>
          <w:i/>
          <w:iCs/>
        </w:rPr>
        <w:t>disclosure</w:t>
      </w:r>
      <w:r w:rsidRPr="00C835BE">
        <w:rPr>
          <w:rFonts w:eastAsia="Calibri" w:cs="Times New Roman"/>
        </w:rPr>
        <w:t xml:space="preserve"> op grond van het algemeen belang aan de rechter voorlegt, moet de rechter ten eerste nagaan welk bewijsmateriaal het betreft en of dit bewijsmateriaal van belang is voor de verdediging: anders is </w:t>
      </w:r>
      <w:r w:rsidRPr="41859A08">
        <w:rPr>
          <w:rFonts w:eastAsia="Calibri" w:cs="Times New Roman"/>
          <w:i/>
          <w:iCs/>
        </w:rPr>
        <w:t>disclosure</w:t>
      </w:r>
      <w:r w:rsidRPr="00C835BE">
        <w:rPr>
          <w:rFonts w:eastAsia="Calibri" w:cs="Times New Roman"/>
        </w:rPr>
        <w:t xml:space="preserve"> niet nodig. Als er wel een belang voor de verdediging is, dient de rechter te beschouwen of er een groot risico bestaat voor het algemeen belang en wat dit risico precies behelst. Bij gebrek aan risico kan tot </w:t>
      </w:r>
      <w:r w:rsidRPr="41859A08">
        <w:rPr>
          <w:rFonts w:eastAsia="Calibri" w:cs="Times New Roman"/>
          <w:i/>
          <w:iCs/>
        </w:rPr>
        <w:t>disclosure</w:t>
      </w:r>
      <w:r w:rsidRPr="00C835BE">
        <w:rPr>
          <w:rFonts w:eastAsia="Calibri" w:cs="Times New Roman"/>
        </w:rPr>
        <w:t xml:space="preserve"> worden overgegaan. Als sprake is van bewijsmateriaal dat voor de verdediging van belang is én een risico voor het algemeen belang vormt, moet de rechter zich afvragen of de belangen van de verdediging voldoende worden beschermd als niet tot (gehele) </w:t>
      </w:r>
      <w:r w:rsidRPr="41859A08">
        <w:rPr>
          <w:rFonts w:eastAsia="Calibri" w:cs="Times New Roman"/>
          <w:i/>
          <w:iCs/>
        </w:rPr>
        <w:t>disclosure</w:t>
      </w:r>
      <w:r w:rsidRPr="00C835BE">
        <w:rPr>
          <w:rFonts w:eastAsia="Calibri" w:cs="Times New Roman"/>
        </w:rPr>
        <w:t xml:space="preserve"> wordt overgegaan. Als die belangen niet voldoende worden beschermd, dient er alsnog tot </w:t>
      </w:r>
      <w:r w:rsidRPr="41859A08">
        <w:rPr>
          <w:rFonts w:eastAsia="Calibri" w:cs="Times New Roman"/>
          <w:i/>
          <w:iCs/>
        </w:rPr>
        <w:t>disclosure</w:t>
      </w:r>
      <w:r w:rsidRPr="00C835BE">
        <w:rPr>
          <w:rFonts w:eastAsia="Calibri" w:cs="Times New Roman"/>
        </w:rPr>
        <w:t xml:space="preserve"> te worden overgegaan in de mate dat de belangen van de verdediging wel voldoende worden beschermd. Ook moet de rechter ervoor zorgen dat met de al dan niet gedeeltelijke onthouding van </w:t>
      </w:r>
      <w:r w:rsidRPr="41859A08">
        <w:rPr>
          <w:rFonts w:eastAsia="Calibri" w:cs="Times New Roman"/>
          <w:i/>
          <w:iCs/>
        </w:rPr>
        <w:t>disclosure</w:t>
      </w:r>
      <w:r w:rsidRPr="00C835BE">
        <w:rPr>
          <w:rFonts w:eastAsia="Calibri" w:cs="Times New Roman"/>
        </w:rPr>
        <w:t xml:space="preserve"> het recht op een eerlijk proces wordt behouden.</w:t>
      </w:r>
      <w:r w:rsidR="00C835BE" w:rsidRPr="00C835BE">
        <w:rPr>
          <w:rFonts w:eastAsia="Calibri" w:cs="Times New Roman"/>
          <w:vertAlign w:val="superscript"/>
        </w:rPr>
        <w:footnoteReference w:id="167"/>
      </w:r>
    </w:p>
    <w:p w14:paraId="69857365" w14:textId="77777777" w:rsidR="00C835BE" w:rsidRPr="00C835BE" w:rsidRDefault="00C835BE" w:rsidP="00C835BE">
      <w:pPr>
        <w:rPr>
          <w:rFonts w:eastAsia="Calibri" w:cs="Times New Roman"/>
        </w:rPr>
      </w:pPr>
    </w:p>
    <w:p w14:paraId="3FA8D5BD" w14:textId="77777777" w:rsidR="00C835BE" w:rsidRPr="00C835BE" w:rsidRDefault="00C835BE" w:rsidP="00C835BE">
      <w:pPr>
        <w:rPr>
          <w:rFonts w:eastAsia="Calibri" w:cs="Times New Roman"/>
        </w:rPr>
      </w:pPr>
      <w:r w:rsidRPr="00C835BE">
        <w:rPr>
          <w:rFonts w:eastAsia="Calibri" w:cs="Times New Roman"/>
        </w:rPr>
        <w:t xml:space="preserve">In het geval dat de rechter beslist om de </w:t>
      </w:r>
      <w:r w:rsidRPr="00C835BE">
        <w:rPr>
          <w:rFonts w:eastAsia="Calibri" w:cs="Times New Roman"/>
          <w:i/>
        </w:rPr>
        <w:t>disclosure</w:t>
      </w:r>
      <w:r w:rsidRPr="00C835BE">
        <w:rPr>
          <w:rFonts w:eastAsia="Calibri" w:cs="Times New Roman"/>
        </w:rPr>
        <w:t xml:space="preserve"> van bepaald bewijsmateriaal te weigeren, kan de verdediging hier in rechte tegen opkomen. Bij het magistrates’ court kan de verdediging zijn beklag hierover indienen op grond van s. 14(2) CPIA. In procedures bij het Crown Court moet de rechter ingevolge s. 15(3) CPIA automatisch in de gaten houden of </w:t>
      </w:r>
      <w:r w:rsidRPr="00C835BE">
        <w:rPr>
          <w:rFonts w:eastAsia="Calibri" w:cs="Times New Roman"/>
          <w:i/>
        </w:rPr>
        <w:t>disclosure</w:t>
      </w:r>
      <w:r w:rsidRPr="00C835BE">
        <w:rPr>
          <w:rFonts w:eastAsia="Calibri" w:cs="Times New Roman"/>
        </w:rPr>
        <w:t xml:space="preserve"> nog steeds in strijd is met het algemeen belang. Het indienen van beklag door de verdediging is daarvoor niet nodig, al behoudt de verdediging deze mogelijkheid wel (s. 15(4) CPIA). </w:t>
      </w:r>
    </w:p>
    <w:p w14:paraId="4B1C8AA7" w14:textId="77777777" w:rsidR="00C835BE" w:rsidRPr="00C835BE" w:rsidRDefault="00C835BE" w:rsidP="00C835BE">
      <w:pPr>
        <w:rPr>
          <w:rFonts w:eastAsia="Calibri" w:cs="Times New Roman"/>
        </w:rPr>
      </w:pPr>
    </w:p>
    <w:p w14:paraId="20FFFE17" w14:textId="77777777" w:rsidR="00C835BE" w:rsidRPr="00C835BE" w:rsidRDefault="00C835BE" w:rsidP="00C835BE">
      <w:pPr>
        <w:rPr>
          <w:rFonts w:eastAsia="Calibri" w:cs="Times New Roman"/>
        </w:rPr>
      </w:pPr>
      <w:r w:rsidRPr="00C835BE">
        <w:rPr>
          <w:rFonts w:eastAsia="Calibri" w:cs="Times New Roman"/>
        </w:rPr>
        <w:t xml:space="preserve">3.3.5   </w:t>
      </w:r>
      <w:r w:rsidRPr="00C835BE">
        <w:rPr>
          <w:rFonts w:eastAsia="Calibri" w:cs="Times New Roman"/>
          <w:i/>
          <w:iCs/>
        </w:rPr>
        <w:t>Defence disclosure</w:t>
      </w:r>
    </w:p>
    <w:p w14:paraId="17C36E88" w14:textId="1A7CB0D2" w:rsidR="00C835BE" w:rsidRPr="00C835BE" w:rsidRDefault="11CB81CA" w:rsidP="00C835BE">
      <w:pPr>
        <w:rPr>
          <w:rFonts w:eastAsia="Calibri" w:cs="Times New Roman"/>
        </w:rPr>
      </w:pPr>
      <w:r w:rsidRPr="00C835BE">
        <w:rPr>
          <w:rFonts w:eastAsia="Calibri" w:cs="Times New Roman"/>
        </w:rPr>
        <w:t xml:space="preserve">Naast de prosecutor komt ook de verdediging een belangrijke rol toe binnen de regeling van </w:t>
      </w:r>
      <w:r w:rsidRPr="41859A08">
        <w:rPr>
          <w:rFonts w:eastAsia="Calibri" w:cs="Times New Roman"/>
          <w:i/>
          <w:iCs/>
        </w:rPr>
        <w:t>statutory</w:t>
      </w:r>
      <w:r w:rsidRPr="00C835BE">
        <w:rPr>
          <w:rFonts w:eastAsia="Calibri" w:cs="Times New Roman"/>
        </w:rPr>
        <w:t xml:space="preserve"> </w:t>
      </w:r>
      <w:r w:rsidRPr="41859A08">
        <w:rPr>
          <w:rFonts w:eastAsia="Calibri" w:cs="Times New Roman"/>
          <w:i/>
          <w:iCs/>
        </w:rPr>
        <w:t>disclosure</w:t>
      </w:r>
      <w:r w:rsidRPr="00C835BE">
        <w:rPr>
          <w:rFonts w:eastAsia="Calibri" w:cs="Times New Roman"/>
        </w:rPr>
        <w:t xml:space="preserve">, </w:t>
      </w:r>
      <w:r w:rsidR="00883E28">
        <w:rPr>
          <w:rFonts w:eastAsia="Calibri" w:cs="Times New Roman"/>
        </w:rPr>
        <w:t>door middel van</w:t>
      </w:r>
      <w:r w:rsidRPr="00C835BE">
        <w:rPr>
          <w:rFonts w:eastAsia="Calibri" w:cs="Times New Roman"/>
        </w:rPr>
        <w:t xml:space="preserve"> </w:t>
      </w:r>
      <w:r w:rsidRPr="41859A08">
        <w:rPr>
          <w:rFonts w:eastAsia="Calibri" w:cs="Times New Roman"/>
          <w:i/>
          <w:iCs/>
        </w:rPr>
        <w:t>defence disclosure</w:t>
      </w:r>
      <w:r w:rsidRPr="00C835BE">
        <w:rPr>
          <w:rFonts w:eastAsia="Calibri" w:cs="Times New Roman"/>
        </w:rPr>
        <w:t>.</w:t>
      </w:r>
      <w:r w:rsidR="00C835BE" w:rsidRPr="00C835BE">
        <w:rPr>
          <w:rFonts w:eastAsia="Calibri" w:cs="Times New Roman"/>
          <w:vertAlign w:val="superscript"/>
        </w:rPr>
        <w:footnoteReference w:id="168"/>
      </w:r>
      <w:r w:rsidRPr="00C835BE">
        <w:rPr>
          <w:rFonts w:eastAsia="Calibri" w:cs="Times New Roman"/>
        </w:rPr>
        <w:t xml:space="preserve"> De </w:t>
      </w:r>
      <w:r w:rsidRPr="41859A08">
        <w:rPr>
          <w:rFonts w:eastAsia="Calibri" w:cs="Times New Roman"/>
          <w:i/>
          <w:iCs/>
        </w:rPr>
        <w:t>defence disclosure</w:t>
      </w:r>
      <w:r w:rsidRPr="00C835BE">
        <w:rPr>
          <w:rFonts w:eastAsia="Calibri" w:cs="Times New Roman"/>
        </w:rPr>
        <w:t xml:space="preserve"> is terug te vinden in s. 5(5) CPIA voor strafzaken in het Crown Court: op grond van dit artikel wordt de verdediging verplicht om een </w:t>
      </w:r>
      <w:r w:rsidR="785F4DCB" w:rsidRPr="41859A08">
        <w:rPr>
          <w:rFonts w:eastAsia="Calibri" w:cs="Times New Roman"/>
          <w:i/>
          <w:iCs/>
        </w:rPr>
        <w:t>defence statement</w:t>
      </w:r>
      <w:r w:rsidRPr="00C835BE">
        <w:rPr>
          <w:rFonts w:eastAsia="Calibri" w:cs="Times New Roman"/>
        </w:rPr>
        <w:t xml:space="preserve"> aan te leveren op het moment dat de prosecutor gebruikmaakt dan wel voornemens is gebruik te maken van zijn bevoegdheid tot </w:t>
      </w:r>
      <w:r w:rsidRPr="00E95906">
        <w:rPr>
          <w:rFonts w:eastAsia="Calibri" w:cs="Times New Roman"/>
          <w:i/>
          <w:iCs/>
        </w:rPr>
        <w:t>initial</w:t>
      </w:r>
      <w:r w:rsidRPr="00C835BE">
        <w:rPr>
          <w:rFonts w:eastAsia="Calibri" w:cs="Times New Roman"/>
        </w:rPr>
        <w:t xml:space="preserve"> </w:t>
      </w:r>
      <w:r w:rsidRPr="41859A08">
        <w:rPr>
          <w:rFonts w:eastAsia="Calibri" w:cs="Times New Roman"/>
          <w:i/>
          <w:iCs/>
        </w:rPr>
        <w:t>disclosure</w:t>
      </w:r>
      <w:r w:rsidRPr="00C835BE">
        <w:rPr>
          <w:rFonts w:eastAsia="Calibri" w:cs="Times New Roman"/>
        </w:rPr>
        <w:t xml:space="preserve"> ingevolge s. 3(1) CPIA. Waar het aanleveren van een </w:t>
      </w:r>
      <w:r w:rsidR="785F4DCB" w:rsidRPr="41859A08">
        <w:rPr>
          <w:rFonts w:eastAsia="Calibri" w:cs="Times New Roman"/>
          <w:i/>
          <w:iCs/>
        </w:rPr>
        <w:t>defence statement</w:t>
      </w:r>
      <w:r w:rsidRPr="00C835BE">
        <w:rPr>
          <w:rFonts w:eastAsia="Calibri" w:cs="Times New Roman"/>
        </w:rPr>
        <w:t xml:space="preserve"> in het Crown Court verplicht is, geldt dit niet voor </w:t>
      </w:r>
      <w:r w:rsidRPr="41859A08">
        <w:rPr>
          <w:rFonts w:eastAsia="Calibri" w:cs="Times New Roman"/>
          <w:i/>
          <w:iCs/>
        </w:rPr>
        <w:t>summary proceedings</w:t>
      </w:r>
      <w:r w:rsidRPr="00C835BE">
        <w:rPr>
          <w:rFonts w:eastAsia="Calibri" w:cs="Times New Roman"/>
        </w:rPr>
        <w:t xml:space="preserve"> in het magistrates’ court. Het aanleveren van een </w:t>
      </w:r>
      <w:r w:rsidR="785F4DCB" w:rsidRPr="41859A08">
        <w:rPr>
          <w:rFonts w:eastAsia="Calibri" w:cs="Times New Roman"/>
          <w:i/>
          <w:iCs/>
        </w:rPr>
        <w:t>defence statement</w:t>
      </w:r>
      <w:r w:rsidRPr="00C835BE">
        <w:rPr>
          <w:rFonts w:eastAsia="Calibri" w:cs="Times New Roman"/>
        </w:rPr>
        <w:t xml:space="preserve"> geschiedt </w:t>
      </w:r>
      <w:r w:rsidR="00C73DBE">
        <w:rPr>
          <w:rFonts w:eastAsia="Calibri" w:cs="Times New Roman"/>
        </w:rPr>
        <w:t>dan</w:t>
      </w:r>
      <w:r w:rsidRPr="00C835BE">
        <w:rPr>
          <w:rFonts w:eastAsia="Calibri" w:cs="Times New Roman"/>
        </w:rPr>
        <w:t xml:space="preserve"> op vrijwillige basis (s. 6(2) CPIA).</w:t>
      </w:r>
    </w:p>
    <w:p w14:paraId="3F741765" w14:textId="77777777" w:rsidR="00C835BE" w:rsidRPr="00C835BE" w:rsidRDefault="00C835BE" w:rsidP="00C835BE">
      <w:pPr>
        <w:rPr>
          <w:rFonts w:eastAsia="Calibri" w:cs="Times New Roman"/>
        </w:rPr>
      </w:pPr>
    </w:p>
    <w:p w14:paraId="63B25C2D" w14:textId="227FFBC1" w:rsidR="00C835BE" w:rsidRPr="00C835BE" w:rsidRDefault="11CB81CA" w:rsidP="00C835BE">
      <w:pPr>
        <w:rPr>
          <w:rFonts w:eastAsia="Calibri" w:cs="Times New Roman"/>
        </w:rPr>
      </w:pPr>
      <w:r w:rsidRPr="00C835BE">
        <w:rPr>
          <w:rFonts w:eastAsia="Calibri" w:cs="Times New Roman"/>
        </w:rPr>
        <w:t xml:space="preserve">De vraag rijst derhalve wat een </w:t>
      </w:r>
      <w:r w:rsidR="785F4DCB" w:rsidRPr="41859A08">
        <w:rPr>
          <w:rFonts w:eastAsia="Calibri" w:cs="Times New Roman"/>
          <w:i/>
          <w:iCs/>
        </w:rPr>
        <w:t>defence statement</w:t>
      </w:r>
      <w:r w:rsidRPr="00C835BE">
        <w:rPr>
          <w:rFonts w:eastAsia="Calibri" w:cs="Times New Roman"/>
        </w:rPr>
        <w:t xml:space="preserve"> precies inhoudt. Een omschrijving daarvan valt te vinden in s. 6A(1) CPIA: blijkens dit artikel betreft de </w:t>
      </w:r>
      <w:r w:rsidR="785F4DCB" w:rsidRPr="41859A08">
        <w:rPr>
          <w:rFonts w:eastAsia="Calibri" w:cs="Times New Roman"/>
          <w:i/>
          <w:iCs/>
        </w:rPr>
        <w:t>defence statement</w:t>
      </w:r>
      <w:r w:rsidRPr="00C835BE">
        <w:rPr>
          <w:rFonts w:eastAsia="Calibri" w:cs="Times New Roman"/>
        </w:rPr>
        <w:t xml:space="preserve"> een geschreven verklaring </w:t>
      </w:r>
      <w:r w:rsidRPr="00C835BE">
        <w:rPr>
          <w:rFonts w:eastAsia="Calibri" w:cs="Times New Roman"/>
        </w:rPr>
        <w:lastRenderedPageBreak/>
        <w:t xml:space="preserve">waarin de verdediging zijn strategie en verweren bekendmaakt. Daarnaast wordt in de </w:t>
      </w:r>
      <w:r w:rsidR="785F4DCB" w:rsidRPr="41859A08">
        <w:rPr>
          <w:rFonts w:eastAsia="Calibri" w:cs="Times New Roman"/>
          <w:i/>
          <w:iCs/>
        </w:rPr>
        <w:t>defence statement</w:t>
      </w:r>
      <w:r w:rsidRPr="00C835BE">
        <w:rPr>
          <w:rFonts w:eastAsia="Calibri" w:cs="Times New Roman"/>
        </w:rPr>
        <w:t xml:space="preserve"> duidelijk gemaakt welke feiten worden betwist en waarom de vervolging wordt betwist.</w:t>
      </w:r>
      <w:r w:rsidR="5677C0A3">
        <w:rPr>
          <w:rFonts w:eastAsia="Calibri" w:cs="Times New Roman"/>
        </w:rPr>
        <w:t xml:space="preserve"> </w:t>
      </w:r>
      <w:r w:rsidRPr="00C835BE">
        <w:rPr>
          <w:rFonts w:eastAsia="Calibri" w:cs="Times New Roman"/>
        </w:rPr>
        <w:t xml:space="preserve">Bovendien bevat de </w:t>
      </w:r>
      <w:r w:rsidR="785F4DCB" w:rsidRPr="41859A08">
        <w:rPr>
          <w:rFonts w:eastAsia="Calibri" w:cs="Times New Roman"/>
          <w:i/>
          <w:iCs/>
        </w:rPr>
        <w:t>defence statement</w:t>
      </w:r>
      <w:r w:rsidRPr="00C835BE">
        <w:rPr>
          <w:rFonts w:eastAsia="Calibri" w:cs="Times New Roman"/>
        </w:rPr>
        <w:t xml:space="preserve"> het juridische kader dat de verdediging zal gebruiken. De</w:t>
      </w:r>
      <w:r w:rsidR="00485497">
        <w:rPr>
          <w:rFonts w:eastAsia="Calibri" w:cs="Times New Roman"/>
        </w:rPr>
        <w:t xml:space="preserve"> </w:t>
      </w:r>
      <w:r w:rsidRPr="41859A08">
        <w:rPr>
          <w:rFonts w:eastAsia="Calibri" w:cs="Times New Roman"/>
          <w:i/>
          <w:iCs/>
        </w:rPr>
        <w:t>defence disclosure</w:t>
      </w:r>
      <w:r w:rsidRPr="00C835BE">
        <w:rPr>
          <w:rFonts w:eastAsia="Calibri" w:cs="Times New Roman"/>
        </w:rPr>
        <w:t xml:space="preserve"> helpt het strafproces door relevantie kwesties aan te duiden: zo wordt de omvang van het geding duidelijk en kan de prosecutor op passende wijze de </w:t>
      </w:r>
      <w:r w:rsidRPr="41859A08">
        <w:rPr>
          <w:rFonts w:eastAsia="Calibri" w:cs="Times New Roman"/>
          <w:i/>
          <w:iCs/>
        </w:rPr>
        <w:t>disclosure test</w:t>
      </w:r>
      <w:r w:rsidRPr="00C835BE">
        <w:rPr>
          <w:rFonts w:eastAsia="Calibri" w:cs="Times New Roman"/>
        </w:rPr>
        <w:t xml:space="preserve"> toepassen. Ook ontstaan door de </w:t>
      </w:r>
      <w:r w:rsidR="785F4DCB" w:rsidRPr="41859A08">
        <w:rPr>
          <w:rFonts w:eastAsia="Calibri" w:cs="Times New Roman"/>
          <w:i/>
          <w:iCs/>
        </w:rPr>
        <w:t>defence statement</w:t>
      </w:r>
      <w:r w:rsidRPr="00C835BE">
        <w:rPr>
          <w:rFonts w:eastAsia="Calibri" w:cs="Times New Roman"/>
        </w:rPr>
        <w:t xml:space="preserve"> wellicht nieuwe </w:t>
      </w:r>
      <w:r w:rsidRPr="41859A08">
        <w:rPr>
          <w:rFonts w:eastAsia="Calibri" w:cs="Times New Roman"/>
          <w:i/>
          <w:iCs/>
        </w:rPr>
        <w:t>reasonable lines of enquiry</w:t>
      </w:r>
      <w:r w:rsidRPr="00C835BE">
        <w:rPr>
          <w:rFonts w:eastAsia="Calibri" w:cs="Times New Roman"/>
        </w:rPr>
        <w:t xml:space="preserve"> die de opsporingsambtenaar dient te volgen.</w:t>
      </w:r>
      <w:r w:rsidR="00C835BE" w:rsidRPr="00C835BE">
        <w:rPr>
          <w:rFonts w:eastAsia="Calibri" w:cs="Times New Roman"/>
          <w:vertAlign w:val="superscript"/>
        </w:rPr>
        <w:footnoteReference w:id="169"/>
      </w:r>
      <w:r w:rsidRPr="00C835BE">
        <w:rPr>
          <w:rFonts w:eastAsia="Calibri" w:cs="Times New Roman"/>
        </w:rPr>
        <w:t xml:space="preserve"> Wanneer een </w:t>
      </w:r>
      <w:r w:rsidR="785F4DCB" w:rsidRPr="41859A08">
        <w:rPr>
          <w:rFonts w:eastAsia="Calibri" w:cs="Times New Roman"/>
          <w:i/>
          <w:iCs/>
        </w:rPr>
        <w:t>defence statement</w:t>
      </w:r>
      <w:r w:rsidRPr="00C835BE">
        <w:rPr>
          <w:rFonts w:eastAsia="Calibri" w:cs="Times New Roman"/>
        </w:rPr>
        <w:t xml:space="preserve"> niet ingaat op mogelijk bewijsmateriaal, kan het voorkomen dat </w:t>
      </w:r>
      <w:r w:rsidRPr="41859A08">
        <w:rPr>
          <w:rFonts w:eastAsia="Calibri" w:cs="Times New Roman"/>
          <w:i/>
          <w:iCs/>
        </w:rPr>
        <w:t>disclosure</w:t>
      </w:r>
      <w:r w:rsidRPr="00C835BE">
        <w:rPr>
          <w:rFonts w:eastAsia="Calibri" w:cs="Times New Roman"/>
        </w:rPr>
        <w:t xml:space="preserve"> daarvan door de rechter wordt geweigerd.</w:t>
      </w:r>
      <w:r w:rsidR="00C835BE" w:rsidRPr="00C835BE">
        <w:rPr>
          <w:rFonts w:eastAsia="Calibri" w:cs="Times New Roman"/>
          <w:vertAlign w:val="superscript"/>
        </w:rPr>
        <w:footnoteReference w:id="170"/>
      </w:r>
      <w:r w:rsidRPr="00C835BE">
        <w:rPr>
          <w:rFonts w:eastAsia="Calibri" w:cs="Times New Roman"/>
        </w:rPr>
        <w:t xml:space="preserve"> Hiernaast kent het geven van een </w:t>
      </w:r>
      <w:r w:rsidR="785F4DCB" w:rsidRPr="41859A08">
        <w:rPr>
          <w:rFonts w:eastAsia="Calibri" w:cs="Times New Roman"/>
          <w:i/>
          <w:iCs/>
        </w:rPr>
        <w:t>defence statement</w:t>
      </w:r>
      <w:r w:rsidRPr="00C835BE">
        <w:rPr>
          <w:rFonts w:eastAsia="Calibri" w:cs="Times New Roman"/>
        </w:rPr>
        <w:t xml:space="preserve"> nog een zeer belangrijk voordeel: ingevolge s. 8(2) CPIA kan de verdediging de rechtbank verzoeken om middels een </w:t>
      </w:r>
      <w:r w:rsidRPr="41859A08">
        <w:rPr>
          <w:rFonts w:eastAsia="Calibri" w:cs="Times New Roman"/>
          <w:i/>
          <w:iCs/>
        </w:rPr>
        <w:t>court order</w:t>
      </w:r>
      <w:r w:rsidRPr="00C835BE">
        <w:rPr>
          <w:rFonts w:eastAsia="Calibri" w:cs="Times New Roman"/>
        </w:rPr>
        <w:t xml:space="preserve"> bewijsmateriaal te krijgen dat de prosecutor hem niet heeft toegezonden dan wel laten inzien. Een vereiste hiervoor – gelegen in s. 8(1) CPIA – is dat de verdediging een </w:t>
      </w:r>
      <w:r w:rsidR="785F4DCB" w:rsidRPr="41859A08">
        <w:rPr>
          <w:rFonts w:eastAsia="Calibri" w:cs="Times New Roman"/>
          <w:i/>
          <w:iCs/>
        </w:rPr>
        <w:t>defence statement</w:t>
      </w:r>
      <w:r w:rsidRPr="00C835BE">
        <w:rPr>
          <w:rFonts w:eastAsia="Calibri" w:cs="Times New Roman"/>
        </w:rPr>
        <w:t xml:space="preserve"> heeft ingediend. In het geval van strafzaken bij het magistrates’ court, waar </w:t>
      </w:r>
      <w:r w:rsidRPr="00833992">
        <w:rPr>
          <w:rFonts w:eastAsia="Calibri" w:cs="Times New Roman"/>
          <w:i/>
          <w:iCs/>
        </w:rPr>
        <w:t>defence</w:t>
      </w:r>
      <w:r w:rsidRPr="00C835BE">
        <w:rPr>
          <w:rFonts w:eastAsia="Calibri" w:cs="Times New Roman"/>
        </w:rPr>
        <w:t xml:space="preserve"> </w:t>
      </w:r>
      <w:r w:rsidRPr="41859A08">
        <w:rPr>
          <w:rFonts w:eastAsia="Calibri" w:cs="Times New Roman"/>
          <w:i/>
          <w:iCs/>
        </w:rPr>
        <w:t>disclosure</w:t>
      </w:r>
      <w:r w:rsidRPr="00C835BE">
        <w:rPr>
          <w:rFonts w:eastAsia="Calibri" w:cs="Times New Roman"/>
        </w:rPr>
        <w:t xml:space="preserve"> vrijwillig geschiedt, kan het dus voorkomen dat de verdediging geen gebruik mag maken van s. 8(2) CPIA. </w:t>
      </w:r>
    </w:p>
    <w:p w14:paraId="51673DF9" w14:textId="77777777" w:rsidR="0043354B" w:rsidRPr="009946B1" w:rsidRDefault="0043354B" w:rsidP="00821865">
      <w:pPr>
        <w:rPr>
          <w:rFonts w:cs="Times New Roman"/>
        </w:rPr>
      </w:pPr>
    </w:p>
    <w:p w14:paraId="52BB28A1" w14:textId="4DE36458" w:rsidR="009946B1" w:rsidRPr="009946B1" w:rsidRDefault="009946B1" w:rsidP="00821865">
      <w:pPr>
        <w:rPr>
          <w:rFonts w:cs="Times New Roman"/>
        </w:rPr>
      </w:pPr>
      <w:r w:rsidRPr="009946B1">
        <w:rPr>
          <w:rFonts w:cs="Times New Roman"/>
          <w:b/>
          <w:bCs/>
        </w:rPr>
        <w:t xml:space="preserve">3.4   </w:t>
      </w:r>
      <w:r w:rsidR="001D16BF">
        <w:rPr>
          <w:rFonts w:cs="Times New Roman"/>
          <w:b/>
          <w:bCs/>
        </w:rPr>
        <w:t>Witness summons</w:t>
      </w:r>
    </w:p>
    <w:p w14:paraId="71129309" w14:textId="56A287F5" w:rsidR="009946B1" w:rsidRPr="009946B1" w:rsidRDefault="27ACDA63" w:rsidP="00821865">
      <w:pPr>
        <w:rPr>
          <w:rFonts w:cs="Times New Roman"/>
        </w:rPr>
      </w:pPr>
      <w:r w:rsidRPr="41859A08">
        <w:rPr>
          <w:rFonts w:cs="Times New Roman"/>
          <w:i/>
          <w:iCs/>
        </w:rPr>
        <w:t>Disclosure</w:t>
      </w:r>
      <w:r w:rsidR="46371543" w:rsidRPr="009946B1">
        <w:rPr>
          <w:rFonts w:cs="Times New Roman"/>
        </w:rPr>
        <w:t xml:space="preserve"> vormt een manier voor de verdediging om toegang te krijgen tot bewijs</w:t>
      </w:r>
      <w:r w:rsidR="00CC7E0C">
        <w:rPr>
          <w:rFonts w:cs="Times New Roman"/>
        </w:rPr>
        <w:t>materiaal</w:t>
      </w:r>
      <w:r w:rsidR="46371543" w:rsidRPr="009946B1">
        <w:rPr>
          <w:rFonts w:cs="Times New Roman"/>
        </w:rPr>
        <w:t xml:space="preserve"> dat is </w:t>
      </w:r>
      <w:r w:rsidR="458DDC3C">
        <w:rPr>
          <w:rFonts w:cs="Times New Roman"/>
        </w:rPr>
        <w:t>ver</w:t>
      </w:r>
      <w:r w:rsidR="454E6E6D">
        <w:rPr>
          <w:rFonts w:cs="Times New Roman"/>
        </w:rPr>
        <w:t>kregen uit</w:t>
      </w:r>
      <w:r w:rsidR="46371543" w:rsidRPr="009946B1">
        <w:rPr>
          <w:rFonts w:cs="Times New Roman"/>
        </w:rPr>
        <w:t xml:space="preserve"> </w:t>
      </w:r>
      <w:r w:rsidR="458DDC3C">
        <w:rPr>
          <w:rFonts w:cs="Times New Roman"/>
        </w:rPr>
        <w:t xml:space="preserve">het </w:t>
      </w:r>
      <w:r w:rsidR="46371543" w:rsidRPr="009946B1">
        <w:rPr>
          <w:rFonts w:cs="Times New Roman"/>
        </w:rPr>
        <w:t xml:space="preserve">onderzoek van de investigator. Het kan echter zijn dat </w:t>
      </w:r>
      <w:r w:rsidR="1532956B">
        <w:rPr>
          <w:rFonts w:cs="Times New Roman"/>
        </w:rPr>
        <w:t>een derde partij beschikt over bewijsmateriaal dat voor de verdediging van belang is</w:t>
      </w:r>
      <w:r w:rsidR="46371543" w:rsidRPr="009946B1">
        <w:rPr>
          <w:rFonts w:cs="Times New Roman"/>
        </w:rPr>
        <w:t>. Daarom dient justitie ervoor te zorgen dat zij de redelijke stappen onderneemt om dit bewijsmateriaal te vergaren, al vormt dit geen absolute plicht.</w:t>
      </w:r>
      <w:r w:rsidR="009946B1" w:rsidRPr="009946B1">
        <w:rPr>
          <w:rFonts w:cs="Times New Roman"/>
          <w:vertAlign w:val="superscript"/>
        </w:rPr>
        <w:footnoteReference w:id="171"/>
      </w:r>
      <w:r w:rsidR="46371543" w:rsidRPr="009946B1">
        <w:rPr>
          <w:rFonts w:cs="Times New Roman"/>
        </w:rPr>
        <w:t xml:space="preserve"> Als gevolg van het adversaire strafproces is het echter ook mogelijk dat de verdediging toegang krijgt tot bewijsmateriaal op grond van eigen onderzoek. </w:t>
      </w:r>
      <w:r w:rsidR="2CE4EDEA" w:rsidRPr="00163CCB">
        <w:rPr>
          <w:rFonts w:cs="Times New Roman"/>
        </w:rPr>
        <w:t>De verdediging heeft meerdere mogelijkheden tot het verrichten van dit onderzoek: zo kan bijvoorbeeld worden gedacht aan het ondervragen van belastende getuigen ter terechtzitting (</w:t>
      </w:r>
      <w:r w:rsidR="2CE4EDEA" w:rsidRPr="41859A08">
        <w:rPr>
          <w:rFonts w:cs="Times New Roman"/>
          <w:i/>
          <w:iCs/>
        </w:rPr>
        <w:t>cross-examination</w:t>
      </w:r>
      <w:r w:rsidR="2CE4EDEA" w:rsidRPr="00163CCB">
        <w:rPr>
          <w:rFonts w:cs="Times New Roman"/>
        </w:rPr>
        <w:t>), het inschakelen van een deskundige (</w:t>
      </w:r>
      <w:r w:rsidR="2CE4EDEA" w:rsidRPr="41859A08">
        <w:rPr>
          <w:rFonts w:cs="Times New Roman"/>
          <w:i/>
          <w:iCs/>
        </w:rPr>
        <w:t>expert witness</w:t>
      </w:r>
      <w:r w:rsidR="2CE4EDEA" w:rsidRPr="00163CCB">
        <w:rPr>
          <w:rFonts w:cs="Times New Roman"/>
        </w:rPr>
        <w:t>) en het laten verrichten van onderzoek door een privédetective.</w:t>
      </w:r>
      <w:r w:rsidR="00163CCB" w:rsidRPr="00163CCB">
        <w:rPr>
          <w:rFonts w:cs="Times New Roman"/>
          <w:vertAlign w:val="superscript"/>
        </w:rPr>
        <w:footnoteReference w:id="172"/>
      </w:r>
      <w:r w:rsidR="2CE4EDEA" w:rsidRPr="00163CCB">
        <w:rPr>
          <w:rFonts w:cs="Times New Roman"/>
        </w:rPr>
        <w:t xml:space="preserve"> </w:t>
      </w:r>
      <w:r w:rsidR="2CE4EDEA" w:rsidRPr="00392C5E">
        <w:rPr>
          <w:rFonts w:cs="Times New Roman"/>
        </w:rPr>
        <w:t xml:space="preserve">Deze vormen van onderzoek kunnen er echter niet toe leiden </w:t>
      </w:r>
      <w:r w:rsidR="33620E36" w:rsidRPr="00392C5E">
        <w:rPr>
          <w:rFonts w:cs="Times New Roman"/>
        </w:rPr>
        <w:t>dat een</w:t>
      </w:r>
      <w:r w:rsidR="33620E36">
        <w:rPr>
          <w:rFonts w:cs="Times New Roman"/>
        </w:rPr>
        <w:t xml:space="preserve"> derde partij wordt gedwongen om bewijsmateriaal te verstrekken aan de verdediging</w:t>
      </w:r>
      <w:r w:rsidR="2CE4EDEA" w:rsidRPr="00163CCB">
        <w:rPr>
          <w:rFonts w:cs="Times New Roman"/>
        </w:rPr>
        <w:t xml:space="preserve">. </w:t>
      </w:r>
      <w:r w:rsidR="0078516F" w:rsidRPr="0078516F">
        <w:rPr>
          <w:rFonts w:cs="Times New Roman"/>
        </w:rPr>
        <w:t xml:space="preserve">Om toegang af te dwingen tot bewijs in de handen van een derde partij bestaat slechts één mogelijkheid: de </w:t>
      </w:r>
      <w:r w:rsidR="0078516F" w:rsidRPr="0078516F">
        <w:rPr>
          <w:rFonts w:cs="Times New Roman"/>
          <w:i/>
        </w:rPr>
        <w:t>witness summons</w:t>
      </w:r>
      <w:r w:rsidR="002673D6">
        <w:rPr>
          <w:rFonts w:cs="Times New Roman"/>
        </w:rPr>
        <w:t>.</w:t>
      </w:r>
    </w:p>
    <w:p w14:paraId="709FA558" w14:textId="77777777" w:rsidR="009946B1" w:rsidRPr="009946B1" w:rsidRDefault="009946B1" w:rsidP="00821865">
      <w:pPr>
        <w:rPr>
          <w:rFonts w:cs="Times New Roman"/>
        </w:rPr>
      </w:pPr>
    </w:p>
    <w:p w14:paraId="37972285" w14:textId="0A7C747D" w:rsidR="009946B1" w:rsidRPr="009946B1" w:rsidRDefault="46371543" w:rsidP="00821865">
      <w:pPr>
        <w:rPr>
          <w:rFonts w:cs="Times New Roman"/>
        </w:rPr>
      </w:pPr>
      <w:r w:rsidRPr="009946B1">
        <w:rPr>
          <w:rFonts w:cs="Times New Roman"/>
        </w:rPr>
        <w:t xml:space="preserve">Met een </w:t>
      </w:r>
      <w:r w:rsidR="27ACDA63" w:rsidRPr="41859A08">
        <w:rPr>
          <w:rFonts w:cs="Times New Roman"/>
          <w:i/>
          <w:iCs/>
        </w:rPr>
        <w:t>witness summons</w:t>
      </w:r>
      <w:r w:rsidRPr="009946B1">
        <w:rPr>
          <w:rFonts w:cs="Times New Roman"/>
        </w:rPr>
        <w:t xml:space="preserve"> kan een procespartij verzoeken dat de rechter een </w:t>
      </w:r>
      <w:r w:rsidR="00562E33">
        <w:rPr>
          <w:rFonts w:cs="Times New Roman"/>
        </w:rPr>
        <w:t>derde partij</w:t>
      </w:r>
      <w:r w:rsidRPr="009946B1">
        <w:rPr>
          <w:rFonts w:cs="Times New Roman"/>
        </w:rPr>
        <w:t xml:space="preserve"> beveelt om op de terechtzitting te verschijnen. Aldaar is deze </w:t>
      </w:r>
      <w:r w:rsidR="00FD34C8">
        <w:rPr>
          <w:rFonts w:cs="Times New Roman"/>
        </w:rPr>
        <w:t>partij</w:t>
      </w:r>
      <w:r w:rsidRPr="009946B1">
        <w:rPr>
          <w:rFonts w:cs="Times New Roman"/>
        </w:rPr>
        <w:t xml:space="preserve"> verplicht om (mondeling) bewijs te leveren dan wel bepaalde documenten in zijn bezit te verschaffen. Met name dat laatste is relevant: afhankelijk van de omstandigheden van de strafzaak is het goed </w:t>
      </w:r>
      <w:r w:rsidR="4D9785C3">
        <w:rPr>
          <w:rFonts w:cs="Times New Roman"/>
        </w:rPr>
        <w:t>denkbaar</w:t>
      </w:r>
      <w:r w:rsidRPr="009946B1">
        <w:rPr>
          <w:rFonts w:cs="Times New Roman"/>
        </w:rPr>
        <w:t xml:space="preserve"> dat de verdediging een verzoek neerlegt bij </w:t>
      </w:r>
      <w:r w:rsidRPr="009946B1">
        <w:rPr>
          <w:rFonts w:cs="Times New Roman"/>
        </w:rPr>
        <w:lastRenderedPageBreak/>
        <w:t>de rechter om toegang te krijgen tot bewijsmateriaal van een derde</w:t>
      </w:r>
      <w:r w:rsidR="00E15BC0">
        <w:rPr>
          <w:rFonts w:cs="Times New Roman"/>
        </w:rPr>
        <w:t xml:space="preserve"> partij</w:t>
      </w:r>
      <w:r w:rsidRPr="009946B1">
        <w:rPr>
          <w:rFonts w:cs="Times New Roman"/>
        </w:rPr>
        <w:t xml:space="preserve">. Voor procedures in het magistrates’ court wordt deze bevoegdheid van de rechter gegeven in s. 97(1) MCA. Eenzelfde inhoud heeft s. 2(1) Criminal Procedure (Attendance of Witnesses) Act, die dezelfde bevoegdheid </w:t>
      </w:r>
      <w:r w:rsidR="00020E5A">
        <w:rPr>
          <w:rFonts w:cs="Times New Roman"/>
        </w:rPr>
        <w:t>bevat</w:t>
      </w:r>
      <w:r w:rsidRPr="009946B1">
        <w:rPr>
          <w:rFonts w:cs="Times New Roman"/>
        </w:rPr>
        <w:t xml:space="preserve"> voor procedures in het Crown Court. In art. 17.3 CPR wordt de inhoud van een aanvraag voor een </w:t>
      </w:r>
      <w:r w:rsidR="27ACDA63" w:rsidRPr="41859A08">
        <w:rPr>
          <w:rFonts w:cs="Times New Roman"/>
          <w:i/>
          <w:iCs/>
        </w:rPr>
        <w:t>witness summons</w:t>
      </w:r>
      <w:r w:rsidRPr="009946B1">
        <w:rPr>
          <w:rFonts w:cs="Times New Roman"/>
        </w:rPr>
        <w:t xml:space="preserve"> beschreven: uit de aanvraag dient duidelijk te worden wie de verdediging wil oproepen, welk relevant bewijsmateriaal de getuige kan verschaffen en waarom het </w:t>
      </w:r>
      <w:r w:rsidR="00D94E3C">
        <w:rPr>
          <w:rFonts w:cs="Times New Roman"/>
        </w:rPr>
        <w:t>‘</w:t>
      </w:r>
      <w:r w:rsidRPr="009946B1">
        <w:rPr>
          <w:rFonts w:cs="Times New Roman"/>
        </w:rPr>
        <w:t xml:space="preserve">in </w:t>
      </w:r>
      <w:r w:rsidR="00D94E3C">
        <w:rPr>
          <w:rFonts w:cs="Times New Roman"/>
        </w:rPr>
        <w:t>t</w:t>
      </w:r>
      <w:r w:rsidRPr="009946B1">
        <w:rPr>
          <w:rFonts w:cs="Times New Roman"/>
        </w:rPr>
        <w:t>he interest of justice</w:t>
      </w:r>
      <w:r w:rsidR="0003447B">
        <w:rPr>
          <w:rFonts w:cs="Times New Roman"/>
        </w:rPr>
        <w:t>’</w:t>
      </w:r>
      <w:r w:rsidRPr="009946B1">
        <w:rPr>
          <w:rFonts w:cs="Times New Roman"/>
        </w:rPr>
        <w:t xml:space="preserve"> is om een bevel uit te vaardigen. </w:t>
      </w:r>
      <w:r w:rsidR="5866FD48">
        <w:rPr>
          <w:rFonts w:cs="Times New Roman"/>
        </w:rPr>
        <w:t xml:space="preserve">Op deze punten zal de rechter een aanvraag beoordelen. </w:t>
      </w:r>
      <w:r w:rsidRPr="009946B1">
        <w:rPr>
          <w:rFonts w:cs="Times New Roman"/>
        </w:rPr>
        <w:t>Wanneer de verdediging van een derde verlangt dat deze bewijs</w:t>
      </w:r>
      <w:r w:rsidR="009A17A8">
        <w:rPr>
          <w:rFonts w:cs="Times New Roman"/>
        </w:rPr>
        <w:t>materiaal</w:t>
      </w:r>
      <w:r w:rsidRPr="009946B1">
        <w:rPr>
          <w:rFonts w:cs="Times New Roman"/>
        </w:rPr>
        <w:t xml:space="preserve"> verschaft, dient de aanvraag schriftelijk te worden gedaan en moet de derde in kwestie hiervan op de hoogte worden gebracht (art. 17.5 CPR). Bovendien moet de verdediging duidelijk maken dat de derde partij niet bereid is om het bewijsmateriaal uit eigen beweging te verstrekken: dan is een </w:t>
      </w:r>
      <w:r w:rsidR="27ACDA63" w:rsidRPr="41859A08">
        <w:rPr>
          <w:rFonts w:cs="Times New Roman"/>
          <w:i/>
          <w:iCs/>
        </w:rPr>
        <w:t>witness summons</w:t>
      </w:r>
      <w:r w:rsidRPr="009946B1">
        <w:rPr>
          <w:rFonts w:cs="Times New Roman"/>
        </w:rPr>
        <w:t xml:space="preserve"> immers niet nodig.</w:t>
      </w:r>
      <w:r w:rsidR="009946B1" w:rsidRPr="009946B1">
        <w:rPr>
          <w:rFonts w:cs="Times New Roman"/>
          <w:vertAlign w:val="superscript"/>
        </w:rPr>
        <w:footnoteReference w:id="173"/>
      </w:r>
    </w:p>
    <w:p w14:paraId="3C142467" w14:textId="77777777" w:rsidR="009946B1" w:rsidRPr="009946B1" w:rsidRDefault="009946B1" w:rsidP="00821865">
      <w:pPr>
        <w:rPr>
          <w:rFonts w:cs="Times New Roman"/>
        </w:rPr>
      </w:pPr>
    </w:p>
    <w:p w14:paraId="6BC56652" w14:textId="58FD68CB" w:rsidR="009946B1" w:rsidRPr="009946B1" w:rsidRDefault="46371543" w:rsidP="00821865">
      <w:pPr>
        <w:rPr>
          <w:rFonts w:cs="Times New Roman"/>
        </w:rPr>
      </w:pPr>
      <w:r w:rsidRPr="009946B1">
        <w:rPr>
          <w:rFonts w:cs="Times New Roman"/>
        </w:rPr>
        <w:t xml:space="preserve">In de zaak </w:t>
      </w:r>
      <w:r w:rsidRPr="41859A08">
        <w:rPr>
          <w:rFonts w:cs="Times New Roman"/>
          <w:i/>
          <w:iCs/>
        </w:rPr>
        <w:t>R v Alibhai</w:t>
      </w:r>
      <w:r w:rsidRPr="009946B1">
        <w:rPr>
          <w:rFonts w:cs="Times New Roman"/>
        </w:rPr>
        <w:t xml:space="preserve"> merkt Lord Justice Longmore op dat er een aantal begrenzingen </w:t>
      </w:r>
      <w:r w:rsidR="001F288D">
        <w:rPr>
          <w:rFonts w:cs="Times New Roman"/>
        </w:rPr>
        <w:t>zijn</w:t>
      </w:r>
      <w:r w:rsidRPr="009946B1">
        <w:rPr>
          <w:rFonts w:cs="Times New Roman"/>
        </w:rPr>
        <w:t xml:space="preserve"> aan de procedure omtrent de </w:t>
      </w:r>
      <w:r w:rsidR="27ACDA63" w:rsidRPr="41859A08">
        <w:rPr>
          <w:rFonts w:cs="Times New Roman"/>
          <w:i/>
          <w:iCs/>
        </w:rPr>
        <w:t>witness summons</w:t>
      </w:r>
      <w:r w:rsidRPr="009946B1">
        <w:rPr>
          <w:rFonts w:cs="Times New Roman"/>
        </w:rPr>
        <w:t xml:space="preserve">. Zo kan een </w:t>
      </w:r>
      <w:r w:rsidR="27ACDA63" w:rsidRPr="41859A08">
        <w:rPr>
          <w:rFonts w:cs="Times New Roman"/>
          <w:i/>
          <w:iCs/>
        </w:rPr>
        <w:t>witness summons</w:t>
      </w:r>
      <w:r w:rsidRPr="009946B1">
        <w:rPr>
          <w:rFonts w:cs="Times New Roman"/>
        </w:rPr>
        <w:t xml:space="preserve"> alleen worden aangevraagd </w:t>
      </w:r>
      <w:r w:rsidR="001F288D">
        <w:rPr>
          <w:rFonts w:cs="Times New Roman"/>
        </w:rPr>
        <w:t xml:space="preserve">met betrekking tot </w:t>
      </w:r>
      <w:r w:rsidRPr="009946B1">
        <w:rPr>
          <w:rFonts w:cs="Times New Roman"/>
        </w:rPr>
        <w:t xml:space="preserve">een derde die zich binnen Engeland &amp; Wales bevindt. Daarnaast moet een </w:t>
      </w:r>
      <w:r w:rsidR="27ACDA63" w:rsidRPr="41859A08">
        <w:rPr>
          <w:rFonts w:cs="Times New Roman"/>
          <w:i/>
          <w:iCs/>
        </w:rPr>
        <w:t>witness summons</w:t>
      </w:r>
      <w:r w:rsidRPr="009946B1">
        <w:rPr>
          <w:rFonts w:cs="Times New Roman"/>
        </w:rPr>
        <w:t xml:space="preserve"> gaan over iets dat daadwerkelijk als relevant bewijsmateriaal kan dienen: een derde kan niet worden gesommeerd om materiaal te verstrekken dat </w:t>
      </w:r>
      <w:r w:rsidR="00301260">
        <w:rPr>
          <w:rFonts w:cs="Times New Roman"/>
        </w:rPr>
        <w:t xml:space="preserve">slechts kan leiden tot een </w:t>
      </w:r>
      <w:r w:rsidR="00301260">
        <w:rPr>
          <w:rFonts w:cs="Times New Roman"/>
          <w:i/>
        </w:rPr>
        <w:t>line of enquiry</w:t>
      </w:r>
      <w:r w:rsidR="00301260">
        <w:rPr>
          <w:rFonts w:cs="Times New Roman"/>
        </w:rPr>
        <w:t xml:space="preserve"> voor mogelijk nieuw bewijsmateriaal</w:t>
      </w:r>
      <w:r w:rsidRPr="009946B1">
        <w:rPr>
          <w:rFonts w:cs="Times New Roman"/>
        </w:rPr>
        <w:t>. Ook is er niet geregeld dat de prosecution en de verdediging – tenzij dit onderhands wordt geregeld – vooraf inzage kunnen krijgen in het beoogde bewijsmateriaal.</w:t>
      </w:r>
      <w:r w:rsidR="009946B1" w:rsidRPr="009946B1">
        <w:rPr>
          <w:rFonts w:cs="Times New Roman"/>
          <w:vertAlign w:val="superscript"/>
        </w:rPr>
        <w:footnoteReference w:id="174"/>
      </w:r>
      <w:r w:rsidRPr="009946B1">
        <w:rPr>
          <w:rFonts w:cs="Times New Roman"/>
        </w:rPr>
        <w:t xml:space="preserve"> </w:t>
      </w:r>
      <w:r w:rsidR="00301260" w:rsidRPr="00301260">
        <w:rPr>
          <w:rFonts w:cs="Times New Roman"/>
        </w:rPr>
        <w:t>Bovendien kan de gesommeerde derde op de terechtzitting aanvoeren dat deze het verlangde bewijsma</w:t>
      </w:r>
      <w:r w:rsidR="00301260">
        <w:rPr>
          <w:rFonts w:cs="Times New Roman"/>
        </w:rPr>
        <w:t xml:space="preserve">teriaal niet kan verstrekken omdat </w:t>
      </w:r>
      <w:r w:rsidR="00301260" w:rsidRPr="00301260">
        <w:rPr>
          <w:rFonts w:cs="Times New Roman"/>
        </w:rPr>
        <w:t>dit in strijd met het alg</w:t>
      </w:r>
      <w:r w:rsidR="00301260">
        <w:rPr>
          <w:rFonts w:cs="Times New Roman"/>
        </w:rPr>
        <w:t>emeen belang is</w:t>
      </w:r>
      <w:r w:rsidRPr="009946B1">
        <w:rPr>
          <w:rFonts w:cs="Times New Roman"/>
        </w:rPr>
        <w:t>.</w:t>
      </w:r>
      <w:r w:rsidR="009946B1" w:rsidRPr="009946B1">
        <w:rPr>
          <w:rFonts w:cs="Times New Roman"/>
          <w:vertAlign w:val="superscript"/>
        </w:rPr>
        <w:footnoteReference w:id="175"/>
      </w:r>
    </w:p>
    <w:p w14:paraId="0EF34F01" w14:textId="77777777" w:rsidR="009946B1" w:rsidRPr="009946B1" w:rsidRDefault="009946B1" w:rsidP="00821865">
      <w:pPr>
        <w:rPr>
          <w:rFonts w:cs="Times New Roman"/>
        </w:rPr>
      </w:pPr>
    </w:p>
    <w:p w14:paraId="272A8C8B" w14:textId="77777777" w:rsidR="009946B1" w:rsidRPr="009946B1" w:rsidRDefault="009946B1" w:rsidP="00821865">
      <w:pPr>
        <w:rPr>
          <w:rFonts w:cs="Times New Roman"/>
        </w:rPr>
      </w:pPr>
      <w:r w:rsidRPr="009946B1">
        <w:rPr>
          <w:rFonts w:cs="Times New Roman"/>
          <w:b/>
          <w:bCs/>
        </w:rPr>
        <w:t>3.5   Datasets</w:t>
      </w:r>
    </w:p>
    <w:p w14:paraId="265E664C" w14:textId="4CDC048B" w:rsidR="009946B1" w:rsidRPr="009946B1" w:rsidRDefault="006D3B86" w:rsidP="00821865">
      <w:pPr>
        <w:rPr>
          <w:rFonts w:cs="Times New Roman"/>
        </w:rPr>
      </w:pPr>
      <w:r>
        <w:rPr>
          <w:rFonts w:cs="Times New Roman"/>
        </w:rPr>
        <w:t>Hiervoor</w:t>
      </w:r>
      <w:r w:rsidR="009946B1" w:rsidRPr="009946B1">
        <w:rPr>
          <w:rFonts w:cs="Times New Roman"/>
        </w:rPr>
        <w:t xml:space="preserve"> is beschreven op welke wijze de verdediging binnen het strafprocesrecht van Engeland &amp; Wales toegang kan krijgen tot bewijsmateriaal. </w:t>
      </w:r>
      <w:r w:rsidR="008F53C7" w:rsidRPr="008F53C7">
        <w:rPr>
          <w:rFonts w:cs="Times New Roman"/>
        </w:rPr>
        <w:t xml:space="preserve">Hiervoor is beschreven op welke wijze de verdediging binnen het strafprocesrecht van Engeland </w:t>
      </w:r>
      <w:r w:rsidR="008F53C7">
        <w:rPr>
          <w:rFonts w:cs="Times New Roman"/>
        </w:rPr>
        <w:t xml:space="preserve">&amp; Wales toegang kan krijgen tot </w:t>
      </w:r>
      <w:r w:rsidR="008F53C7" w:rsidRPr="008F53C7">
        <w:rPr>
          <w:rFonts w:cs="Times New Roman"/>
        </w:rPr>
        <w:t xml:space="preserve">bewijsmateriaal: (1) eigen bewijsvergaring en (2) </w:t>
      </w:r>
      <w:r w:rsidR="008F53C7" w:rsidRPr="008F53C7">
        <w:rPr>
          <w:rFonts w:cs="Times New Roman"/>
          <w:i/>
          <w:iCs/>
        </w:rPr>
        <w:t>disclosure</w:t>
      </w:r>
      <w:r w:rsidR="008F53C7" w:rsidRPr="008F53C7">
        <w:rPr>
          <w:rFonts w:cs="Times New Roman"/>
        </w:rPr>
        <w:t xml:space="preserve"> via de prosecutor.</w:t>
      </w:r>
      <w:r w:rsidR="009946B1" w:rsidRPr="009946B1">
        <w:rPr>
          <w:rFonts w:cs="Times New Roman"/>
        </w:rPr>
        <w:t xml:space="preserve"> In </w:t>
      </w:r>
      <w:r w:rsidR="008F53C7">
        <w:rPr>
          <w:rFonts w:cs="Times New Roman"/>
        </w:rPr>
        <w:t>deze paragraaf</w:t>
      </w:r>
      <w:r w:rsidR="009946B1" w:rsidRPr="009946B1">
        <w:rPr>
          <w:rFonts w:cs="Times New Roman"/>
        </w:rPr>
        <w:t xml:space="preserve"> zal aan de hand van literatuur en jurisprudentie nader worden gespecificeerd hoe deze mogelijkheden zich verhouden tot datasets. </w:t>
      </w:r>
    </w:p>
    <w:p w14:paraId="0E873520" w14:textId="77777777" w:rsidR="009946B1" w:rsidRPr="009946B1" w:rsidRDefault="009946B1" w:rsidP="00821865">
      <w:pPr>
        <w:rPr>
          <w:rFonts w:cs="Times New Roman"/>
        </w:rPr>
      </w:pPr>
    </w:p>
    <w:p w14:paraId="740DB2FC" w14:textId="77777777" w:rsidR="009946B1" w:rsidRPr="009946B1" w:rsidRDefault="009946B1" w:rsidP="00821865">
      <w:pPr>
        <w:rPr>
          <w:rFonts w:cs="Times New Roman"/>
        </w:rPr>
      </w:pPr>
      <w:r w:rsidRPr="009946B1">
        <w:rPr>
          <w:rFonts w:cs="Times New Roman"/>
        </w:rPr>
        <w:t xml:space="preserve">3.5.1   </w:t>
      </w:r>
      <w:r w:rsidRPr="009946B1">
        <w:rPr>
          <w:rFonts w:cs="Times New Roman"/>
          <w:i/>
          <w:iCs/>
        </w:rPr>
        <w:t>Witness summons</w:t>
      </w:r>
    </w:p>
    <w:p w14:paraId="4C986DC0" w14:textId="2171B950" w:rsidR="009946B1" w:rsidRPr="009946B1" w:rsidRDefault="009946B1" w:rsidP="00821865">
      <w:pPr>
        <w:rPr>
          <w:rFonts w:cs="Times New Roman"/>
        </w:rPr>
      </w:pPr>
      <w:r w:rsidRPr="009946B1">
        <w:rPr>
          <w:rFonts w:cs="Times New Roman"/>
        </w:rPr>
        <w:t xml:space="preserve">In paragraaf 3.4 is </w:t>
      </w:r>
      <w:r w:rsidR="0021616B">
        <w:rPr>
          <w:rFonts w:cs="Times New Roman"/>
        </w:rPr>
        <w:t>toegelicht</w:t>
      </w:r>
      <w:r w:rsidRPr="009946B1">
        <w:rPr>
          <w:rFonts w:cs="Times New Roman"/>
        </w:rPr>
        <w:t xml:space="preserve"> dat de verdediging bij de rechter een verzoek kan neerleggen om een derde te bevelen tot de afgifte van bewijsmateriaal. </w:t>
      </w:r>
      <w:r w:rsidR="00332D0F" w:rsidRPr="00332D0F">
        <w:rPr>
          <w:rFonts w:cs="Times New Roman"/>
        </w:rPr>
        <w:t xml:space="preserve">Hoewel uit de jurisprudentie geen voorbeelden zijn gebleken, kan de verdediging via een </w:t>
      </w:r>
      <w:r w:rsidR="00332D0F" w:rsidRPr="00332D0F">
        <w:rPr>
          <w:rFonts w:cs="Times New Roman"/>
          <w:i/>
        </w:rPr>
        <w:t>witness summons</w:t>
      </w:r>
      <w:r w:rsidR="00332D0F" w:rsidRPr="00332D0F">
        <w:rPr>
          <w:rFonts w:cs="Times New Roman"/>
        </w:rPr>
        <w:t xml:space="preserve"> </w:t>
      </w:r>
      <w:r w:rsidR="009B338A">
        <w:rPr>
          <w:rFonts w:cs="Times New Roman"/>
        </w:rPr>
        <w:t xml:space="preserve">hiermee ook </w:t>
      </w:r>
      <w:r w:rsidR="00332D0F" w:rsidRPr="00332D0F">
        <w:rPr>
          <w:rFonts w:cs="Times New Roman"/>
        </w:rPr>
        <w:t>toegang krijgen tot (een gedeelte van) een dataset.</w:t>
      </w:r>
      <w:r w:rsidR="00AA79B5">
        <w:rPr>
          <w:rFonts w:cs="Times New Roman"/>
        </w:rPr>
        <w:t xml:space="preserve"> Het enige vereiste is dat het verzoek voldoet aan de daaraan gestelde voorwaarden.</w:t>
      </w:r>
      <w:r w:rsidR="00332D0F">
        <w:rPr>
          <w:rFonts w:cs="Times New Roman"/>
        </w:rPr>
        <w:t xml:space="preserve"> </w:t>
      </w:r>
      <w:r w:rsidR="00560C44">
        <w:rPr>
          <w:rFonts w:cs="Times New Roman"/>
        </w:rPr>
        <w:lastRenderedPageBreak/>
        <w:t>Daar zijn</w:t>
      </w:r>
      <w:r w:rsidRPr="009946B1">
        <w:rPr>
          <w:rFonts w:cs="Times New Roman"/>
        </w:rPr>
        <w:t xml:space="preserve"> mogelijk wel haken en ogen aan verbonden: de derde partij die bevolen wordt om de dataset te verstrekken, dient zich nog steeds aan de relevante privacywetgeving te houden.</w:t>
      </w:r>
      <w:r w:rsidR="00B531F9">
        <w:rPr>
          <w:rFonts w:cs="Times New Roman"/>
        </w:rPr>
        <w:t xml:space="preserve"> In de jurisprudentie van het Court of Appeal wordt echter niet</w:t>
      </w:r>
      <w:r w:rsidR="00C42DAE">
        <w:rPr>
          <w:rFonts w:cs="Times New Roman"/>
        </w:rPr>
        <w:t xml:space="preserve"> verder</w:t>
      </w:r>
      <w:r w:rsidR="00B531F9">
        <w:rPr>
          <w:rFonts w:cs="Times New Roman"/>
        </w:rPr>
        <w:t xml:space="preserve"> ingegaan op de procedure van de </w:t>
      </w:r>
      <w:r w:rsidR="0093592A" w:rsidRPr="0093592A">
        <w:rPr>
          <w:rFonts w:cs="Times New Roman"/>
          <w:i/>
        </w:rPr>
        <w:t>witness summons</w:t>
      </w:r>
      <w:r w:rsidR="00B531F9">
        <w:rPr>
          <w:rFonts w:cs="Times New Roman"/>
        </w:rPr>
        <w:t xml:space="preserve"> en de toets</w:t>
      </w:r>
      <w:r w:rsidR="00C625E8">
        <w:rPr>
          <w:rFonts w:cs="Times New Roman"/>
        </w:rPr>
        <w:t xml:space="preserve"> die</w:t>
      </w:r>
      <w:r w:rsidR="00B531F9">
        <w:rPr>
          <w:rFonts w:cs="Times New Roman"/>
        </w:rPr>
        <w:t xml:space="preserve"> de rechter bij dergelijke verzoeken hanteert</w:t>
      </w:r>
      <w:r w:rsidR="00C42DAE">
        <w:rPr>
          <w:rFonts w:cs="Times New Roman"/>
        </w:rPr>
        <w:t xml:space="preserve">. Bovendien is er geen jurisprudentie waaruit blijkt hoe de rechter omgaat met een </w:t>
      </w:r>
      <w:r w:rsidR="0093592A" w:rsidRPr="0093592A">
        <w:rPr>
          <w:rFonts w:cs="Times New Roman"/>
          <w:i/>
        </w:rPr>
        <w:t>witness summons</w:t>
      </w:r>
      <w:r w:rsidR="00C42DAE">
        <w:rPr>
          <w:rFonts w:cs="Times New Roman"/>
        </w:rPr>
        <w:t xml:space="preserve"> van een grote hoeveelheid data.</w:t>
      </w:r>
    </w:p>
    <w:p w14:paraId="45E8F45D" w14:textId="77777777" w:rsidR="00296DA7" w:rsidRPr="009946B1" w:rsidRDefault="00296DA7" w:rsidP="00821865">
      <w:pPr>
        <w:rPr>
          <w:rFonts w:cs="Times New Roman"/>
        </w:rPr>
      </w:pPr>
    </w:p>
    <w:p w14:paraId="56E9D9FF" w14:textId="77777777" w:rsidR="004B0E7E" w:rsidRPr="004B0E7E" w:rsidRDefault="004B0E7E" w:rsidP="004B0E7E">
      <w:pPr>
        <w:rPr>
          <w:rFonts w:cs="Times New Roman"/>
        </w:rPr>
      </w:pPr>
      <w:r w:rsidRPr="004B0E7E">
        <w:rPr>
          <w:rFonts w:cs="Times New Roman"/>
        </w:rPr>
        <w:t xml:space="preserve">3.5.2   </w:t>
      </w:r>
      <w:r w:rsidRPr="004B0E7E">
        <w:rPr>
          <w:rFonts w:cs="Times New Roman"/>
          <w:i/>
          <w:iCs/>
        </w:rPr>
        <w:t>Disclosure</w:t>
      </w:r>
    </w:p>
    <w:p w14:paraId="645D0073" w14:textId="65A325CD" w:rsidR="004B0E7E" w:rsidRPr="004B0E7E" w:rsidRDefault="00521290" w:rsidP="004B0E7E">
      <w:pPr>
        <w:rPr>
          <w:rFonts w:cs="Times New Roman"/>
        </w:rPr>
      </w:pPr>
      <w:r w:rsidRPr="00521290">
        <w:rPr>
          <w:rFonts w:cs="Times New Roman"/>
        </w:rPr>
        <w:t xml:space="preserve">De </w:t>
      </w:r>
      <w:r w:rsidRPr="00521290">
        <w:rPr>
          <w:rFonts w:cs="Times New Roman"/>
          <w:i/>
          <w:iCs/>
        </w:rPr>
        <w:t>disclosure</w:t>
      </w:r>
      <w:r w:rsidRPr="00521290">
        <w:rPr>
          <w:rFonts w:cs="Times New Roman"/>
        </w:rPr>
        <w:t xml:space="preserve"> van de tertiaire dataset (hetgeen in de </w:t>
      </w:r>
      <w:r w:rsidRPr="00521290">
        <w:rPr>
          <w:rFonts w:cs="Times New Roman"/>
          <w:i/>
          <w:iCs/>
        </w:rPr>
        <w:t>prosecution case</w:t>
      </w:r>
      <w:r w:rsidRPr="00521290">
        <w:rPr>
          <w:rFonts w:cs="Times New Roman"/>
        </w:rPr>
        <w:t xml:space="preserve"> is opgenomen) behoeft geen nadere bespreking.</w:t>
      </w:r>
      <w:r w:rsidR="004B0E7E" w:rsidRPr="004B0E7E">
        <w:rPr>
          <w:rFonts w:cs="Times New Roman"/>
        </w:rPr>
        <w:t xml:space="preserve"> Deze zal immers – overeenkomstig de Nederlandse regeling – reeds aan de verdediging zijn verstrekt op een wijze zoals omschreven in paragraaf 3.3.2. In deze paragraaf staat daarom</w:t>
      </w:r>
      <w:r w:rsidR="00633762">
        <w:rPr>
          <w:rFonts w:cs="Times New Roman"/>
        </w:rPr>
        <w:t xml:space="preserve"> alleen de</w:t>
      </w:r>
      <w:r w:rsidR="004B0E7E" w:rsidRPr="004B0E7E">
        <w:rPr>
          <w:rFonts w:cs="Times New Roman"/>
        </w:rPr>
        <w:t xml:space="preserve"> toegang tot de volledige en de secundaire dataset centraal. </w:t>
      </w:r>
      <w:r w:rsidR="006920E9" w:rsidRPr="006920E9">
        <w:rPr>
          <w:rFonts w:cs="Times New Roman"/>
        </w:rPr>
        <w:t>Een opvallende constatering is dat hierover in de geraadpleegde literatuur weinig te vinden is.</w:t>
      </w:r>
      <w:r w:rsidR="006920E9">
        <w:rPr>
          <w:rFonts w:cs="Times New Roman"/>
        </w:rPr>
        <w:t xml:space="preserve"> </w:t>
      </w:r>
      <w:r w:rsidR="004B0E7E" w:rsidRPr="004B0E7E">
        <w:rPr>
          <w:rFonts w:cs="Times New Roman"/>
        </w:rPr>
        <w:t xml:space="preserve">Het onderwerp wordt besproken in het handboek van Corker &amp; Parkinson, waarin enkel wordt verwezen naar richtlijnen en jurisprudentie. Derhalve zullen de richtlijnen en jurisprudentie worden gebruikt om een nader beeld te geven van de toegang tot datasets </w:t>
      </w:r>
      <w:r w:rsidR="004C4238">
        <w:rPr>
          <w:rFonts w:cs="Times New Roman"/>
        </w:rPr>
        <w:t>door middel</w:t>
      </w:r>
      <w:r w:rsidR="004B0E7E" w:rsidRPr="004B0E7E">
        <w:rPr>
          <w:rFonts w:cs="Times New Roman"/>
        </w:rPr>
        <w:t xml:space="preserve"> van </w:t>
      </w:r>
      <w:r w:rsidR="0093592A" w:rsidRPr="0093592A">
        <w:rPr>
          <w:rFonts w:cs="Times New Roman"/>
          <w:i/>
        </w:rPr>
        <w:t>disclosure</w:t>
      </w:r>
      <w:r w:rsidR="004B0E7E" w:rsidRPr="004B0E7E">
        <w:rPr>
          <w:rFonts w:cs="Times New Roman"/>
        </w:rPr>
        <w:t>.</w:t>
      </w:r>
    </w:p>
    <w:p w14:paraId="5EE71C6F" w14:textId="77777777" w:rsidR="004B0E7E" w:rsidRPr="004B0E7E" w:rsidRDefault="004B0E7E" w:rsidP="004B0E7E">
      <w:pPr>
        <w:rPr>
          <w:rFonts w:cs="Times New Roman"/>
        </w:rPr>
      </w:pPr>
    </w:p>
    <w:p w14:paraId="633AB44D" w14:textId="1DF15B46" w:rsidR="004B0E7E" w:rsidRPr="001C6ADA" w:rsidRDefault="4A0BCA79" w:rsidP="004B0E7E">
      <w:pPr>
        <w:rPr>
          <w:rFonts w:cs="Times New Roman"/>
          <w:lang w:val="en-US"/>
        </w:rPr>
      </w:pPr>
      <w:r w:rsidRPr="004B0E7E">
        <w:rPr>
          <w:rFonts w:cs="Times New Roman"/>
        </w:rPr>
        <w:t xml:space="preserve">De </w:t>
      </w:r>
      <w:r w:rsidRPr="00046845">
        <w:rPr>
          <w:rFonts w:cs="Times New Roman"/>
        </w:rPr>
        <w:t>Good Practice Guide for Digital Evidence</w:t>
      </w:r>
      <w:r w:rsidRPr="004B0E7E">
        <w:rPr>
          <w:rFonts w:cs="Times New Roman"/>
        </w:rPr>
        <w:t xml:space="preserve"> van de ACPO besteedt kort aandacht aan de </w:t>
      </w:r>
      <w:r w:rsidR="27ACDA63" w:rsidRPr="41859A08">
        <w:rPr>
          <w:rFonts w:cs="Times New Roman"/>
          <w:i/>
          <w:iCs/>
        </w:rPr>
        <w:t>disclosure</w:t>
      </w:r>
      <w:r w:rsidRPr="004B0E7E">
        <w:rPr>
          <w:rFonts w:cs="Times New Roman"/>
        </w:rPr>
        <w:t xml:space="preserve"> van digitaal bewijs. Daarin komt de ACPO tot de constatering dat de grootste uitdaging met de </w:t>
      </w:r>
      <w:r w:rsidR="27ACDA63" w:rsidRPr="41859A08">
        <w:rPr>
          <w:rFonts w:cs="Times New Roman"/>
          <w:i/>
          <w:iCs/>
        </w:rPr>
        <w:t>disclosure</w:t>
      </w:r>
      <w:r w:rsidRPr="004B0E7E">
        <w:rPr>
          <w:rFonts w:cs="Times New Roman"/>
        </w:rPr>
        <w:t xml:space="preserve"> van digitaal bewijs zich voordoet in het geval van grote omvang. Digitale opsporing kan er immers voor zorgen dat er grote hoeveelheden data worden vergaard en dat het niet zomaar mogelijk is voor de opsporingsambtenaren en de CPS om hun plicht tot </w:t>
      </w:r>
      <w:r w:rsidR="27ACDA63" w:rsidRPr="41859A08">
        <w:rPr>
          <w:rFonts w:cs="Times New Roman"/>
          <w:i/>
          <w:iCs/>
        </w:rPr>
        <w:t>disclosure</w:t>
      </w:r>
      <w:r w:rsidRPr="004B0E7E">
        <w:rPr>
          <w:rFonts w:cs="Times New Roman"/>
        </w:rPr>
        <w:t xml:space="preserve"> goed uit te oefenen.</w:t>
      </w:r>
      <w:r w:rsidR="004B0E7E" w:rsidRPr="004B0E7E">
        <w:rPr>
          <w:rFonts w:cs="Times New Roman"/>
          <w:vertAlign w:val="superscript"/>
        </w:rPr>
        <w:footnoteReference w:id="176"/>
      </w:r>
      <w:r w:rsidRPr="004B0E7E">
        <w:rPr>
          <w:rFonts w:cs="Times New Roman"/>
        </w:rPr>
        <w:t xml:space="preserve"> </w:t>
      </w:r>
      <w:r w:rsidRPr="0037437B">
        <w:rPr>
          <w:rFonts w:cs="Times New Roman"/>
          <w:lang w:val="en-US"/>
        </w:rPr>
        <w:t>Derhalve wijst de ACPO erop</w:t>
      </w:r>
      <w:r w:rsidRPr="00046845">
        <w:rPr>
          <w:rFonts w:cs="Times New Roman"/>
          <w:lang w:val="en-US"/>
        </w:rPr>
        <w:t xml:space="preserve"> dat:</w:t>
      </w:r>
    </w:p>
    <w:p w14:paraId="5E23CFFA" w14:textId="77777777" w:rsidR="004B0E7E" w:rsidRPr="001C6ADA" w:rsidRDefault="004B0E7E" w:rsidP="004B0E7E">
      <w:pPr>
        <w:rPr>
          <w:rFonts w:cs="Times New Roman"/>
          <w:lang w:val="en-US"/>
        </w:rPr>
      </w:pPr>
    </w:p>
    <w:p w14:paraId="1EEE9A24" w14:textId="779D30F8" w:rsidR="004B0E7E" w:rsidRPr="004B0E7E" w:rsidRDefault="4A0BCA79" w:rsidP="004B0E7E">
      <w:pPr>
        <w:rPr>
          <w:rFonts w:cs="Times New Roman"/>
          <w:i/>
          <w:iCs/>
          <w:lang w:val="en-GB"/>
        </w:rPr>
      </w:pPr>
      <w:r w:rsidRPr="41859A08">
        <w:rPr>
          <w:rFonts w:cs="Times New Roman"/>
          <w:i/>
          <w:iCs/>
          <w:lang w:val="en-GB"/>
        </w:rPr>
        <w:t xml:space="preserve">“Generally material must be examined in detail by the </w:t>
      </w:r>
      <w:r w:rsidR="27ACDA63" w:rsidRPr="41859A08">
        <w:rPr>
          <w:rFonts w:cs="Times New Roman"/>
          <w:i/>
          <w:iCs/>
          <w:lang w:val="en-GB"/>
        </w:rPr>
        <w:t>disclosure officer</w:t>
      </w:r>
      <w:r w:rsidRPr="41859A08">
        <w:rPr>
          <w:rFonts w:cs="Times New Roman"/>
          <w:i/>
          <w:iCs/>
          <w:lang w:val="en-GB"/>
        </w:rPr>
        <w:t xml:space="preserve"> or the deputy but, exceptionally, the extent and manner of inspecting, viewing or listening will depend on the nature of the material and its form. For example, it might be reasonable to examine digital material by using software search tools. If such material is not examined in detail, it must nonetheless be described on the </w:t>
      </w:r>
      <w:r w:rsidR="27ACDA63" w:rsidRPr="41859A08">
        <w:rPr>
          <w:rFonts w:cs="Times New Roman"/>
          <w:i/>
          <w:iCs/>
          <w:lang w:val="en-GB"/>
        </w:rPr>
        <w:t>disclosure schedules</w:t>
      </w:r>
      <w:r w:rsidRPr="41859A08">
        <w:rPr>
          <w:rFonts w:cs="Times New Roman"/>
          <w:i/>
          <w:iCs/>
          <w:lang w:val="en-GB"/>
        </w:rPr>
        <w:t xml:space="preserve"> accurately and as clearly as possible. The extent and manner of its examination must also be described together with justification for such action.”</w:t>
      </w:r>
      <w:r w:rsidR="004B0E7E" w:rsidRPr="00841618">
        <w:rPr>
          <w:rFonts w:cs="Times New Roman"/>
          <w:vertAlign w:val="superscript"/>
          <w:lang w:val="en-GB"/>
        </w:rPr>
        <w:footnoteReference w:id="177"/>
      </w:r>
    </w:p>
    <w:p w14:paraId="429C1545" w14:textId="77777777" w:rsidR="004B0E7E" w:rsidRPr="004B0E7E" w:rsidRDefault="004B0E7E" w:rsidP="004B0E7E">
      <w:pPr>
        <w:rPr>
          <w:rFonts w:cs="Times New Roman"/>
          <w:lang w:val="en-GB"/>
        </w:rPr>
      </w:pPr>
    </w:p>
    <w:p w14:paraId="78E8C8C3" w14:textId="4434A56E" w:rsidR="004B0E7E" w:rsidRPr="004B0E7E" w:rsidRDefault="4A0BCA79" w:rsidP="004B0E7E">
      <w:pPr>
        <w:rPr>
          <w:rFonts w:cs="Times New Roman"/>
        </w:rPr>
      </w:pPr>
      <w:r w:rsidRPr="004B0E7E">
        <w:rPr>
          <w:rFonts w:cs="Times New Roman"/>
        </w:rPr>
        <w:t xml:space="preserve">De ACPO houdt er </w:t>
      </w:r>
      <w:r w:rsidR="000B5FFF">
        <w:rPr>
          <w:rFonts w:cs="Times New Roman"/>
        </w:rPr>
        <w:t xml:space="preserve">dus </w:t>
      </w:r>
      <w:r w:rsidRPr="004B0E7E">
        <w:rPr>
          <w:rFonts w:cs="Times New Roman"/>
        </w:rPr>
        <w:t xml:space="preserve">rekening mee dat de opsporingsresultaten niet in detail worden onderzocht, zolang zij maar wel met een voldoende omschrijving worden opgenomen in de </w:t>
      </w:r>
      <w:r w:rsidR="27ACDA63" w:rsidRPr="41859A08">
        <w:rPr>
          <w:rFonts w:cs="Times New Roman"/>
          <w:i/>
          <w:iCs/>
        </w:rPr>
        <w:t>disclosure schedules</w:t>
      </w:r>
      <w:r w:rsidRPr="004B0E7E">
        <w:rPr>
          <w:rFonts w:cs="Times New Roman"/>
        </w:rPr>
        <w:t xml:space="preserve">. Daarbij dient de mate waarin en de wijze waarop de dataset is onderzocht te worden gemotiveerd. Hoewel </w:t>
      </w:r>
      <w:r w:rsidR="004C4238">
        <w:rPr>
          <w:rFonts w:cs="Times New Roman"/>
        </w:rPr>
        <w:t>de richtlijn van de ACPO dateert</w:t>
      </w:r>
      <w:r w:rsidRPr="004B0E7E">
        <w:rPr>
          <w:rFonts w:cs="Times New Roman"/>
        </w:rPr>
        <w:t xml:space="preserve"> uit 2012 en daarmee vrij verouderd is</w:t>
      </w:r>
      <w:r w:rsidR="00841618">
        <w:rPr>
          <w:rFonts w:cs="Times New Roman"/>
        </w:rPr>
        <w:t>,</w:t>
      </w:r>
      <w:r w:rsidR="004B0E7E" w:rsidRPr="004B0E7E">
        <w:rPr>
          <w:rFonts w:cs="Times New Roman"/>
          <w:vertAlign w:val="superscript"/>
        </w:rPr>
        <w:footnoteReference w:id="178"/>
      </w:r>
      <w:r w:rsidRPr="004B0E7E">
        <w:rPr>
          <w:rFonts w:cs="Times New Roman"/>
        </w:rPr>
        <w:t xml:space="preserve"> wordt de </w:t>
      </w:r>
      <w:r w:rsidR="27ACDA63" w:rsidRPr="41859A08">
        <w:rPr>
          <w:rFonts w:cs="Times New Roman"/>
          <w:i/>
          <w:iCs/>
        </w:rPr>
        <w:t>disclosure</w:t>
      </w:r>
      <w:r w:rsidRPr="004B0E7E">
        <w:rPr>
          <w:rFonts w:cs="Times New Roman"/>
        </w:rPr>
        <w:t xml:space="preserve"> </w:t>
      </w:r>
      <w:r w:rsidRPr="004B0E7E">
        <w:rPr>
          <w:rFonts w:cs="Times New Roman"/>
        </w:rPr>
        <w:lastRenderedPageBreak/>
        <w:t xml:space="preserve">van datasets opvallend genoeg wel benoemd. Daarnaast wordt ook al gewezen op de mogelijkheid van het doorzoeken van datasets door middel van software. Eenzelfde overweging als het bovenstaande wordt ook al gegeven in een versie van de richtlijn van de Attorney General uit 2005: ook toen speelde de </w:t>
      </w:r>
      <w:r w:rsidR="27ACDA63" w:rsidRPr="41859A08">
        <w:rPr>
          <w:rFonts w:cs="Times New Roman"/>
          <w:i/>
          <w:iCs/>
        </w:rPr>
        <w:t>disclosure</w:t>
      </w:r>
      <w:r w:rsidRPr="004B0E7E">
        <w:rPr>
          <w:rFonts w:cs="Times New Roman"/>
        </w:rPr>
        <w:t xml:space="preserve"> van datasets kennelijk een rol.</w:t>
      </w:r>
      <w:r w:rsidR="004B0E7E" w:rsidRPr="004B0E7E">
        <w:rPr>
          <w:rFonts w:cs="Times New Roman"/>
          <w:vertAlign w:val="superscript"/>
        </w:rPr>
        <w:footnoteReference w:id="179"/>
      </w:r>
      <w:r w:rsidRPr="004B0E7E">
        <w:rPr>
          <w:rFonts w:cs="Times New Roman"/>
        </w:rPr>
        <w:t xml:space="preserve"> Bovendien biedt de huidige richtlijn van de Attorney General een omvattend kader voor</w:t>
      </w:r>
      <w:r w:rsidR="00F75C06">
        <w:rPr>
          <w:rFonts w:cs="Times New Roman"/>
        </w:rPr>
        <w:t xml:space="preserve"> de</w:t>
      </w:r>
      <w:r w:rsidRPr="004B0E7E">
        <w:rPr>
          <w:rFonts w:cs="Times New Roman"/>
        </w:rPr>
        <w:t xml:space="preserve"> </w:t>
      </w:r>
      <w:r w:rsidR="27ACDA63" w:rsidRPr="41859A08">
        <w:rPr>
          <w:rFonts w:cs="Times New Roman"/>
          <w:i/>
          <w:iCs/>
        </w:rPr>
        <w:t>disclosure</w:t>
      </w:r>
      <w:r w:rsidRPr="004B0E7E">
        <w:rPr>
          <w:rFonts w:cs="Times New Roman"/>
        </w:rPr>
        <w:t xml:space="preserve"> van datasets. Dit kader is vervat in Annex A bij deze richtlijn, waarin een algemene uiteenzetting wordt gegeven van de wijze waarop de </w:t>
      </w:r>
      <w:r w:rsidR="27ACDA63" w:rsidRPr="41859A08">
        <w:rPr>
          <w:rFonts w:cs="Times New Roman"/>
          <w:i/>
          <w:iCs/>
        </w:rPr>
        <w:t>disclosure</w:t>
      </w:r>
      <w:r w:rsidRPr="004B0E7E">
        <w:rPr>
          <w:rFonts w:cs="Times New Roman"/>
        </w:rPr>
        <w:t xml:space="preserve"> van digitaal bewijsmateriaal dient te worden benaderd. Daarin wordt ook gesproken over de omstandigheid dat er een grote hoeveelheid aan digitaal bewijsmateriaal bestaat: wanneer er datasets in het spel zijn, </w:t>
      </w:r>
      <w:r w:rsidR="004C4238">
        <w:rPr>
          <w:rFonts w:cs="Times New Roman"/>
        </w:rPr>
        <w:t>is het de taak</w:t>
      </w:r>
      <w:r w:rsidRPr="004B0E7E">
        <w:rPr>
          <w:rFonts w:cs="Times New Roman"/>
        </w:rPr>
        <w:t xml:space="preserve"> van de opsporingsambtenaren om met de prosecutor een gezamenlijke strategie te bepalen omtrent </w:t>
      </w:r>
      <w:r w:rsidR="2C92F9C1">
        <w:rPr>
          <w:rFonts w:cs="Times New Roman"/>
        </w:rPr>
        <w:t>het onderzoek</w:t>
      </w:r>
      <w:r w:rsidRPr="004B0E7E">
        <w:rPr>
          <w:rFonts w:cs="Times New Roman"/>
        </w:rPr>
        <w:t xml:space="preserve"> van het bewijsmateriaal.</w:t>
      </w:r>
      <w:r w:rsidR="004B0E7E" w:rsidRPr="004B0E7E">
        <w:rPr>
          <w:rFonts w:cs="Times New Roman"/>
          <w:vertAlign w:val="superscript"/>
        </w:rPr>
        <w:footnoteReference w:id="180"/>
      </w:r>
      <w:r w:rsidRPr="004B0E7E">
        <w:rPr>
          <w:rFonts w:cs="Times New Roman"/>
        </w:rPr>
        <w:t xml:space="preserve"> De richtlijn van de Attorney General voorziet dat niet in alle zaken met datasets kan worden volstaan met het uitpluizen van alle data. Het is daarom </w:t>
      </w:r>
      <w:r w:rsidR="000541A5">
        <w:rPr>
          <w:rFonts w:cs="Times New Roman"/>
        </w:rPr>
        <w:t>acceptabel</w:t>
      </w:r>
      <w:r w:rsidRPr="004B0E7E">
        <w:rPr>
          <w:rFonts w:cs="Times New Roman"/>
        </w:rPr>
        <w:t xml:space="preserve"> dat er binnen de dataset wordt gezocht op basis van trefwoorden of met andere zoekmethoden om mogelijk bewijsmateriaal </w:t>
      </w:r>
      <w:r w:rsidR="00766446">
        <w:rPr>
          <w:rFonts w:cs="Times New Roman"/>
        </w:rPr>
        <w:t>te selecteren</w:t>
      </w:r>
      <w:r w:rsidRPr="004B0E7E">
        <w:rPr>
          <w:rFonts w:cs="Times New Roman"/>
        </w:rPr>
        <w:t xml:space="preserve">. Het gebruikmaken van een elektronische zoekmachine is daarbij toegestaan. Hierbij is van belang dat de opsporingsambtenaren die het onderzoek </w:t>
      </w:r>
      <w:r w:rsidR="00A7450F">
        <w:rPr>
          <w:rFonts w:cs="Times New Roman"/>
        </w:rPr>
        <w:t>uitvoeren</w:t>
      </w:r>
      <w:r w:rsidRPr="004B0E7E">
        <w:rPr>
          <w:rFonts w:cs="Times New Roman"/>
        </w:rPr>
        <w:t xml:space="preserve">, een strategie bepalen die het beste past bij de doorzoeking van de dataset. Deze strategie </w:t>
      </w:r>
      <w:r w:rsidR="0071203D">
        <w:rPr>
          <w:rFonts w:cs="Times New Roman"/>
        </w:rPr>
        <w:t xml:space="preserve">moet worden </w:t>
      </w:r>
      <w:r w:rsidR="00000A66" w:rsidRPr="004B0E7E">
        <w:rPr>
          <w:rFonts w:cs="Times New Roman"/>
        </w:rPr>
        <w:t xml:space="preserve">gemotiveerd </w:t>
      </w:r>
      <w:r w:rsidR="00000A66">
        <w:rPr>
          <w:rFonts w:cs="Times New Roman"/>
        </w:rPr>
        <w:t>en</w:t>
      </w:r>
      <w:r w:rsidR="0071203D">
        <w:rPr>
          <w:rFonts w:cs="Times New Roman"/>
        </w:rPr>
        <w:t xml:space="preserve"> dient</w:t>
      </w:r>
      <w:r w:rsidR="00000A66">
        <w:rPr>
          <w:rFonts w:cs="Times New Roman"/>
        </w:rPr>
        <w:t xml:space="preserve"> </w:t>
      </w:r>
      <w:r w:rsidRPr="004B0E7E">
        <w:rPr>
          <w:rFonts w:cs="Times New Roman"/>
        </w:rPr>
        <w:t>te worden goedgekeurd door de prosecutor.</w:t>
      </w:r>
      <w:r w:rsidR="004B0E7E" w:rsidRPr="004B0E7E">
        <w:rPr>
          <w:rFonts w:cs="Times New Roman"/>
          <w:vertAlign w:val="superscript"/>
        </w:rPr>
        <w:footnoteReference w:id="181"/>
      </w:r>
      <w:r w:rsidRPr="004B0E7E">
        <w:rPr>
          <w:rFonts w:cs="Times New Roman"/>
        </w:rPr>
        <w:t xml:space="preserve"> </w:t>
      </w:r>
    </w:p>
    <w:p w14:paraId="156AD2BC" w14:textId="77777777" w:rsidR="004B0E7E" w:rsidRPr="004B0E7E" w:rsidRDefault="004B0E7E" w:rsidP="004B0E7E">
      <w:pPr>
        <w:rPr>
          <w:rFonts w:cs="Times New Roman"/>
        </w:rPr>
      </w:pPr>
    </w:p>
    <w:p w14:paraId="76BBA90E" w14:textId="4AA51A54" w:rsidR="0047380D" w:rsidRPr="0047380D" w:rsidRDefault="5632CF62" w:rsidP="0047380D">
      <w:pPr>
        <w:rPr>
          <w:rFonts w:cs="Times New Roman"/>
        </w:rPr>
      </w:pPr>
      <w:r w:rsidRPr="0047380D">
        <w:rPr>
          <w:rFonts w:cs="Times New Roman"/>
        </w:rPr>
        <w:t xml:space="preserve">De richtlijn van de Attorney General laat zich daarnaast uit over de rol van de verdediging bij de </w:t>
      </w:r>
      <w:r w:rsidRPr="41859A08">
        <w:rPr>
          <w:rFonts w:cs="Times New Roman"/>
          <w:i/>
          <w:iCs/>
        </w:rPr>
        <w:t>disclosure</w:t>
      </w:r>
      <w:r w:rsidRPr="0047380D">
        <w:rPr>
          <w:rFonts w:cs="Times New Roman"/>
        </w:rPr>
        <w:t xml:space="preserve"> van datasets. Wanneer gebruik wordt gemaakt van zoektermen binnen de dataset, dient de prosecutor te overwegen of de verdediging hierbij betrokken kan worden om deze zoektermen aan te vullen. Het is doorgaans rechtens om de verdediging te voorzien van een kopie van de reeds gebruikte zoektermen, zodat </w:t>
      </w:r>
      <w:r w:rsidR="0035166F">
        <w:rPr>
          <w:rFonts w:cs="Times New Roman"/>
        </w:rPr>
        <w:t>hij</w:t>
      </w:r>
      <w:r w:rsidRPr="0047380D">
        <w:rPr>
          <w:rFonts w:cs="Times New Roman"/>
        </w:rPr>
        <w:t xml:space="preserve"> de suggesties voor uitbreiding </w:t>
      </w:r>
      <w:r w:rsidR="0035166F">
        <w:rPr>
          <w:rFonts w:cs="Times New Roman"/>
        </w:rPr>
        <w:t>kan</w:t>
      </w:r>
      <w:r w:rsidRPr="0047380D">
        <w:rPr>
          <w:rFonts w:cs="Times New Roman"/>
        </w:rPr>
        <w:t xml:space="preserve"> aanleveren. Wanneer de prosecutor van oordeel is dat gesuggereerde zoektermen te breed of </w:t>
      </w:r>
      <w:r w:rsidR="009B0741">
        <w:rPr>
          <w:rFonts w:cs="Times New Roman"/>
        </w:rPr>
        <w:t>irr</w:t>
      </w:r>
      <w:r w:rsidRPr="0047380D">
        <w:rPr>
          <w:rFonts w:cs="Times New Roman"/>
        </w:rPr>
        <w:t>elevant zijn, dient hij dit met de verdediging te bespreken om tot een redelijke aanpassing te komen.</w:t>
      </w:r>
      <w:r w:rsidR="0047380D" w:rsidRPr="0047380D">
        <w:rPr>
          <w:rFonts w:cs="Times New Roman"/>
          <w:vertAlign w:val="superscript"/>
        </w:rPr>
        <w:footnoteReference w:id="182"/>
      </w:r>
      <w:r w:rsidRPr="0047380D">
        <w:rPr>
          <w:rFonts w:cs="Times New Roman"/>
        </w:rPr>
        <w:t xml:space="preserve"> Deze bespreking vormt een onderdeel van het fenomeen dat ook wel </w:t>
      </w:r>
      <w:r w:rsidRPr="41859A08">
        <w:rPr>
          <w:rFonts w:cs="Times New Roman"/>
          <w:i/>
          <w:iCs/>
        </w:rPr>
        <w:t>pre-charge engagement</w:t>
      </w:r>
      <w:r w:rsidRPr="0047380D">
        <w:rPr>
          <w:rFonts w:cs="Times New Roman"/>
        </w:rPr>
        <w:t xml:space="preserve"> wordt genoemd: een vrijwillige toenadering tussen de procespartijen nog voordat de verdachte een strafbaar feit ten laste wordt gelegd.</w:t>
      </w:r>
      <w:r w:rsidR="0047380D" w:rsidRPr="0047380D">
        <w:rPr>
          <w:rFonts w:cs="Times New Roman"/>
          <w:vertAlign w:val="superscript"/>
        </w:rPr>
        <w:footnoteReference w:id="183"/>
      </w:r>
      <w:r w:rsidRPr="0047380D">
        <w:rPr>
          <w:rFonts w:cs="Times New Roman"/>
        </w:rPr>
        <w:t xml:space="preserve"> Binnen deze toenadering kunnen de procespartijen zich uitlaten over het onderzoek en bepaalde afspraken met elkaar maken. Zo kan de verdediging zich bijvoorbeeld uitlaten over de voorgestelde </w:t>
      </w:r>
      <w:r w:rsidRPr="0009461B">
        <w:rPr>
          <w:rFonts w:cs="Times New Roman"/>
          <w:i/>
          <w:iCs/>
        </w:rPr>
        <w:t xml:space="preserve">lines </w:t>
      </w:r>
      <w:r w:rsidR="0009461B" w:rsidRPr="0009461B">
        <w:rPr>
          <w:rFonts w:cs="Times New Roman"/>
          <w:i/>
          <w:iCs/>
        </w:rPr>
        <w:t xml:space="preserve">of </w:t>
      </w:r>
      <w:r w:rsidRPr="0009461B">
        <w:rPr>
          <w:rFonts w:cs="Times New Roman"/>
          <w:i/>
          <w:iCs/>
        </w:rPr>
        <w:t>enquiry</w:t>
      </w:r>
      <w:r w:rsidRPr="0047380D">
        <w:rPr>
          <w:rFonts w:cs="Times New Roman"/>
        </w:rPr>
        <w:t xml:space="preserve"> en deze ook zelf aandragen. Ook het in overeenstemming brengen van de zoektermen waarmee de dataset zal worden </w:t>
      </w:r>
      <w:r w:rsidR="0035166F">
        <w:rPr>
          <w:rFonts w:cs="Times New Roman"/>
        </w:rPr>
        <w:t>onderzocht</w:t>
      </w:r>
      <w:r w:rsidRPr="0047380D">
        <w:rPr>
          <w:rFonts w:cs="Times New Roman"/>
        </w:rPr>
        <w:t xml:space="preserve"> valt onder </w:t>
      </w:r>
      <w:r w:rsidRPr="41859A08">
        <w:rPr>
          <w:rFonts w:cs="Times New Roman"/>
          <w:i/>
          <w:iCs/>
        </w:rPr>
        <w:t>pre-charge engagement</w:t>
      </w:r>
      <w:r w:rsidRPr="0047380D">
        <w:rPr>
          <w:rFonts w:cs="Times New Roman"/>
        </w:rPr>
        <w:t>.</w:t>
      </w:r>
      <w:r w:rsidR="0047380D" w:rsidRPr="0047380D">
        <w:rPr>
          <w:rFonts w:cs="Times New Roman"/>
          <w:vertAlign w:val="superscript"/>
        </w:rPr>
        <w:footnoteReference w:id="184"/>
      </w:r>
      <w:r w:rsidRPr="0047380D">
        <w:rPr>
          <w:rFonts w:cs="Times New Roman"/>
        </w:rPr>
        <w:t xml:space="preserve"> Het is overigens niet zo dat het initiatief tot </w:t>
      </w:r>
      <w:r w:rsidRPr="41859A08">
        <w:rPr>
          <w:rFonts w:cs="Times New Roman"/>
          <w:i/>
          <w:iCs/>
        </w:rPr>
        <w:t>pre-charge engagement</w:t>
      </w:r>
      <w:r w:rsidRPr="0047380D">
        <w:rPr>
          <w:rFonts w:cs="Times New Roman"/>
        </w:rPr>
        <w:t xml:space="preserve"> slechts bij de prosecutor ligt: ook de verdediging kan hiertoe </w:t>
      </w:r>
      <w:r w:rsidRPr="0047380D">
        <w:rPr>
          <w:rFonts w:cs="Times New Roman"/>
        </w:rPr>
        <w:lastRenderedPageBreak/>
        <w:t>overgaan indien hij dat wenst.</w:t>
      </w:r>
      <w:r w:rsidR="0047380D" w:rsidRPr="0047380D">
        <w:rPr>
          <w:rFonts w:cs="Times New Roman"/>
          <w:vertAlign w:val="superscript"/>
        </w:rPr>
        <w:footnoteReference w:id="185"/>
      </w:r>
      <w:r w:rsidRPr="0047380D">
        <w:rPr>
          <w:rFonts w:cs="Times New Roman"/>
        </w:rPr>
        <w:t xml:space="preserve"> De prosecutor zal doorgaans slechts gebruik maken van </w:t>
      </w:r>
      <w:r w:rsidRPr="41859A08">
        <w:rPr>
          <w:rFonts w:cs="Times New Roman"/>
          <w:i/>
          <w:iCs/>
        </w:rPr>
        <w:t>pre-charge engagement</w:t>
      </w:r>
      <w:r w:rsidRPr="0047380D">
        <w:rPr>
          <w:rFonts w:cs="Times New Roman"/>
        </w:rPr>
        <w:t xml:space="preserve"> wann</w:t>
      </w:r>
      <w:r w:rsidR="005269D6">
        <w:rPr>
          <w:rFonts w:cs="Times New Roman"/>
        </w:rPr>
        <w:t>eer beide partijen menen dat dit</w:t>
      </w:r>
      <w:r w:rsidRPr="0047380D">
        <w:rPr>
          <w:rFonts w:cs="Times New Roman"/>
        </w:rPr>
        <w:t xml:space="preserve"> voordelig uitpakt </w:t>
      </w:r>
      <w:r w:rsidR="0094671C">
        <w:rPr>
          <w:rFonts w:cs="Times New Roman"/>
        </w:rPr>
        <w:t>voor de strafzaak. Bovendien mag</w:t>
      </w:r>
      <w:r w:rsidRPr="0047380D">
        <w:rPr>
          <w:rFonts w:cs="Times New Roman"/>
        </w:rPr>
        <w:t xml:space="preserve"> niet tot </w:t>
      </w:r>
      <w:r w:rsidRPr="41859A08">
        <w:rPr>
          <w:rFonts w:cs="Times New Roman"/>
          <w:i/>
          <w:iCs/>
        </w:rPr>
        <w:t>pre-charge engagement</w:t>
      </w:r>
      <w:r w:rsidRPr="0047380D">
        <w:rPr>
          <w:rFonts w:cs="Times New Roman"/>
        </w:rPr>
        <w:t xml:space="preserve"> worden overgegaan op het moment dat de prosecutor zwaar zal leunen op de inhoud van de verklaringen van de verdachte om tot een veroordeling te komen.</w:t>
      </w:r>
      <w:r w:rsidR="0047380D" w:rsidRPr="0047380D">
        <w:rPr>
          <w:rFonts w:cs="Times New Roman"/>
          <w:vertAlign w:val="superscript"/>
        </w:rPr>
        <w:footnoteReference w:id="186"/>
      </w:r>
      <w:r w:rsidRPr="0047380D">
        <w:rPr>
          <w:rFonts w:cs="Times New Roman"/>
        </w:rPr>
        <w:t xml:space="preserve"> Opmerkelijk is dat </w:t>
      </w:r>
      <w:r w:rsidRPr="41859A08">
        <w:rPr>
          <w:rFonts w:cs="Times New Roman"/>
          <w:i/>
          <w:iCs/>
        </w:rPr>
        <w:t>pre-charge engagement</w:t>
      </w:r>
      <w:r w:rsidRPr="0047380D">
        <w:rPr>
          <w:rFonts w:cs="Times New Roman"/>
        </w:rPr>
        <w:t xml:space="preserve"> geschiedt op vrijwillige basis en dat de prosecutor dus niet verplicht is om hiertoe over te gaan</w:t>
      </w:r>
      <w:r w:rsidR="00392B96">
        <w:rPr>
          <w:rFonts w:cs="Times New Roman"/>
        </w:rPr>
        <w:t>,</w:t>
      </w:r>
      <w:r w:rsidRPr="0047380D">
        <w:rPr>
          <w:rFonts w:cs="Times New Roman"/>
        </w:rPr>
        <w:t xml:space="preserve"> dan wel aan voorstellen van de verdediging </w:t>
      </w:r>
      <w:r w:rsidR="00392B96">
        <w:rPr>
          <w:rFonts w:cs="Times New Roman"/>
        </w:rPr>
        <w:t>moet meewerken</w:t>
      </w:r>
      <w:r w:rsidRPr="0047380D">
        <w:rPr>
          <w:rFonts w:cs="Times New Roman"/>
        </w:rPr>
        <w:t>.</w:t>
      </w:r>
      <w:r w:rsidR="7EB76DC6">
        <w:rPr>
          <w:rFonts w:cs="Times New Roman"/>
        </w:rPr>
        <w:t xml:space="preserve"> Daarnaast wordt in de richtlijn van de Attorney General </w:t>
      </w:r>
      <w:r w:rsidR="26D9FFFC">
        <w:rPr>
          <w:rFonts w:cs="Times New Roman"/>
        </w:rPr>
        <w:t xml:space="preserve">een aantal gevallen van </w:t>
      </w:r>
      <w:r w:rsidR="26D9FFFC" w:rsidRPr="41859A08">
        <w:rPr>
          <w:rFonts w:cs="Times New Roman"/>
          <w:i/>
          <w:iCs/>
        </w:rPr>
        <w:t xml:space="preserve">pre-charge engagement </w:t>
      </w:r>
      <w:r w:rsidR="26D9FFFC">
        <w:rPr>
          <w:rFonts w:cs="Times New Roman"/>
        </w:rPr>
        <w:t xml:space="preserve">gegeven, maar wordt evenwel gesteld dat deze opsomming niet limitatief is: </w:t>
      </w:r>
      <w:r w:rsidR="1F46BD53">
        <w:rPr>
          <w:rFonts w:cs="Times New Roman"/>
        </w:rPr>
        <w:t>er is dus geen vastomlijnd kader voor de inhoud ervan.</w:t>
      </w:r>
      <w:r w:rsidR="00E559BF">
        <w:rPr>
          <w:rStyle w:val="Voetnootmarkering"/>
          <w:rFonts w:cs="Times New Roman"/>
        </w:rPr>
        <w:footnoteReference w:id="187"/>
      </w:r>
    </w:p>
    <w:p w14:paraId="66905C64" w14:textId="77777777" w:rsidR="004B0E7E" w:rsidRPr="004B0E7E" w:rsidRDefault="004B0E7E" w:rsidP="004B0E7E">
      <w:pPr>
        <w:rPr>
          <w:rFonts w:cs="Times New Roman"/>
        </w:rPr>
      </w:pPr>
    </w:p>
    <w:p w14:paraId="3B9351EC" w14:textId="315DB2EA" w:rsidR="00D93143" w:rsidRPr="00D93143" w:rsidRDefault="281282B8" w:rsidP="00D93143">
      <w:pPr>
        <w:rPr>
          <w:rFonts w:cs="Times New Roman"/>
        </w:rPr>
      </w:pPr>
      <w:r w:rsidRPr="00D93143">
        <w:rPr>
          <w:rFonts w:cs="Times New Roman"/>
        </w:rPr>
        <w:t xml:space="preserve">Met de komst van de richtlijn van de Attorney General uit 2020 is </w:t>
      </w:r>
      <w:r w:rsidRPr="41859A08">
        <w:rPr>
          <w:rFonts w:cs="Times New Roman"/>
          <w:i/>
          <w:iCs/>
        </w:rPr>
        <w:t>pre-charge engagement</w:t>
      </w:r>
      <w:r w:rsidRPr="00D93143">
        <w:rPr>
          <w:rFonts w:cs="Times New Roman"/>
        </w:rPr>
        <w:t xml:space="preserve"> ingevoerd. Deze invoering was niet geheel kritiekloos: volgens Griffiths tast dit figuur het adversaire karakter van het strafproces aan. </w:t>
      </w:r>
      <w:r w:rsidR="68A0A22B">
        <w:rPr>
          <w:rFonts w:cs="Times New Roman"/>
        </w:rPr>
        <w:t>Bijna alle voorbeelden</w:t>
      </w:r>
      <w:r w:rsidRPr="00D93143">
        <w:rPr>
          <w:rFonts w:cs="Times New Roman"/>
        </w:rPr>
        <w:t xml:space="preserve"> van </w:t>
      </w:r>
      <w:r w:rsidRPr="41859A08">
        <w:rPr>
          <w:rFonts w:cs="Times New Roman"/>
          <w:i/>
          <w:iCs/>
        </w:rPr>
        <w:t>pre-charge engagement</w:t>
      </w:r>
      <w:r w:rsidR="00B3054A">
        <w:rPr>
          <w:rFonts w:cs="Times New Roman"/>
        </w:rPr>
        <w:t xml:space="preserve"> in de richtlijn</w:t>
      </w:r>
      <w:r w:rsidRPr="00D93143">
        <w:rPr>
          <w:rFonts w:cs="Times New Roman"/>
        </w:rPr>
        <w:t>,</w:t>
      </w:r>
      <w:r w:rsidR="68A0A22B">
        <w:rPr>
          <w:rFonts w:cs="Times New Roman"/>
        </w:rPr>
        <w:t xml:space="preserve"> zien op gevallen waarin de verdachte handelt in het voordeel van </w:t>
      </w:r>
      <w:r w:rsidR="4325FF41">
        <w:rPr>
          <w:rFonts w:cs="Times New Roman"/>
        </w:rPr>
        <w:t>de opsporingsambtenaren en niet zozeer in zijn eigen belang:</w:t>
      </w:r>
      <w:r w:rsidRPr="00D93143">
        <w:rPr>
          <w:rFonts w:cs="Times New Roman"/>
        </w:rPr>
        <w:t xml:space="preserve"> </w:t>
      </w:r>
      <w:r w:rsidR="1815E56F">
        <w:rPr>
          <w:rFonts w:cs="Times New Roman"/>
        </w:rPr>
        <w:t>hiermee doelt Griffiths op</w:t>
      </w:r>
      <w:r w:rsidR="4B153C2C">
        <w:rPr>
          <w:rFonts w:cs="Times New Roman"/>
        </w:rPr>
        <w:t xml:space="preserve"> het reageren op het onderzoek en het aanleveren van </w:t>
      </w:r>
      <w:r w:rsidR="4B153C2C" w:rsidRPr="41859A08">
        <w:rPr>
          <w:rFonts w:cs="Times New Roman"/>
          <w:i/>
          <w:iCs/>
        </w:rPr>
        <w:t>lines of enquiry</w:t>
      </w:r>
      <w:r w:rsidR="11FB4872">
        <w:rPr>
          <w:rFonts w:cs="Times New Roman"/>
        </w:rPr>
        <w:t xml:space="preserve">, het verstrekken van of wijzen op digitaal bewijsmateriaal, het geven van wachtwoorden zodat </w:t>
      </w:r>
      <w:r w:rsidR="68A0A22B">
        <w:rPr>
          <w:rFonts w:cs="Times New Roman"/>
        </w:rPr>
        <w:t xml:space="preserve">digitaal bewijsmateriaal </w:t>
      </w:r>
      <w:r w:rsidR="00324ACF">
        <w:rPr>
          <w:rFonts w:cs="Times New Roman"/>
        </w:rPr>
        <w:t>toegankelijk kan worden gemaakt</w:t>
      </w:r>
      <w:r w:rsidR="68A0A22B">
        <w:rPr>
          <w:rFonts w:cs="Times New Roman"/>
        </w:rPr>
        <w:t>, het aanleveren van gegevens van mogelijke getuigen en het verlenen van toestemming tot inzage in het medisch dossier.</w:t>
      </w:r>
      <w:r w:rsidR="00AB5CDA">
        <w:rPr>
          <w:rStyle w:val="Voetnootmarkering"/>
          <w:rFonts w:cs="Times New Roman"/>
        </w:rPr>
        <w:footnoteReference w:id="188"/>
      </w:r>
      <w:r w:rsidR="1815E56F">
        <w:rPr>
          <w:rFonts w:cs="Times New Roman"/>
        </w:rPr>
        <w:t xml:space="preserve"> </w:t>
      </w:r>
      <w:r w:rsidR="002F1670">
        <w:rPr>
          <w:rFonts w:cs="Times New Roman"/>
        </w:rPr>
        <w:t>De enige situatie</w:t>
      </w:r>
      <w:r w:rsidRPr="00D93143">
        <w:rPr>
          <w:rFonts w:cs="Times New Roman"/>
        </w:rPr>
        <w:t xml:space="preserve"> in de richtlijn waarin de opsporingsambtenaren zelf bewijsmateriaal verstrekken, heeft als doel dat de verdachte daarop kan reageren en op nieuwe mogelijke lines of enquiry kan wijzen. Griffiths meent dat dit slechts is bedoeld om een reactie van de verdachte op het bewijsmateriaal uit te lokken en niet zozeer om daadwerkelijk details van het onderzoek te geven. Volgens haar is het doel van </w:t>
      </w:r>
      <w:r w:rsidRPr="41859A08">
        <w:rPr>
          <w:rFonts w:cs="Times New Roman"/>
          <w:i/>
          <w:iCs/>
        </w:rPr>
        <w:t>pre-charge engagement</w:t>
      </w:r>
      <w:r w:rsidRPr="00D93143">
        <w:rPr>
          <w:rFonts w:cs="Times New Roman"/>
        </w:rPr>
        <w:t xml:space="preserve"> dan ook om de verdachte te stimuleren om mee te werken aan het onderzoek</w:t>
      </w:r>
      <w:r w:rsidR="002F1670">
        <w:rPr>
          <w:rFonts w:cs="Times New Roman"/>
        </w:rPr>
        <w:t>.</w:t>
      </w:r>
      <w:r w:rsidRPr="00D93143">
        <w:rPr>
          <w:rFonts w:cs="Times New Roman"/>
        </w:rPr>
        <w:t xml:space="preserve"> Doordat de verdachte eigenlijk wordt gevraagd om zijn onschuld te bewijzen door mee te werken aan het onderzoek, worden hiermee fundamentele adversaire begrippen zoals de onschuldpresumptie aan de kant gezet.</w:t>
      </w:r>
      <w:r w:rsidR="00D93143" w:rsidRPr="00D93143">
        <w:rPr>
          <w:rFonts w:cs="Times New Roman"/>
          <w:vertAlign w:val="superscript"/>
        </w:rPr>
        <w:footnoteReference w:id="189"/>
      </w:r>
      <w:r w:rsidRPr="00D93143">
        <w:rPr>
          <w:rFonts w:cs="Times New Roman"/>
        </w:rPr>
        <w:t xml:space="preserve"> Door de introductie van </w:t>
      </w:r>
      <w:r w:rsidRPr="41859A08">
        <w:rPr>
          <w:rFonts w:cs="Times New Roman"/>
          <w:i/>
          <w:iCs/>
        </w:rPr>
        <w:t>pre-charge engagement</w:t>
      </w:r>
      <w:r w:rsidRPr="00D93143">
        <w:rPr>
          <w:rFonts w:cs="Times New Roman"/>
        </w:rPr>
        <w:t xml:space="preserve"> wordt een koers gevaren die het adversaire strafproces ondermijnt en juist bewerkstelligt dat de </w:t>
      </w:r>
      <w:r w:rsidRPr="005C132E">
        <w:rPr>
          <w:rFonts w:cs="Times New Roman"/>
          <w:i/>
          <w:iCs/>
        </w:rPr>
        <w:t>pre-charge</w:t>
      </w:r>
      <w:r w:rsidRPr="00D93143">
        <w:rPr>
          <w:rFonts w:cs="Times New Roman"/>
        </w:rPr>
        <w:t xml:space="preserve"> fase een meer inquisitoir karakter krijgt.</w:t>
      </w:r>
      <w:r w:rsidR="00D93143" w:rsidRPr="00D93143">
        <w:rPr>
          <w:rFonts w:cs="Times New Roman"/>
          <w:vertAlign w:val="superscript"/>
        </w:rPr>
        <w:footnoteReference w:id="190"/>
      </w:r>
      <w:r w:rsidRPr="00D93143">
        <w:rPr>
          <w:rFonts w:cs="Times New Roman"/>
        </w:rPr>
        <w:t xml:space="preserve"> </w:t>
      </w:r>
    </w:p>
    <w:p w14:paraId="1DBAAF97" w14:textId="77777777" w:rsidR="00D93143" w:rsidRPr="00D93143" w:rsidRDefault="00D93143" w:rsidP="00D93143">
      <w:pPr>
        <w:rPr>
          <w:rFonts w:cs="Times New Roman"/>
        </w:rPr>
      </w:pPr>
    </w:p>
    <w:p w14:paraId="1DEEFA11" w14:textId="3CF5F4E0" w:rsidR="00D93143" w:rsidRPr="00D93143" w:rsidRDefault="281282B8" w:rsidP="00D93143">
      <w:pPr>
        <w:rPr>
          <w:rFonts w:cs="Times New Roman"/>
        </w:rPr>
      </w:pPr>
      <w:r w:rsidRPr="00D93143">
        <w:rPr>
          <w:rFonts w:cs="Times New Roman"/>
        </w:rPr>
        <w:t xml:space="preserve">De kritiek van Griffiths op </w:t>
      </w:r>
      <w:r w:rsidRPr="41859A08">
        <w:rPr>
          <w:rFonts w:cs="Times New Roman"/>
          <w:i/>
          <w:iCs/>
        </w:rPr>
        <w:t>pre-charge engagement</w:t>
      </w:r>
      <w:r w:rsidRPr="00D93143">
        <w:rPr>
          <w:rFonts w:cs="Times New Roman"/>
        </w:rPr>
        <w:t xml:space="preserve"> behoeft enige nuancering. Haar argument dat de verdachte wordt gevraagd </w:t>
      </w:r>
      <w:r w:rsidR="0018060B">
        <w:rPr>
          <w:rFonts w:cs="Times New Roman"/>
        </w:rPr>
        <w:t>om zijn eigen onschuld te bewijzen</w:t>
      </w:r>
      <w:r w:rsidRPr="00D93143">
        <w:rPr>
          <w:rFonts w:cs="Times New Roman"/>
        </w:rPr>
        <w:t xml:space="preserve"> door mee te werken aan het onderzoek, </w:t>
      </w:r>
      <w:r w:rsidRPr="00D93143">
        <w:rPr>
          <w:rFonts w:cs="Times New Roman"/>
        </w:rPr>
        <w:lastRenderedPageBreak/>
        <w:t xml:space="preserve">wordt immers gebaseerd op de voorbeelden van </w:t>
      </w:r>
      <w:r w:rsidRPr="41859A08">
        <w:rPr>
          <w:rFonts w:cs="Times New Roman"/>
          <w:i/>
          <w:iCs/>
        </w:rPr>
        <w:t>pre-charge engagement</w:t>
      </w:r>
      <w:r w:rsidRPr="00D93143">
        <w:rPr>
          <w:rFonts w:cs="Times New Roman"/>
        </w:rPr>
        <w:t xml:space="preserve"> die in de richtlijn van de Attorney General worden gegeven. Daarmee richt Griffiths haar kritiek slechts op de geprojecteerde gevolgen van </w:t>
      </w:r>
      <w:r w:rsidRPr="41859A08">
        <w:rPr>
          <w:rFonts w:cs="Times New Roman"/>
          <w:i/>
          <w:iCs/>
        </w:rPr>
        <w:t>pre-charge engagement</w:t>
      </w:r>
      <w:r w:rsidRPr="00D93143">
        <w:rPr>
          <w:rFonts w:cs="Times New Roman"/>
        </w:rPr>
        <w:t xml:space="preserve">, en niet zozeer op de kern van het fenomeen. Bovendien omvat </w:t>
      </w:r>
      <w:r w:rsidRPr="41859A08">
        <w:rPr>
          <w:rFonts w:cs="Times New Roman"/>
          <w:i/>
          <w:iCs/>
        </w:rPr>
        <w:t>pre-charge engagement</w:t>
      </w:r>
      <w:r w:rsidRPr="00D93143">
        <w:rPr>
          <w:rFonts w:cs="Times New Roman"/>
        </w:rPr>
        <w:t xml:space="preserve"> niet slechts de voorbeelden die in de richtlijn van de Attorney General worden genoemd: de opsomming van mogelijkheden die Griffiths bekritiseert is immers niet-limitatief. Verder is de verdachte niet verplicht om tot </w:t>
      </w:r>
      <w:r w:rsidRPr="41859A08">
        <w:rPr>
          <w:rFonts w:cs="Times New Roman"/>
          <w:i/>
          <w:iCs/>
        </w:rPr>
        <w:t>pre-charge engagement</w:t>
      </w:r>
      <w:r w:rsidRPr="00D93143">
        <w:rPr>
          <w:rFonts w:cs="Times New Roman"/>
        </w:rPr>
        <w:t xml:space="preserve"> over te gaan. Het is juist onderdeel van het adversaire strafproces dat procespartijen niet met elkaar in overleg hoeven te treden, maar wel </w:t>
      </w:r>
      <w:r w:rsidR="002660E9">
        <w:rPr>
          <w:rFonts w:cs="Times New Roman"/>
        </w:rPr>
        <w:t>die mogelijkheid hebben</w:t>
      </w:r>
      <w:r w:rsidRPr="00D93143">
        <w:rPr>
          <w:rFonts w:cs="Times New Roman"/>
        </w:rPr>
        <w:t xml:space="preserve"> indien dit door beide partijen gunstig wordt geacht: denk bijvoorbeeld aan het accepteren van een lagere straf in ruil voor een schuldigverklaring door middel van een </w:t>
      </w:r>
      <w:r w:rsidRPr="41859A08">
        <w:rPr>
          <w:rFonts w:cs="Times New Roman"/>
          <w:i/>
          <w:iCs/>
        </w:rPr>
        <w:t>plea bargain</w:t>
      </w:r>
      <w:r w:rsidRPr="00D93143">
        <w:rPr>
          <w:rFonts w:cs="Times New Roman"/>
        </w:rPr>
        <w:t>.</w:t>
      </w:r>
      <w:r w:rsidR="00D93143" w:rsidRPr="00D93143">
        <w:rPr>
          <w:rFonts w:cs="Times New Roman"/>
          <w:vertAlign w:val="superscript"/>
        </w:rPr>
        <w:footnoteReference w:id="191"/>
      </w:r>
      <w:r w:rsidRPr="00D93143">
        <w:rPr>
          <w:rFonts w:cs="Times New Roman"/>
        </w:rPr>
        <w:t xml:space="preserve"> Hoewel het dus mogelijk is dat </w:t>
      </w:r>
      <w:r w:rsidRPr="41859A08">
        <w:rPr>
          <w:rFonts w:cs="Times New Roman"/>
          <w:i/>
          <w:iCs/>
        </w:rPr>
        <w:t>pre-charge engagement</w:t>
      </w:r>
      <w:r w:rsidRPr="00D93143">
        <w:rPr>
          <w:rFonts w:cs="Times New Roman"/>
        </w:rPr>
        <w:t xml:space="preserve"> in zijn huidige vorm zorgt voor een verschuiving naar een inquisitoir strafproces, kan niet zonder meer worden aangenomen dat dit ook het geval is. Sterker nog, onder de juiste omstandigheden creëert </w:t>
      </w:r>
      <w:r w:rsidRPr="41859A08">
        <w:rPr>
          <w:rFonts w:cs="Times New Roman"/>
          <w:i/>
          <w:iCs/>
        </w:rPr>
        <w:t>pre-charge engagement</w:t>
      </w:r>
      <w:r w:rsidRPr="00D93143">
        <w:rPr>
          <w:rFonts w:cs="Times New Roman"/>
        </w:rPr>
        <w:t xml:space="preserve"> juist een extra mogelijkheid tot materiële conflictoplossing, hetgeen leidt tot een versterking van het adversaire karakter van het strafproces.</w:t>
      </w:r>
    </w:p>
    <w:p w14:paraId="5A00C633" w14:textId="77777777" w:rsidR="004B0E7E" w:rsidRPr="004B0E7E" w:rsidRDefault="004B0E7E" w:rsidP="004B0E7E">
      <w:pPr>
        <w:rPr>
          <w:rFonts w:cs="Times New Roman"/>
        </w:rPr>
      </w:pPr>
    </w:p>
    <w:p w14:paraId="6AC0750E" w14:textId="04626759" w:rsidR="004B0E7E" w:rsidRPr="004B0E7E" w:rsidRDefault="4A0BCA79" w:rsidP="004B0E7E">
      <w:pPr>
        <w:rPr>
          <w:rFonts w:cs="Times New Roman"/>
        </w:rPr>
      </w:pPr>
      <w:r w:rsidRPr="004B0E7E">
        <w:rPr>
          <w:rFonts w:cs="Times New Roman"/>
        </w:rPr>
        <w:t xml:space="preserve">In de jurisprudentie van het Court of Appeal wordt slechts weinig gesproken over </w:t>
      </w:r>
      <w:r w:rsidR="27ACDA63" w:rsidRPr="41859A08">
        <w:rPr>
          <w:rFonts w:cs="Times New Roman"/>
          <w:i/>
          <w:iCs/>
        </w:rPr>
        <w:t>disclosure</w:t>
      </w:r>
      <w:r w:rsidRPr="004B0E7E">
        <w:rPr>
          <w:rFonts w:cs="Times New Roman"/>
        </w:rPr>
        <w:t xml:space="preserve"> in het algemeen. Wel bestaat er één uitspraak waarin uitgebreid wordt ingegaan op de </w:t>
      </w:r>
      <w:r w:rsidR="27ACDA63" w:rsidRPr="41859A08">
        <w:rPr>
          <w:rFonts w:cs="Times New Roman"/>
          <w:i/>
          <w:iCs/>
        </w:rPr>
        <w:t>disclosure</w:t>
      </w:r>
      <w:r w:rsidRPr="004B0E7E">
        <w:rPr>
          <w:rFonts w:cs="Times New Roman"/>
        </w:rPr>
        <w:t xml:space="preserve"> van datasets: de zaak </w:t>
      </w:r>
      <w:r w:rsidRPr="41859A08">
        <w:rPr>
          <w:rFonts w:cs="Times New Roman"/>
          <w:i/>
          <w:iCs/>
        </w:rPr>
        <w:t>R v Richards</w:t>
      </w:r>
      <w:r w:rsidRPr="004B0E7E">
        <w:rPr>
          <w:rFonts w:cs="Times New Roman"/>
        </w:rPr>
        <w:t xml:space="preserve">. In deze zaak betrof het een verdenking van grootschalige fraude, waarbij een grote hoeveelheid computers – met 7 terabyte aan data – in beslag is genomen. Gezien de gigantische hoeveelheid data maakte de prosecution gebruik van forensische software om deze te doorzoeken. Op meerdere terechtzittingen werd besproken hoe de </w:t>
      </w:r>
      <w:r w:rsidR="27ACDA63" w:rsidRPr="41859A08">
        <w:rPr>
          <w:rFonts w:cs="Times New Roman"/>
          <w:i/>
          <w:iCs/>
        </w:rPr>
        <w:t>disclosure</w:t>
      </w:r>
      <w:r w:rsidRPr="004B0E7E">
        <w:rPr>
          <w:rFonts w:cs="Times New Roman"/>
        </w:rPr>
        <w:t xml:space="preserve"> van de elektronische data zou moeten geschieden: de prosecution stelde voor om de dataset te doorzoeken met zoektermen en de resultaten aan de verdediging toe te zenden. De rechter stelde echter vraagtekens bij deze methode en stelde </w:t>
      </w:r>
      <w:r w:rsidR="00803547">
        <w:rPr>
          <w:rFonts w:cs="Times New Roman"/>
        </w:rPr>
        <w:t>een andere aanpak voor</w:t>
      </w:r>
      <w:r w:rsidRPr="004B0E7E">
        <w:rPr>
          <w:rFonts w:cs="Times New Roman"/>
        </w:rPr>
        <w:t>. Zijn voorstel hield in dat de prosecution een lijst aanleverde waarin een omschrijving werd gegeven van het in beslag genomen materiaal en de zoektermen waarmee het materiaal reeds was doorzocht. De verdediging kon dan zelf nadere zoektermen aanleveren.</w:t>
      </w:r>
      <w:r w:rsidR="004B0E7E" w:rsidRPr="004B0E7E">
        <w:rPr>
          <w:rFonts w:cs="Times New Roman"/>
          <w:vertAlign w:val="superscript"/>
        </w:rPr>
        <w:footnoteReference w:id="192"/>
      </w:r>
      <w:r w:rsidRPr="004B0E7E">
        <w:rPr>
          <w:rFonts w:cs="Times New Roman"/>
        </w:rPr>
        <w:t xml:space="preserve"> Met de 232 zoektermen die de verdediging had aangeleverd werd de dataset doorzocht. Dit leidde uiteindelijk tot </w:t>
      </w:r>
      <w:r w:rsidR="27ACDA63" w:rsidRPr="41859A08">
        <w:rPr>
          <w:rFonts w:cs="Times New Roman"/>
          <w:i/>
          <w:iCs/>
        </w:rPr>
        <w:t>disclosure</w:t>
      </w:r>
      <w:r w:rsidRPr="004B0E7E">
        <w:rPr>
          <w:rFonts w:cs="Times New Roman"/>
        </w:rPr>
        <w:t xml:space="preserve"> van een dataset van ongeveer 5,5 miljoen bestanden.</w:t>
      </w:r>
      <w:r w:rsidR="004B0E7E" w:rsidRPr="004B0E7E">
        <w:rPr>
          <w:rFonts w:cs="Times New Roman"/>
          <w:vertAlign w:val="superscript"/>
        </w:rPr>
        <w:footnoteReference w:id="193"/>
      </w:r>
      <w:r w:rsidRPr="004B0E7E">
        <w:rPr>
          <w:rFonts w:cs="Times New Roman"/>
        </w:rPr>
        <w:t xml:space="preserve"> Bij het gebruik van zoektermen dient de </w:t>
      </w:r>
      <w:r w:rsidR="27ACDA63" w:rsidRPr="41859A08">
        <w:rPr>
          <w:rFonts w:cs="Times New Roman"/>
          <w:i/>
          <w:iCs/>
        </w:rPr>
        <w:t>disclosure officer</w:t>
      </w:r>
      <w:r w:rsidRPr="004B0E7E">
        <w:rPr>
          <w:rFonts w:cs="Times New Roman"/>
        </w:rPr>
        <w:t xml:space="preserve"> de resultaten van het onderzoek door te nemen en te beoordelen of alle </w:t>
      </w:r>
      <w:r w:rsidR="3D7BD8A0" w:rsidRPr="41859A08">
        <w:rPr>
          <w:rFonts w:cs="Times New Roman"/>
          <w:i/>
          <w:iCs/>
        </w:rPr>
        <w:t>reasonable lines of enquiry</w:t>
      </w:r>
      <w:r w:rsidRPr="004B0E7E">
        <w:rPr>
          <w:rFonts w:cs="Times New Roman"/>
        </w:rPr>
        <w:t xml:space="preserve"> zijn gevolgd.</w:t>
      </w:r>
      <w:r w:rsidR="004B0E7E" w:rsidRPr="004B0E7E">
        <w:rPr>
          <w:rFonts w:cs="Times New Roman"/>
          <w:vertAlign w:val="superscript"/>
        </w:rPr>
        <w:footnoteReference w:id="194"/>
      </w:r>
      <w:r w:rsidRPr="004B0E7E">
        <w:rPr>
          <w:rFonts w:cs="Times New Roman"/>
        </w:rPr>
        <w:t xml:space="preserve"> </w:t>
      </w:r>
      <w:r w:rsidR="6B7C7B39" w:rsidRPr="007E41BD">
        <w:rPr>
          <w:rFonts w:cs="Times New Roman"/>
        </w:rPr>
        <w:t xml:space="preserve">De zaak </w:t>
      </w:r>
      <w:r w:rsidR="6B7C7B39" w:rsidRPr="41859A08">
        <w:rPr>
          <w:rFonts w:cs="Times New Roman"/>
          <w:i/>
          <w:iCs/>
        </w:rPr>
        <w:t>R v Richards</w:t>
      </w:r>
      <w:r w:rsidR="6B7C7B39" w:rsidRPr="007E41BD">
        <w:rPr>
          <w:rFonts w:cs="Times New Roman"/>
        </w:rPr>
        <w:t xml:space="preserve"> onderstreept uitdrukkelijk de plicht voor de prosecution om waar nodig te overleggen met de verdediging, zodat de disclosure van datasets op de juiste wijze verloopt.</w:t>
      </w:r>
      <w:r w:rsidR="007E41BD" w:rsidRPr="007E41BD">
        <w:rPr>
          <w:rFonts w:cs="Times New Roman"/>
          <w:vertAlign w:val="superscript"/>
        </w:rPr>
        <w:footnoteReference w:id="195"/>
      </w:r>
    </w:p>
    <w:p w14:paraId="745794D1" w14:textId="77777777" w:rsidR="004B0E7E" w:rsidRPr="004B0E7E" w:rsidRDefault="004B0E7E" w:rsidP="004B0E7E">
      <w:pPr>
        <w:rPr>
          <w:rFonts w:cs="Times New Roman"/>
        </w:rPr>
      </w:pPr>
    </w:p>
    <w:p w14:paraId="5EF503FE" w14:textId="6D63B3F0" w:rsidR="004B0E7E" w:rsidRPr="004B0E7E" w:rsidRDefault="4A0BCA79" w:rsidP="004B0E7E">
      <w:pPr>
        <w:rPr>
          <w:rFonts w:cs="Times New Roman"/>
        </w:rPr>
      </w:pPr>
      <w:r w:rsidRPr="004C5C52">
        <w:rPr>
          <w:rFonts w:cs="Times New Roman"/>
        </w:rPr>
        <w:lastRenderedPageBreak/>
        <w:t xml:space="preserve">Zoals uit de richtlijnen van de ACPO en de Attorney General is gebleken, bestaat er geen vastomlijnde aanpak voor de </w:t>
      </w:r>
      <w:r w:rsidR="27ACDA63" w:rsidRPr="41859A08">
        <w:rPr>
          <w:rFonts w:cs="Times New Roman"/>
          <w:i/>
          <w:iCs/>
        </w:rPr>
        <w:t>disclosure</w:t>
      </w:r>
      <w:r w:rsidRPr="004C5C52">
        <w:rPr>
          <w:rFonts w:cs="Times New Roman"/>
        </w:rPr>
        <w:t xml:space="preserve"> van datasets. De </w:t>
      </w:r>
      <w:r w:rsidR="27ACDA63" w:rsidRPr="41859A08">
        <w:rPr>
          <w:rFonts w:cs="Times New Roman"/>
          <w:i/>
          <w:iCs/>
        </w:rPr>
        <w:t>disclosure test</w:t>
      </w:r>
      <w:r w:rsidRPr="004C5C52">
        <w:rPr>
          <w:rFonts w:cs="Times New Roman"/>
        </w:rPr>
        <w:t xml:space="preserve"> sluit </w:t>
      </w:r>
      <w:r w:rsidR="0089331F">
        <w:rPr>
          <w:rFonts w:cs="Times New Roman"/>
        </w:rPr>
        <w:t>echter wel</w:t>
      </w:r>
      <w:r w:rsidRPr="004C5C52">
        <w:rPr>
          <w:rFonts w:cs="Times New Roman"/>
        </w:rPr>
        <w:t xml:space="preserve"> de weg af naar de toegang tot de volledige dataset voor de verdediging: op grond hiervan vindt </w:t>
      </w:r>
      <w:r w:rsidR="27ACDA63" w:rsidRPr="41859A08">
        <w:rPr>
          <w:rFonts w:cs="Times New Roman"/>
          <w:i/>
          <w:iCs/>
        </w:rPr>
        <w:t>disclosure</w:t>
      </w:r>
      <w:r w:rsidRPr="004C5C52">
        <w:rPr>
          <w:rFonts w:cs="Times New Roman"/>
        </w:rPr>
        <w:t xml:space="preserve"> slechts plaats voor zover het bewijsmateriaal in kwestie relevant is voor de verdediging.</w:t>
      </w:r>
      <w:r w:rsidR="01BCE483" w:rsidRPr="004C5C52">
        <w:rPr>
          <w:rFonts w:cs="Times New Roman"/>
        </w:rPr>
        <w:t xml:space="preserve"> Dit wordt ook door Lord Justice Auld bevestigd in de zaak</w:t>
      </w:r>
      <w:r w:rsidRPr="004C5C52">
        <w:rPr>
          <w:rFonts w:cs="Times New Roman"/>
        </w:rPr>
        <w:t xml:space="preserve"> </w:t>
      </w:r>
      <w:r w:rsidR="01BCE483" w:rsidRPr="41859A08">
        <w:rPr>
          <w:rFonts w:cs="Times New Roman"/>
          <w:i/>
          <w:iCs/>
        </w:rPr>
        <w:t>R v Michael</w:t>
      </w:r>
      <w:r w:rsidR="01BCE483" w:rsidRPr="004C5C52">
        <w:rPr>
          <w:rFonts w:cs="Times New Roman"/>
        </w:rPr>
        <w:t xml:space="preserve">, waarin hij duidelijk onderstreept dat </w:t>
      </w:r>
      <w:r w:rsidR="27ACDA63" w:rsidRPr="41859A08">
        <w:rPr>
          <w:rFonts w:cs="Times New Roman"/>
          <w:i/>
          <w:iCs/>
        </w:rPr>
        <w:t>disclosure</w:t>
      </w:r>
      <w:r w:rsidR="01BCE483" w:rsidRPr="004C5C52">
        <w:rPr>
          <w:rFonts w:cs="Times New Roman"/>
        </w:rPr>
        <w:t xml:space="preserve"> is bedoeld om relevant bewijsmateriaal te verstrekken, en niet al het </w:t>
      </w:r>
      <w:r w:rsidR="449A82DC">
        <w:rPr>
          <w:rFonts w:cs="Times New Roman"/>
        </w:rPr>
        <w:t xml:space="preserve">beschikbare </w:t>
      </w:r>
      <w:r w:rsidR="01BCE483" w:rsidRPr="004C5C52">
        <w:rPr>
          <w:rFonts w:cs="Times New Roman"/>
        </w:rPr>
        <w:t>bewijsmateriaal.</w:t>
      </w:r>
      <w:r w:rsidR="001A1F7A" w:rsidRPr="004C5C52">
        <w:rPr>
          <w:rStyle w:val="Voetnootmarkering"/>
          <w:rFonts w:cs="Times New Roman"/>
        </w:rPr>
        <w:footnoteReference w:id="196"/>
      </w:r>
      <w:r w:rsidR="01BCE483" w:rsidRPr="41859A08">
        <w:rPr>
          <w:rFonts w:cs="Times New Roman"/>
          <w:i/>
          <w:iCs/>
        </w:rPr>
        <w:t xml:space="preserve"> </w:t>
      </w:r>
      <w:r w:rsidR="00AA18CC" w:rsidRPr="00AA18CC">
        <w:rPr>
          <w:rFonts w:cs="Times New Roman"/>
        </w:rPr>
        <w:t xml:space="preserve">In het geval van een geschil hieromtrent tussen de prosecutor en de verdediging, kan de verdediging </w:t>
      </w:r>
      <w:r w:rsidRPr="004C5C52">
        <w:rPr>
          <w:rFonts w:cs="Times New Roman"/>
        </w:rPr>
        <w:t xml:space="preserve">dit neerleggen bij de rechter. Bovendien kan de </w:t>
      </w:r>
      <w:r w:rsidR="27ACDA63" w:rsidRPr="41859A08">
        <w:rPr>
          <w:rFonts w:cs="Times New Roman"/>
          <w:i/>
          <w:iCs/>
        </w:rPr>
        <w:t>disclosure</w:t>
      </w:r>
      <w:r w:rsidRPr="004C5C52">
        <w:rPr>
          <w:rFonts w:cs="Times New Roman"/>
        </w:rPr>
        <w:t xml:space="preserve"> van (een deel van) de dataset uitblijven </w:t>
      </w:r>
      <w:r w:rsidR="00B637B2">
        <w:rPr>
          <w:rFonts w:cs="Times New Roman"/>
        </w:rPr>
        <w:t>als</w:t>
      </w:r>
      <w:r w:rsidRPr="004C5C52">
        <w:rPr>
          <w:rFonts w:cs="Times New Roman"/>
        </w:rPr>
        <w:t xml:space="preserve"> er sprake is van strijd met het algemeen belang. Hoewel in de regel dus geen sprake zal zijn van </w:t>
      </w:r>
      <w:r w:rsidR="631AB6CC">
        <w:rPr>
          <w:rFonts w:cs="Times New Roman"/>
        </w:rPr>
        <w:t xml:space="preserve">directe </w:t>
      </w:r>
      <w:r w:rsidRPr="004C5C52">
        <w:rPr>
          <w:rFonts w:cs="Times New Roman"/>
        </w:rPr>
        <w:t xml:space="preserve">toegang tot de volledige dataset, kan de verdediging wel </w:t>
      </w:r>
      <w:r w:rsidR="631AB6CC">
        <w:rPr>
          <w:rFonts w:cs="Times New Roman"/>
        </w:rPr>
        <w:t xml:space="preserve">indirecte </w:t>
      </w:r>
      <w:r w:rsidRPr="004C5C52">
        <w:rPr>
          <w:rFonts w:cs="Times New Roman"/>
        </w:rPr>
        <w:t xml:space="preserve">toegang krijgen tot de </w:t>
      </w:r>
      <w:r w:rsidR="631AB6CC">
        <w:rPr>
          <w:rFonts w:cs="Times New Roman"/>
        </w:rPr>
        <w:t xml:space="preserve">volledige </w:t>
      </w:r>
      <w:r w:rsidRPr="004C5C52">
        <w:rPr>
          <w:rFonts w:cs="Times New Roman"/>
        </w:rPr>
        <w:t xml:space="preserve">dataset: zoals uit </w:t>
      </w:r>
      <w:r w:rsidRPr="41859A08">
        <w:rPr>
          <w:rFonts w:cs="Times New Roman"/>
          <w:i/>
          <w:iCs/>
        </w:rPr>
        <w:t>R v R</w:t>
      </w:r>
      <w:r w:rsidR="7853445D" w:rsidRPr="41859A08">
        <w:rPr>
          <w:rFonts w:cs="Times New Roman"/>
          <w:i/>
          <w:iCs/>
        </w:rPr>
        <w:t>ichards</w:t>
      </w:r>
      <w:r w:rsidRPr="004C5C52">
        <w:rPr>
          <w:rFonts w:cs="Times New Roman"/>
        </w:rPr>
        <w:t xml:space="preserve"> is gebleken, vormt dit een acceptabele aanpak. Des</w:t>
      </w:r>
      <w:r w:rsidR="00AA18CC">
        <w:rPr>
          <w:rFonts w:cs="Times New Roman"/>
        </w:rPr>
        <w:t>ondanks</w:t>
      </w:r>
      <w:r w:rsidRPr="004C5C52">
        <w:rPr>
          <w:rFonts w:cs="Times New Roman"/>
        </w:rPr>
        <w:t xml:space="preserve"> verplicht deze jurisprudentie niet tot een dergelijke aanpak, waarmee in het midden wordt gelaten of deze gang van zaken </w:t>
      </w:r>
      <w:r w:rsidR="631AB6CC">
        <w:rPr>
          <w:rFonts w:cs="Times New Roman"/>
        </w:rPr>
        <w:t>onderdeel vormt van de praktijk of slechts een eenmalige strategie betreft.</w:t>
      </w:r>
    </w:p>
    <w:p w14:paraId="48BE87A4" w14:textId="77777777" w:rsidR="009946B1" w:rsidRPr="009946B1" w:rsidRDefault="009946B1" w:rsidP="00821865">
      <w:pPr>
        <w:rPr>
          <w:rFonts w:cs="Times New Roman"/>
        </w:rPr>
      </w:pPr>
    </w:p>
    <w:p w14:paraId="50668202" w14:textId="77777777" w:rsidR="009946B1" w:rsidRPr="009946B1" w:rsidRDefault="009946B1" w:rsidP="00821865">
      <w:pPr>
        <w:rPr>
          <w:rFonts w:cs="Times New Roman"/>
        </w:rPr>
      </w:pPr>
      <w:r w:rsidRPr="009946B1">
        <w:rPr>
          <w:rFonts w:cs="Times New Roman"/>
          <w:b/>
          <w:bCs/>
        </w:rPr>
        <w:t>3.6   Conclusie</w:t>
      </w:r>
    </w:p>
    <w:p w14:paraId="079661FE" w14:textId="1EE1F000" w:rsidR="009946B1" w:rsidRDefault="009946B1" w:rsidP="00821865">
      <w:pPr>
        <w:rPr>
          <w:rFonts w:cs="Times New Roman"/>
        </w:rPr>
      </w:pPr>
      <w:r w:rsidRPr="009946B1">
        <w:rPr>
          <w:rFonts w:cs="Times New Roman"/>
        </w:rPr>
        <w:t xml:space="preserve">Het rechtsstelsel van Engeland &amp; Wales is gebaseerd op </w:t>
      </w:r>
      <w:r w:rsidR="00855AC2" w:rsidRPr="00855AC2">
        <w:rPr>
          <w:rFonts w:cs="Times New Roman"/>
          <w:i/>
        </w:rPr>
        <w:t>common law</w:t>
      </w:r>
      <w:r w:rsidRPr="009946B1">
        <w:rPr>
          <w:rFonts w:cs="Times New Roman"/>
        </w:rPr>
        <w:t xml:space="preserve"> en kent </w:t>
      </w:r>
      <w:r w:rsidR="00E17AF5">
        <w:rPr>
          <w:rFonts w:cs="Times New Roman"/>
        </w:rPr>
        <w:t xml:space="preserve">daardoor </w:t>
      </w:r>
      <w:r w:rsidRPr="009946B1">
        <w:rPr>
          <w:rFonts w:cs="Times New Roman"/>
        </w:rPr>
        <w:t xml:space="preserve">een andere indeling dan het rechtsstelsel uit Nederland. Een gevolg daarvan is dat het strafproces van Engeland &amp; Wales wordt gekenmerkt door een adversair karakter. Dankzij dit adversaire </w:t>
      </w:r>
      <w:r w:rsidR="00AC3DDD">
        <w:rPr>
          <w:rFonts w:cs="Times New Roman"/>
        </w:rPr>
        <w:t>strafproces</w:t>
      </w:r>
      <w:r w:rsidRPr="009946B1">
        <w:rPr>
          <w:rFonts w:cs="Times New Roman"/>
        </w:rPr>
        <w:t xml:space="preserve"> </w:t>
      </w:r>
      <w:r w:rsidR="00F873D6">
        <w:rPr>
          <w:rFonts w:cs="Times New Roman"/>
        </w:rPr>
        <w:t xml:space="preserve">heeft de verdediging een eigen plicht om bewijs te vergaren. Een vorm hiervan betreft de </w:t>
      </w:r>
      <w:r w:rsidR="0093592A" w:rsidRPr="0093592A">
        <w:rPr>
          <w:rFonts w:cs="Times New Roman"/>
          <w:i/>
        </w:rPr>
        <w:t>witness summons</w:t>
      </w:r>
      <w:r w:rsidR="00F873D6">
        <w:rPr>
          <w:rFonts w:cs="Times New Roman"/>
        </w:rPr>
        <w:t>, waarme</w:t>
      </w:r>
      <w:r w:rsidR="000025C9">
        <w:rPr>
          <w:rFonts w:cs="Times New Roman"/>
        </w:rPr>
        <w:t xml:space="preserve">e een derde partij kan worden </w:t>
      </w:r>
      <w:r w:rsidR="00F873D6">
        <w:rPr>
          <w:rFonts w:cs="Times New Roman"/>
        </w:rPr>
        <w:t xml:space="preserve">gedwongen om bewijsmateriaal te overleggen. </w:t>
      </w:r>
      <w:r w:rsidRPr="009946B1">
        <w:rPr>
          <w:rFonts w:cs="Times New Roman"/>
        </w:rPr>
        <w:t xml:space="preserve">Verder kan de verdediging inzage krijgen in zowel het gebruikte als ongebruikte bewijsmateriaal van de prosecutor door middel van </w:t>
      </w:r>
      <w:r w:rsidR="0093592A" w:rsidRPr="0093592A">
        <w:rPr>
          <w:rFonts w:cs="Times New Roman"/>
          <w:i/>
        </w:rPr>
        <w:t>disclosure</w:t>
      </w:r>
      <w:r w:rsidRPr="009946B1">
        <w:rPr>
          <w:rFonts w:cs="Times New Roman"/>
        </w:rPr>
        <w:t>.</w:t>
      </w:r>
      <w:r w:rsidR="004143E6">
        <w:rPr>
          <w:rFonts w:cs="Times New Roman"/>
        </w:rPr>
        <w:t xml:space="preserve"> De plicht voor </w:t>
      </w:r>
      <w:r w:rsidR="0093592A" w:rsidRPr="0093592A">
        <w:rPr>
          <w:rFonts w:cs="Times New Roman"/>
          <w:i/>
        </w:rPr>
        <w:t>disclosure</w:t>
      </w:r>
      <w:r w:rsidR="004143E6">
        <w:rPr>
          <w:rFonts w:cs="Times New Roman"/>
        </w:rPr>
        <w:t xml:space="preserve"> ligt bij de prosecutor, maar kan ook via de rechter worden afgedwongen als blijkt dat er nog niet-verstrekt bewijsmateriaal in handen</w:t>
      </w:r>
      <w:r w:rsidR="007B0EF4">
        <w:rPr>
          <w:rFonts w:cs="Times New Roman"/>
        </w:rPr>
        <w:t xml:space="preserve"> </w:t>
      </w:r>
      <w:r w:rsidR="004143E6">
        <w:rPr>
          <w:rFonts w:cs="Times New Roman"/>
        </w:rPr>
        <w:t>van de prosecutor</w:t>
      </w:r>
      <w:r w:rsidR="007B0EF4">
        <w:rPr>
          <w:rFonts w:cs="Times New Roman"/>
        </w:rPr>
        <w:t xml:space="preserve"> is</w:t>
      </w:r>
      <w:r w:rsidR="004143E6">
        <w:rPr>
          <w:rFonts w:cs="Times New Roman"/>
        </w:rPr>
        <w:t>.</w:t>
      </w:r>
    </w:p>
    <w:p w14:paraId="79F6F764" w14:textId="77777777" w:rsidR="004143E6" w:rsidRDefault="004143E6" w:rsidP="00821865">
      <w:pPr>
        <w:rPr>
          <w:rFonts w:cs="Times New Roman"/>
        </w:rPr>
      </w:pPr>
    </w:p>
    <w:p w14:paraId="5754A871" w14:textId="40AC06B8" w:rsidR="00113C76" w:rsidRPr="00596412" w:rsidRDefault="004143E6" w:rsidP="00821865">
      <w:pPr>
        <w:rPr>
          <w:rFonts w:cs="Times New Roman"/>
        </w:rPr>
      </w:pPr>
      <w:r>
        <w:rPr>
          <w:rFonts w:cs="Times New Roman"/>
        </w:rPr>
        <w:t xml:space="preserve">Op grond van nationale jurisprudentie en wetgeving krijgt de verdediging inzage </w:t>
      </w:r>
      <w:r w:rsidR="00467C63">
        <w:rPr>
          <w:rFonts w:cs="Times New Roman"/>
        </w:rPr>
        <w:t xml:space="preserve">toegang tot </w:t>
      </w:r>
      <w:r>
        <w:rPr>
          <w:rFonts w:cs="Times New Roman"/>
        </w:rPr>
        <w:t xml:space="preserve">de tertiaire dataset. Voor de overige </w:t>
      </w:r>
      <w:r w:rsidR="0093592A" w:rsidRPr="0093592A">
        <w:rPr>
          <w:rFonts w:cs="Times New Roman"/>
          <w:i/>
        </w:rPr>
        <w:t>disclosure</w:t>
      </w:r>
      <w:r>
        <w:rPr>
          <w:rFonts w:cs="Times New Roman"/>
        </w:rPr>
        <w:t xml:space="preserve"> van datasets geldt er geen vastomlijnde aanpak, maar wordt onderstreept dat het op de meest geschikte manier dient te worden uitgevoerd. Dat kan omvatten dat er met elektronische software wordt gezocht binnen de dataset, en dat er met de verdediging in overleg wordt getreden over mogelijk zoektermen die daarvoor kunnen worden gebruikt. Dat getuigt van </w:t>
      </w:r>
      <w:r w:rsidR="00F77BF3">
        <w:rPr>
          <w:rFonts w:cs="Times New Roman"/>
        </w:rPr>
        <w:t>toegang tot</w:t>
      </w:r>
      <w:r>
        <w:rPr>
          <w:rFonts w:cs="Times New Roman"/>
        </w:rPr>
        <w:t xml:space="preserve"> de secundaire dataset, </w:t>
      </w:r>
      <w:r w:rsidR="002D2978" w:rsidRPr="002D2978">
        <w:rPr>
          <w:rFonts w:cs="Times New Roman"/>
        </w:rPr>
        <w:t xml:space="preserve">al is niet gebleken dat dit een </w:t>
      </w:r>
      <w:r w:rsidR="00F77BF3">
        <w:rPr>
          <w:rFonts w:cs="Times New Roman"/>
        </w:rPr>
        <w:t>reguliere</w:t>
      </w:r>
      <w:r w:rsidR="002D2978" w:rsidRPr="002D2978">
        <w:rPr>
          <w:rFonts w:cs="Times New Roman"/>
        </w:rPr>
        <w:t xml:space="preserve"> praktijk</w:t>
      </w:r>
      <w:r w:rsidR="00001281">
        <w:rPr>
          <w:rFonts w:cs="Times New Roman"/>
        </w:rPr>
        <w:t xml:space="preserve"> is</w:t>
      </w:r>
      <w:r w:rsidR="002D2978" w:rsidRPr="002D2978">
        <w:rPr>
          <w:rFonts w:cs="Times New Roman"/>
        </w:rPr>
        <w:t xml:space="preserve"> in Engeland &amp; Wale</w:t>
      </w:r>
      <w:r w:rsidR="00001281">
        <w:rPr>
          <w:rFonts w:cs="Times New Roman"/>
        </w:rPr>
        <w:t>s</w:t>
      </w:r>
      <w:r w:rsidR="002D2978" w:rsidRPr="002D2978">
        <w:rPr>
          <w:rFonts w:cs="Times New Roman"/>
        </w:rPr>
        <w:t>.</w:t>
      </w:r>
      <w:r>
        <w:rPr>
          <w:rFonts w:cs="Times New Roman"/>
        </w:rPr>
        <w:t xml:space="preserve"> De </w:t>
      </w:r>
      <w:r w:rsidR="0093592A" w:rsidRPr="0093592A">
        <w:rPr>
          <w:rFonts w:cs="Times New Roman"/>
          <w:i/>
        </w:rPr>
        <w:t>disclosure</w:t>
      </w:r>
      <w:r>
        <w:rPr>
          <w:rFonts w:cs="Times New Roman"/>
        </w:rPr>
        <w:t xml:space="preserve"> van de volledige dataset zal doorgaans niet geschieden, omdat dit wordt afgesloten door de </w:t>
      </w:r>
      <w:r w:rsidR="0093592A" w:rsidRPr="0093592A">
        <w:rPr>
          <w:rFonts w:cs="Times New Roman"/>
          <w:i/>
        </w:rPr>
        <w:t>disclosure test</w:t>
      </w:r>
      <w:r>
        <w:rPr>
          <w:rFonts w:cs="Times New Roman"/>
        </w:rPr>
        <w:t>.</w:t>
      </w:r>
      <w:r w:rsidR="00AD0BE0">
        <w:rPr>
          <w:rFonts w:cs="Times New Roman"/>
        </w:rPr>
        <w:t xml:space="preserve"> Daarnaast kan de verdediging middels een </w:t>
      </w:r>
      <w:r w:rsidR="0093592A" w:rsidRPr="0093592A">
        <w:rPr>
          <w:rFonts w:cs="Times New Roman"/>
          <w:i/>
        </w:rPr>
        <w:t>witness summons</w:t>
      </w:r>
      <w:r w:rsidR="00AD0BE0">
        <w:rPr>
          <w:rFonts w:cs="Times New Roman"/>
        </w:rPr>
        <w:t xml:space="preserve"> een derde partij verzoeken om </w:t>
      </w:r>
      <w:r w:rsidR="00586026">
        <w:rPr>
          <w:rFonts w:cs="Times New Roman"/>
        </w:rPr>
        <w:t>toegang tot</w:t>
      </w:r>
      <w:r w:rsidR="00AD0BE0">
        <w:rPr>
          <w:rFonts w:cs="Times New Roman"/>
        </w:rPr>
        <w:t xml:space="preserve"> de dataset, al is niet duidelijk gebleken welke eisen hiervoor gelden en </w:t>
      </w:r>
      <w:r w:rsidR="004D33AE">
        <w:rPr>
          <w:rFonts w:cs="Times New Roman"/>
        </w:rPr>
        <w:t>in hoeverre</w:t>
      </w:r>
      <w:r w:rsidR="00AD0BE0">
        <w:rPr>
          <w:rFonts w:cs="Times New Roman"/>
        </w:rPr>
        <w:t xml:space="preserve"> de verdediging dan mogelijk toegang zou krijgen tot de dataset.</w:t>
      </w:r>
      <w:r w:rsidR="00113C76" w:rsidRPr="00184605">
        <w:rPr>
          <w:rFonts w:cs="Times New Roman"/>
        </w:rPr>
        <w:br w:type="page"/>
      </w:r>
    </w:p>
    <w:p w14:paraId="5D690A37" w14:textId="77777777" w:rsidR="00596412" w:rsidRPr="00596412" w:rsidRDefault="00596412" w:rsidP="00596412">
      <w:pPr>
        <w:rPr>
          <w:rFonts w:eastAsia="Calibri" w:cs="Times New Roman"/>
          <w:b/>
          <w:bCs/>
          <w:sz w:val="28"/>
          <w:szCs w:val="28"/>
        </w:rPr>
      </w:pPr>
      <w:r w:rsidRPr="00596412">
        <w:rPr>
          <w:rFonts w:eastAsia="Calibri" w:cs="Times New Roman"/>
          <w:b/>
          <w:bCs/>
          <w:sz w:val="28"/>
          <w:szCs w:val="28"/>
        </w:rPr>
        <w:lastRenderedPageBreak/>
        <w:t>Hoofdstuk 4: Rechtsvergelijking</w:t>
      </w:r>
    </w:p>
    <w:p w14:paraId="21B9C6EF" w14:textId="77777777" w:rsidR="00596412" w:rsidRPr="00596412" w:rsidRDefault="00596412" w:rsidP="00596412">
      <w:pPr>
        <w:rPr>
          <w:rFonts w:eastAsia="Calibri" w:cs="Times New Roman"/>
        </w:rPr>
      </w:pPr>
    </w:p>
    <w:p w14:paraId="6F118854" w14:textId="0D126513" w:rsidR="00596412" w:rsidRPr="00596412" w:rsidRDefault="00596412" w:rsidP="00596412">
      <w:pPr>
        <w:rPr>
          <w:rFonts w:eastAsia="Calibri" w:cs="Times New Roman"/>
        </w:rPr>
      </w:pPr>
      <w:r w:rsidRPr="00596412">
        <w:rPr>
          <w:rFonts w:eastAsia="Calibri" w:cs="Times New Roman"/>
        </w:rPr>
        <w:t xml:space="preserve">In de inleiding heeft een introductie plaatsgevonden van de opkomst van datasets in het strafproces en het belang </w:t>
      </w:r>
      <w:r w:rsidR="002034C6">
        <w:rPr>
          <w:rFonts w:eastAsia="Calibri" w:cs="Times New Roman"/>
        </w:rPr>
        <w:t>van</w:t>
      </w:r>
      <w:r w:rsidRPr="00596412">
        <w:rPr>
          <w:rFonts w:eastAsia="Calibri" w:cs="Times New Roman"/>
        </w:rPr>
        <w:t xml:space="preserve"> deze datasets voor de bewijsvoering</w:t>
      </w:r>
      <w:r w:rsidR="002034C6">
        <w:rPr>
          <w:rFonts w:eastAsia="Calibri" w:cs="Times New Roman"/>
        </w:rPr>
        <w:t xml:space="preserve"> in strafzaken</w:t>
      </w:r>
      <w:r w:rsidRPr="00596412">
        <w:rPr>
          <w:rFonts w:eastAsia="Calibri" w:cs="Times New Roman"/>
        </w:rPr>
        <w:t xml:space="preserve">. Daarna is gewezen op de grotere discussie </w:t>
      </w:r>
      <w:r w:rsidR="00F57302">
        <w:rPr>
          <w:rFonts w:eastAsia="Calibri" w:cs="Times New Roman"/>
        </w:rPr>
        <w:t>waar de toegang tot datasets deel van uitmaakt</w:t>
      </w:r>
      <w:r w:rsidRPr="00596412">
        <w:rPr>
          <w:rFonts w:eastAsia="Calibri" w:cs="Times New Roman"/>
        </w:rPr>
        <w:t xml:space="preserve">: de positie van de verdachte in het </w:t>
      </w:r>
      <w:r w:rsidR="00606702">
        <w:rPr>
          <w:rFonts w:eastAsia="Calibri" w:cs="Times New Roman"/>
        </w:rPr>
        <w:t xml:space="preserve">veranderende </w:t>
      </w:r>
      <w:r w:rsidRPr="00596412">
        <w:rPr>
          <w:rFonts w:eastAsia="Calibri" w:cs="Times New Roman"/>
        </w:rPr>
        <w:t xml:space="preserve">strafproces. Het Nederlandse strafproces beweegt immers richting een adversair strafproces dat meer is gericht op tegenspraak. </w:t>
      </w:r>
      <w:r w:rsidR="001573C9">
        <w:rPr>
          <w:rFonts w:eastAsia="Calibri" w:cs="Times New Roman"/>
        </w:rPr>
        <w:t>Desondanks</w:t>
      </w:r>
      <w:r w:rsidRPr="00596412">
        <w:rPr>
          <w:rFonts w:eastAsia="Calibri" w:cs="Times New Roman"/>
        </w:rPr>
        <w:t xml:space="preserve"> blijven de mogelijkheden voor de verdediging om effectief tegenspraak te leveren achter. In dat licht heeft een beschrijving plaatsgevonden van de toegang tot bewijs</w:t>
      </w:r>
      <w:r w:rsidR="007633FC">
        <w:rPr>
          <w:rFonts w:eastAsia="Calibri" w:cs="Times New Roman"/>
        </w:rPr>
        <w:t>materiaal</w:t>
      </w:r>
      <w:r w:rsidRPr="00596412">
        <w:rPr>
          <w:rFonts w:eastAsia="Calibri" w:cs="Times New Roman"/>
        </w:rPr>
        <w:t xml:space="preserve"> en specifiek</w:t>
      </w:r>
      <w:r w:rsidR="007633FC">
        <w:rPr>
          <w:rFonts w:eastAsia="Calibri" w:cs="Times New Roman"/>
        </w:rPr>
        <w:t xml:space="preserve"> de toegang</w:t>
      </w:r>
      <w:r w:rsidRPr="00596412">
        <w:rPr>
          <w:rFonts w:eastAsia="Calibri" w:cs="Times New Roman"/>
        </w:rPr>
        <w:t xml:space="preserve"> tot datasets in het Nederlandse strafprocesrecht en het strafprocesrecht van Engeland &amp; Wales. Daarmee is het analytische deel van de rechtsvergelijking afgerond.</w:t>
      </w:r>
    </w:p>
    <w:p w14:paraId="0EA7DFA0" w14:textId="77777777" w:rsidR="00596412" w:rsidRPr="00596412" w:rsidRDefault="00596412" w:rsidP="00596412">
      <w:pPr>
        <w:rPr>
          <w:rFonts w:eastAsia="Calibri" w:cs="Times New Roman"/>
        </w:rPr>
      </w:pPr>
    </w:p>
    <w:p w14:paraId="593AC02F" w14:textId="70D50217" w:rsidR="00596412" w:rsidRPr="00596412" w:rsidRDefault="00596412" w:rsidP="00596412">
      <w:pPr>
        <w:rPr>
          <w:rFonts w:eastAsia="Calibri" w:cs="Times New Roman"/>
        </w:rPr>
      </w:pPr>
      <w:r w:rsidRPr="00596412">
        <w:rPr>
          <w:rFonts w:eastAsia="Calibri" w:cs="Times New Roman"/>
        </w:rPr>
        <w:t xml:space="preserve">In dit hoofdstuk vindt het overige deel van de rechtsvergelijking plaats: aan de hand van de voorgaande hoofdstukken zullen de </w:t>
      </w:r>
      <w:r w:rsidR="00E53F2E">
        <w:rPr>
          <w:rFonts w:eastAsia="Calibri" w:cs="Times New Roman"/>
        </w:rPr>
        <w:t>overeenkomsten en verschillen</w:t>
      </w:r>
      <w:r w:rsidR="00D735B6">
        <w:rPr>
          <w:rFonts w:eastAsia="Calibri" w:cs="Times New Roman"/>
        </w:rPr>
        <w:t xml:space="preserve"> </w:t>
      </w:r>
      <w:r w:rsidR="00D735B6" w:rsidRPr="00596412">
        <w:rPr>
          <w:rFonts w:eastAsia="Calibri" w:cs="Times New Roman"/>
        </w:rPr>
        <w:t>ten aanzien van de toegang tot datasets</w:t>
      </w:r>
      <w:r w:rsidRPr="00596412">
        <w:rPr>
          <w:rFonts w:eastAsia="Calibri" w:cs="Times New Roman"/>
        </w:rPr>
        <w:t xml:space="preserve"> tussen beide strafrechtsstelsels worden beschreven. Daarna </w:t>
      </w:r>
      <w:r w:rsidR="00FC7CF4">
        <w:rPr>
          <w:rFonts w:eastAsia="Calibri" w:cs="Times New Roman"/>
        </w:rPr>
        <w:t xml:space="preserve">zullen </w:t>
      </w:r>
      <w:r w:rsidRPr="00596412">
        <w:rPr>
          <w:rFonts w:eastAsia="Calibri" w:cs="Times New Roman"/>
        </w:rPr>
        <w:t xml:space="preserve">deze </w:t>
      </w:r>
      <w:r w:rsidR="00E53F2E">
        <w:rPr>
          <w:rFonts w:eastAsia="Calibri" w:cs="Times New Roman"/>
        </w:rPr>
        <w:t>overeenkomsten en verschillen</w:t>
      </w:r>
      <w:r w:rsidRPr="00596412">
        <w:rPr>
          <w:rFonts w:eastAsia="Calibri" w:cs="Times New Roman"/>
        </w:rPr>
        <w:t xml:space="preserve"> </w:t>
      </w:r>
      <w:r w:rsidR="00FC7CF4">
        <w:rPr>
          <w:rFonts w:eastAsia="Calibri" w:cs="Times New Roman"/>
        </w:rPr>
        <w:t xml:space="preserve">worden </w:t>
      </w:r>
      <w:r w:rsidRPr="00596412">
        <w:rPr>
          <w:rFonts w:eastAsia="Calibri" w:cs="Times New Roman"/>
        </w:rPr>
        <w:t>verkla</w:t>
      </w:r>
      <w:r w:rsidR="00FC7CF4">
        <w:rPr>
          <w:rFonts w:eastAsia="Calibri" w:cs="Times New Roman"/>
        </w:rPr>
        <w:t>ard</w:t>
      </w:r>
      <w:r w:rsidRPr="00596412">
        <w:rPr>
          <w:rFonts w:eastAsia="Calibri" w:cs="Times New Roman"/>
        </w:rPr>
        <w:t xml:space="preserve">. </w:t>
      </w:r>
      <w:r w:rsidR="00C77B28">
        <w:rPr>
          <w:rFonts w:eastAsia="Calibri" w:cs="Times New Roman"/>
        </w:rPr>
        <w:t>Aan de hand van deze verklaringen</w:t>
      </w:r>
      <w:r w:rsidRPr="00596412">
        <w:rPr>
          <w:rFonts w:eastAsia="Calibri" w:cs="Times New Roman"/>
        </w:rPr>
        <w:t xml:space="preserve"> vindt vervolgens een waardering plaats waaruit zal blijken </w:t>
      </w:r>
      <w:r w:rsidR="006253F0">
        <w:rPr>
          <w:rFonts w:eastAsia="Calibri" w:cs="Times New Roman"/>
        </w:rPr>
        <w:t xml:space="preserve">welke inzichten Engeland &amp; Wales kunnen bieden voor het </w:t>
      </w:r>
      <w:r w:rsidRPr="00596412">
        <w:rPr>
          <w:rFonts w:eastAsia="Calibri" w:cs="Times New Roman"/>
        </w:rPr>
        <w:t>Nederlandse strafprocesrecht.</w:t>
      </w:r>
    </w:p>
    <w:p w14:paraId="3DEBBAB8" w14:textId="77777777" w:rsidR="00596412" w:rsidRPr="00596412" w:rsidRDefault="00596412" w:rsidP="00596412">
      <w:pPr>
        <w:rPr>
          <w:rFonts w:eastAsia="Calibri" w:cs="Times New Roman"/>
        </w:rPr>
      </w:pPr>
    </w:p>
    <w:p w14:paraId="1766F10C" w14:textId="77777777" w:rsidR="00596412" w:rsidRPr="00596412" w:rsidRDefault="00596412" w:rsidP="00596412">
      <w:pPr>
        <w:rPr>
          <w:rFonts w:eastAsia="Calibri" w:cs="Times New Roman"/>
          <w:b/>
          <w:bCs/>
        </w:rPr>
      </w:pPr>
      <w:r w:rsidRPr="00596412">
        <w:rPr>
          <w:rFonts w:eastAsia="Calibri" w:cs="Times New Roman"/>
          <w:b/>
          <w:bCs/>
        </w:rPr>
        <w:t>4.1   Vergelijking</w:t>
      </w:r>
    </w:p>
    <w:p w14:paraId="633A28C8" w14:textId="77777777" w:rsidR="00596412" w:rsidRPr="00596412" w:rsidRDefault="00596412" w:rsidP="00596412">
      <w:pPr>
        <w:rPr>
          <w:rFonts w:eastAsia="Calibri" w:cs="Times New Roman"/>
          <w:b/>
          <w:bCs/>
        </w:rPr>
      </w:pPr>
    </w:p>
    <w:p w14:paraId="493B6F2D" w14:textId="77777777" w:rsidR="00596412" w:rsidRPr="00596412" w:rsidRDefault="00596412" w:rsidP="00596412">
      <w:pPr>
        <w:rPr>
          <w:rFonts w:eastAsia="Calibri" w:cs="Times New Roman"/>
        </w:rPr>
      </w:pPr>
      <w:r w:rsidRPr="00596412">
        <w:rPr>
          <w:rFonts w:eastAsia="Calibri" w:cs="Times New Roman"/>
        </w:rPr>
        <w:t xml:space="preserve">4.1.1   </w:t>
      </w:r>
      <w:r w:rsidRPr="00596412">
        <w:rPr>
          <w:rFonts w:eastAsia="Calibri" w:cs="Times New Roman"/>
          <w:i/>
          <w:iCs/>
        </w:rPr>
        <w:t>Overeenkomsten</w:t>
      </w:r>
    </w:p>
    <w:p w14:paraId="54A08465" w14:textId="30AB6536" w:rsidR="00B90A5F" w:rsidRDefault="00596412" w:rsidP="00596412">
      <w:pPr>
        <w:rPr>
          <w:rFonts w:eastAsia="Calibri" w:cs="Times New Roman"/>
          <w:szCs w:val="24"/>
        </w:rPr>
      </w:pPr>
      <w:r w:rsidRPr="00596412">
        <w:rPr>
          <w:rFonts w:eastAsia="Calibri" w:cs="Times New Roman"/>
        </w:rPr>
        <w:t xml:space="preserve">De wijze waarop de verdediging toegang heeft tot bewijs in een strafzaak is </w:t>
      </w:r>
      <w:r w:rsidR="005B1381">
        <w:rPr>
          <w:rFonts w:eastAsia="Calibri" w:cs="Times New Roman"/>
        </w:rPr>
        <w:t xml:space="preserve">in beide rechtsstelsels </w:t>
      </w:r>
      <w:r w:rsidRPr="00596412">
        <w:rPr>
          <w:rFonts w:eastAsia="Calibri" w:cs="Times New Roman"/>
        </w:rPr>
        <w:t xml:space="preserve">voor het grootste deel op overeenkomstige wijze geregeld. </w:t>
      </w:r>
      <w:r w:rsidRPr="00596412">
        <w:rPr>
          <w:rFonts w:eastAsia="Calibri" w:cs="Times New Roman"/>
          <w:szCs w:val="24"/>
        </w:rPr>
        <w:t xml:space="preserve">Een </w:t>
      </w:r>
      <w:r w:rsidR="001356F7">
        <w:rPr>
          <w:rFonts w:eastAsia="Calibri" w:cs="Times New Roman"/>
          <w:szCs w:val="24"/>
        </w:rPr>
        <w:t xml:space="preserve">eerste en </w:t>
      </w:r>
      <w:r w:rsidRPr="00596412">
        <w:rPr>
          <w:rFonts w:eastAsia="Calibri" w:cs="Times New Roman"/>
          <w:szCs w:val="24"/>
        </w:rPr>
        <w:t xml:space="preserve">zeer belangrijke overeenkomst die raakt aan de kern van beide regelingen, is de </w:t>
      </w:r>
      <w:r w:rsidR="00984535">
        <w:rPr>
          <w:rFonts w:eastAsia="Calibri" w:cs="Times New Roman"/>
          <w:szCs w:val="24"/>
        </w:rPr>
        <w:t>gelijke</w:t>
      </w:r>
      <w:r w:rsidRPr="00596412">
        <w:rPr>
          <w:rFonts w:eastAsia="Calibri" w:cs="Times New Roman"/>
          <w:szCs w:val="24"/>
        </w:rPr>
        <w:t xml:space="preserve"> strekking van het relevantiecriterium van de Hoge Raad en de </w:t>
      </w:r>
      <w:r w:rsidRPr="00596412">
        <w:rPr>
          <w:rFonts w:eastAsia="Calibri" w:cs="Times New Roman"/>
          <w:i/>
          <w:iCs/>
          <w:szCs w:val="24"/>
        </w:rPr>
        <w:t>disclosure test</w:t>
      </w:r>
      <w:r w:rsidRPr="00596412">
        <w:rPr>
          <w:rFonts w:eastAsia="Calibri" w:cs="Times New Roman"/>
          <w:szCs w:val="24"/>
        </w:rPr>
        <w:t xml:space="preserve">. Het relevantiecriterium ziet op stukken die redelijkerwijze van belang kunnen zijn voor de verdachte in zowel belastende als ontlastende zin. Met de </w:t>
      </w:r>
      <w:r w:rsidRPr="00596412">
        <w:rPr>
          <w:rFonts w:eastAsia="Calibri" w:cs="Times New Roman"/>
          <w:i/>
          <w:szCs w:val="24"/>
        </w:rPr>
        <w:t>disclosure test</w:t>
      </w:r>
      <w:r w:rsidRPr="00596412">
        <w:rPr>
          <w:rFonts w:eastAsia="Calibri" w:cs="Times New Roman"/>
          <w:szCs w:val="24"/>
        </w:rPr>
        <w:t xml:space="preserve"> wordt beoordeeld of er stukken bestaan die de vervolging tegen de verdachte mogelijk </w:t>
      </w:r>
      <w:r w:rsidR="00FE2C76">
        <w:rPr>
          <w:rFonts w:eastAsia="Calibri" w:cs="Times New Roman"/>
          <w:szCs w:val="24"/>
        </w:rPr>
        <w:t xml:space="preserve">kunnen </w:t>
      </w:r>
      <w:r w:rsidRPr="00596412">
        <w:rPr>
          <w:rFonts w:eastAsia="Calibri" w:cs="Times New Roman"/>
          <w:szCs w:val="24"/>
        </w:rPr>
        <w:t xml:space="preserve">ondermijnen of de verdediging anderszins kunnen ondersteunen. De </w:t>
      </w:r>
      <w:r w:rsidRPr="00596412">
        <w:rPr>
          <w:rFonts w:eastAsia="Calibri" w:cs="Times New Roman"/>
          <w:i/>
          <w:iCs/>
          <w:szCs w:val="24"/>
        </w:rPr>
        <w:t>disclosure test</w:t>
      </w:r>
      <w:r w:rsidRPr="00596412">
        <w:rPr>
          <w:rFonts w:eastAsia="Calibri" w:cs="Times New Roman"/>
          <w:szCs w:val="24"/>
        </w:rPr>
        <w:t xml:space="preserve"> en het relevantiecriterium bewerkstelligen daarmee hetzelfde doel: het voorzien van de verdediging van bewijsmateriaal waarmee hij redelijkerwijs in staat is om op effectieve wi</w:t>
      </w:r>
      <w:r w:rsidR="00984535">
        <w:rPr>
          <w:rFonts w:eastAsia="Calibri" w:cs="Times New Roman"/>
          <w:szCs w:val="24"/>
        </w:rPr>
        <w:t>jze een verdediging te voeren en</w:t>
      </w:r>
      <w:r w:rsidRPr="00596412">
        <w:rPr>
          <w:rFonts w:eastAsia="Calibri" w:cs="Times New Roman"/>
          <w:szCs w:val="24"/>
        </w:rPr>
        <w:t xml:space="preserve"> het recht op een eerlijk proces wordt gewaarborgd. </w:t>
      </w:r>
    </w:p>
    <w:p w14:paraId="0AFBA569" w14:textId="77777777" w:rsidR="00B90A5F" w:rsidRDefault="00B90A5F" w:rsidP="00596412">
      <w:pPr>
        <w:rPr>
          <w:rFonts w:eastAsia="Calibri" w:cs="Times New Roman"/>
          <w:szCs w:val="24"/>
        </w:rPr>
      </w:pPr>
    </w:p>
    <w:p w14:paraId="0824E81E" w14:textId="2D03EF2F" w:rsidR="00596412" w:rsidRPr="00596412" w:rsidRDefault="00B655F4" w:rsidP="00596412">
      <w:pPr>
        <w:rPr>
          <w:rFonts w:eastAsia="Calibri" w:cs="Times New Roman"/>
          <w:szCs w:val="24"/>
        </w:rPr>
      </w:pPr>
      <w:r>
        <w:rPr>
          <w:rFonts w:eastAsia="Calibri" w:cs="Times New Roman"/>
          <w:szCs w:val="24"/>
        </w:rPr>
        <w:t>Een tweede overeenkomst is</w:t>
      </w:r>
      <w:r w:rsidR="00596412" w:rsidRPr="00596412">
        <w:rPr>
          <w:rFonts w:eastAsia="Calibri" w:cs="Times New Roman"/>
          <w:szCs w:val="24"/>
        </w:rPr>
        <w:t xml:space="preserve"> dat in beide rechtsstelsels soortgelijke gronden bestaan om de verdediging de toegang tot het bewijsmateriaal in zijn geheel te onthouden. In Nederland is dit het geval wanneer een getuige ernstige overlast zal ondervinden, wanneer een zwaarwegend </w:t>
      </w:r>
      <w:r w:rsidR="00596412" w:rsidRPr="00596412">
        <w:rPr>
          <w:rFonts w:eastAsia="Calibri" w:cs="Times New Roman"/>
          <w:szCs w:val="24"/>
        </w:rPr>
        <w:lastRenderedPageBreak/>
        <w:t xml:space="preserve">opsporingsbelang wordt geschaad en/of wanneer het belang van de staatsveiligheid wordt geschaad. Dit zijn gronden die sterk doen denken aan de strijd met het algemeen belang zoals dat is gewaarborgd in s. 3(6) CPIA, waarmee de prosecutor de rechter kan verzoeken om gevoelig bewijsmateriaal achter te houden. Wel verschillen Engeland &amp; Wales van Nederland </w:t>
      </w:r>
      <w:r w:rsidR="008F1E5C">
        <w:rPr>
          <w:rFonts w:eastAsia="Calibri" w:cs="Times New Roman"/>
          <w:szCs w:val="24"/>
        </w:rPr>
        <w:t>door</w:t>
      </w:r>
      <w:r w:rsidR="00596412" w:rsidRPr="00596412">
        <w:rPr>
          <w:rFonts w:eastAsia="Calibri" w:cs="Times New Roman"/>
          <w:szCs w:val="24"/>
        </w:rPr>
        <w:t xml:space="preserve">dat zij onderschepte communicatie uitsluiten van </w:t>
      </w:r>
      <w:r w:rsidR="00596412" w:rsidRPr="00596412">
        <w:rPr>
          <w:rFonts w:eastAsia="Calibri" w:cs="Times New Roman"/>
          <w:i/>
          <w:szCs w:val="24"/>
        </w:rPr>
        <w:t>disclosure</w:t>
      </w:r>
      <w:r w:rsidR="00596412" w:rsidRPr="00596412">
        <w:rPr>
          <w:rFonts w:eastAsia="Calibri" w:cs="Times New Roman"/>
          <w:szCs w:val="24"/>
        </w:rPr>
        <w:t xml:space="preserve">, terwijl daar in Nederland geen aparte grond voor bestaat. </w:t>
      </w:r>
    </w:p>
    <w:p w14:paraId="0AE9876A" w14:textId="77777777" w:rsidR="00596412" w:rsidRPr="00596412" w:rsidRDefault="00596412" w:rsidP="00596412">
      <w:pPr>
        <w:rPr>
          <w:rFonts w:eastAsia="Calibri" w:cs="Times New Roman"/>
        </w:rPr>
      </w:pPr>
    </w:p>
    <w:p w14:paraId="6C67EC72" w14:textId="771AC7CD" w:rsidR="00225269" w:rsidRDefault="00D91FEB" w:rsidP="00596412">
      <w:pPr>
        <w:rPr>
          <w:rFonts w:eastAsia="Calibri" w:cs="Times New Roman"/>
          <w:szCs w:val="24"/>
        </w:rPr>
      </w:pPr>
      <w:r>
        <w:rPr>
          <w:rFonts w:eastAsia="Calibri" w:cs="Times New Roman"/>
        </w:rPr>
        <w:t>De derde</w:t>
      </w:r>
      <w:r w:rsidR="00DA1728">
        <w:rPr>
          <w:rFonts w:eastAsia="Calibri" w:cs="Times New Roman"/>
        </w:rPr>
        <w:t xml:space="preserve"> </w:t>
      </w:r>
      <w:r w:rsidR="009637CE">
        <w:rPr>
          <w:rFonts w:eastAsia="Calibri" w:cs="Times New Roman"/>
        </w:rPr>
        <w:t>overeenkomst</w:t>
      </w:r>
      <w:r>
        <w:rPr>
          <w:rFonts w:eastAsia="Calibri" w:cs="Times New Roman"/>
        </w:rPr>
        <w:t xml:space="preserve"> betref</w:t>
      </w:r>
      <w:r w:rsidR="009637CE">
        <w:rPr>
          <w:rFonts w:eastAsia="Calibri" w:cs="Times New Roman"/>
        </w:rPr>
        <w:t>t</w:t>
      </w:r>
      <w:r>
        <w:rPr>
          <w:rFonts w:eastAsia="Calibri" w:cs="Times New Roman"/>
        </w:rPr>
        <w:t xml:space="preserve"> de toegang tot </w:t>
      </w:r>
      <w:r w:rsidR="00A522DA">
        <w:rPr>
          <w:rFonts w:eastAsia="Calibri" w:cs="Times New Roman"/>
        </w:rPr>
        <w:t>de volledige</w:t>
      </w:r>
      <w:r w:rsidR="002B006E">
        <w:rPr>
          <w:rFonts w:eastAsia="Calibri" w:cs="Times New Roman"/>
        </w:rPr>
        <w:t xml:space="preserve"> dataset</w:t>
      </w:r>
      <w:r>
        <w:rPr>
          <w:rFonts w:eastAsia="Calibri" w:cs="Times New Roman"/>
        </w:rPr>
        <w:t xml:space="preserve">: net als de toegang tot bewijsmateriaal in het algemeen is </w:t>
      </w:r>
      <w:r w:rsidR="00A522DA">
        <w:rPr>
          <w:rFonts w:eastAsia="Calibri" w:cs="Times New Roman"/>
        </w:rPr>
        <w:t>dit</w:t>
      </w:r>
      <w:r>
        <w:rPr>
          <w:rFonts w:eastAsia="Calibri" w:cs="Times New Roman"/>
        </w:rPr>
        <w:t xml:space="preserve"> </w:t>
      </w:r>
      <w:r w:rsidRPr="00596412">
        <w:rPr>
          <w:rFonts w:eastAsia="Calibri" w:cs="Times New Roman"/>
        </w:rPr>
        <w:t>in beide rechtsstelsels</w:t>
      </w:r>
      <w:r w:rsidR="00596412" w:rsidRPr="00596412">
        <w:rPr>
          <w:rFonts w:eastAsia="Calibri" w:cs="Times New Roman"/>
        </w:rPr>
        <w:t xml:space="preserve"> op eenstemmige wijze ingericht. </w:t>
      </w:r>
      <w:r w:rsidR="002F7F1B">
        <w:rPr>
          <w:rFonts w:eastAsia="Calibri" w:cs="Times New Roman"/>
        </w:rPr>
        <w:t>Dat is echter niet geheel</w:t>
      </w:r>
      <w:r w:rsidR="00596412" w:rsidRPr="00596412">
        <w:rPr>
          <w:rFonts w:eastAsia="Calibri" w:cs="Times New Roman"/>
        </w:rPr>
        <w:t xml:space="preserve"> opvallend, </w:t>
      </w:r>
      <w:r w:rsidR="00596412" w:rsidRPr="00596412">
        <w:rPr>
          <w:rFonts w:eastAsia="Calibri" w:cs="Times New Roman"/>
          <w:szCs w:val="24"/>
        </w:rPr>
        <w:t xml:space="preserve">aangezien de jurisprudentie van het EHRM </w:t>
      </w:r>
      <w:r w:rsidR="00791E0B">
        <w:rPr>
          <w:rFonts w:eastAsia="Calibri" w:cs="Times New Roman"/>
          <w:szCs w:val="24"/>
        </w:rPr>
        <w:t>de toegang tot de volledige dataset</w:t>
      </w:r>
      <w:r w:rsidR="00596412" w:rsidRPr="00596412">
        <w:rPr>
          <w:rFonts w:eastAsia="Calibri" w:cs="Times New Roman"/>
          <w:szCs w:val="24"/>
        </w:rPr>
        <w:t xml:space="preserve"> uitsluit. Daarnaast zijn verzoeken tot het krijgen van toegang tot de volledige dataset in de Nederlandse jurisprudentie meermaals afgewezen met het oog op het beginsel van </w:t>
      </w:r>
      <w:r w:rsidR="00596412" w:rsidRPr="00596412">
        <w:rPr>
          <w:rFonts w:eastAsia="Calibri" w:cs="Times New Roman"/>
          <w:i/>
          <w:iCs/>
          <w:szCs w:val="24"/>
        </w:rPr>
        <w:t>equality of arms</w:t>
      </w:r>
      <w:r w:rsidR="00596412" w:rsidRPr="00596412">
        <w:rPr>
          <w:rFonts w:eastAsia="Calibri" w:cs="Times New Roman"/>
          <w:szCs w:val="24"/>
        </w:rPr>
        <w:t xml:space="preserve"> en omdat niet kon worden voldaan aan het noodzakelijkheidscriterium. In Engeland &amp; Wales zal de </w:t>
      </w:r>
      <w:r w:rsidR="00596412" w:rsidRPr="00596412">
        <w:rPr>
          <w:rFonts w:eastAsia="Calibri" w:cs="Times New Roman"/>
          <w:i/>
          <w:szCs w:val="24"/>
        </w:rPr>
        <w:t>disclosure test</w:t>
      </w:r>
      <w:r w:rsidR="00596412" w:rsidRPr="00596412">
        <w:rPr>
          <w:rFonts w:eastAsia="Calibri" w:cs="Times New Roman"/>
          <w:szCs w:val="24"/>
        </w:rPr>
        <w:t xml:space="preserve"> de belemmering vormen voor de toegang tot de volledige dataset, tenzij de dataset in zijn geheel hieraan voldoet. </w:t>
      </w:r>
      <w:r w:rsidR="00C732E5">
        <w:rPr>
          <w:rFonts w:eastAsia="Calibri" w:cs="Times New Roman"/>
          <w:szCs w:val="24"/>
        </w:rPr>
        <w:t xml:space="preserve">Dit </w:t>
      </w:r>
      <w:r w:rsidR="00596412" w:rsidRPr="00596412">
        <w:rPr>
          <w:rFonts w:eastAsia="Calibri" w:cs="Times New Roman"/>
          <w:szCs w:val="24"/>
        </w:rPr>
        <w:t>is in de jurisprudentie bevestigd.</w:t>
      </w:r>
      <w:r w:rsidR="00414B9E">
        <w:rPr>
          <w:rFonts w:eastAsia="Calibri" w:cs="Times New Roman"/>
          <w:szCs w:val="24"/>
        </w:rPr>
        <w:t xml:space="preserve"> </w:t>
      </w:r>
    </w:p>
    <w:p w14:paraId="57606801" w14:textId="77777777" w:rsidR="00225269" w:rsidRDefault="00225269" w:rsidP="00596412">
      <w:pPr>
        <w:rPr>
          <w:rFonts w:eastAsia="Calibri" w:cs="Times New Roman"/>
          <w:szCs w:val="24"/>
        </w:rPr>
      </w:pPr>
    </w:p>
    <w:p w14:paraId="0F5622C3" w14:textId="7A8F3874" w:rsidR="00596412" w:rsidRPr="00414B9E" w:rsidRDefault="00F05A82" w:rsidP="00596412">
      <w:pPr>
        <w:rPr>
          <w:rFonts w:eastAsia="Calibri" w:cs="Times New Roman"/>
          <w:szCs w:val="24"/>
        </w:rPr>
      </w:pPr>
      <w:r>
        <w:rPr>
          <w:rFonts w:eastAsia="Calibri" w:cs="Times New Roman"/>
        </w:rPr>
        <w:t>In tegenstelling tot de volledige dataset</w:t>
      </w:r>
      <w:r w:rsidR="00596412" w:rsidRPr="00596412">
        <w:rPr>
          <w:rFonts w:eastAsia="Calibri" w:cs="Times New Roman"/>
        </w:rPr>
        <w:t xml:space="preserve"> heeft de verdediging </w:t>
      </w:r>
      <w:r w:rsidR="00BA76A1">
        <w:rPr>
          <w:rFonts w:eastAsia="Calibri" w:cs="Times New Roman"/>
        </w:rPr>
        <w:t xml:space="preserve">als vierde overeenkomst </w:t>
      </w:r>
      <w:r w:rsidR="00596412" w:rsidRPr="00596412">
        <w:rPr>
          <w:rFonts w:eastAsia="Calibri" w:cs="Times New Roman"/>
        </w:rPr>
        <w:t xml:space="preserve">in beide rechtsstelsels te allen tijde </w:t>
      </w:r>
      <w:r w:rsidR="00596412" w:rsidRPr="00596412">
        <w:rPr>
          <w:rFonts w:eastAsia="Calibri" w:cs="Times New Roman"/>
          <w:szCs w:val="24"/>
        </w:rPr>
        <w:t xml:space="preserve">toegang tot </w:t>
      </w:r>
      <w:r w:rsidR="00596412" w:rsidRPr="00B90A5F">
        <w:rPr>
          <w:rFonts w:eastAsia="Calibri" w:cs="Times New Roman"/>
          <w:szCs w:val="24"/>
        </w:rPr>
        <w:t>de tertiaire dataset, het gedeelte van de dataset dat als bewijs tegen de verdachte zal worden gebruikt.</w:t>
      </w:r>
      <w:r w:rsidR="00596412" w:rsidRPr="00596412">
        <w:rPr>
          <w:rFonts w:eastAsia="Calibri" w:cs="Times New Roman"/>
          <w:szCs w:val="24"/>
        </w:rPr>
        <w:t xml:space="preserve"> In Nederland bevindt dit bewijs zich in het procesdossier, dat op grond van art. 30 lid 1 Sv in ieder geval vanaf het eerste verhoor na aanhouding aan de verdachte dient te worden verstrekt. De toezending van de </w:t>
      </w:r>
      <w:r w:rsidR="00596412" w:rsidRPr="00596412">
        <w:rPr>
          <w:rFonts w:eastAsia="Calibri" w:cs="Times New Roman"/>
          <w:i/>
          <w:iCs/>
          <w:szCs w:val="24"/>
        </w:rPr>
        <w:t xml:space="preserve">prosecution case </w:t>
      </w:r>
      <w:r w:rsidR="00596412" w:rsidRPr="00596412">
        <w:rPr>
          <w:rFonts w:eastAsia="Calibri" w:cs="Times New Roman"/>
          <w:szCs w:val="24"/>
        </w:rPr>
        <w:t xml:space="preserve">in Engeland &amp; Wales geschiedt deels op basis van de wet en deels op grond van </w:t>
      </w:r>
      <w:r w:rsidR="00596412" w:rsidRPr="00596412">
        <w:rPr>
          <w:rFonts w:eastAsia="Calibri" w:cs="Times New Roman"/>
          <w:i/>
          <w:szCs w:val="24"/>
        </w:rPr>
        <w:t>common law</w:t>
      </w:r>
      <w:r w:rsidR="00596412" w:rsidRPr="00596412">
        <w:rPr>
          <w:rFonts w:eastAsia="Calibri" w:cs="Times New Roman"/>
          <w:szCs w:val="24"/>
        </w:rPr>
        <w:t xml:space="preserve">-jurisprudentie, hetgeen afhankelijk is van de fase waarin het strafproces zich bevindt en bij welke rechterlijke instantie wordt geprocedeerd. </w:t>
      </w:r>
    </w:p>
    <w:p w14:paraId="76803946" w14:textId="77777777" w:rsidR="00596412" w:rsidRPr="00596412" w:rsidRDefault="00596412" w:rsidP="00596412">
      <w:pPr>
        <w:rPr>
          <w:rFonts w:eastAsia="Calibri" w:cs="Times New Roman"/>
          <w:szCs w:val="24"/>
        </w:rPr>
      </w:pPr>
    </w:p>
    <w:p w14:paraId="2C08967F" w14:textId="78B3FA94" w:rsidR="00596412" w:rsidRPr="00596412" w:rsidRDefault="00596412" w:rsidP="00596412">
      <w:pPr>
        <w:rPr>
          <w:rFonts w:eastAsia="Calibri" w:cs="Times New Roman"/>
          <w:szCs w:val="24"/>
        </w:rPr>
      </w:pPr>
      <w:r w:rsidRPr="00596412">
        <w:rPr>
          <w:rFonts w:eastAsia="Calibri" w:cs="Times New Roman"/>
          <w:szCs w:val="24"/>
        </w:rPr>
        <w:t>Daarnaast geven beide rechtsstelsels</w:t>
      </w:r>
      <w:r w:rsidR="00177515">
        <w:rPr>
          <w:rFonts w:eastAsia="Calibri" w:cs="Times New Roman"/>
          <w:szCs w:val="24"/>
        </w:rPr>
        <w:t xml:space="preserve"> als vijfde overeenkomst</w:t>
      </w:r>
      <w:r w:rsidRPr="00596412">
        <w:rPr>
          <w:rFonts w:eastAsia="Calibri" w:cs="Times New Roman"/>
          <w:szCs w:val="24"/>
        </w:rPr>
        <w:t xml:space="preserve"> eenzelfde invulling aan de toegang tot de secundaire dataset. De verdediging krijgt in Nederland niet alleen </w:t>
      </w:r>
      <w:r w:rsidR="009E670B">
        <w:rPr>
          <w:rFonts w:eastAsia="Calibri" w:cs="Times New Roman"/>
          <w:szCs w:val="24"/>
        </w:rPr>
        <w:t>toegang tot</w:t>
      </w:r>
      <w:r w:rsidRPr="00596412">
        <w:rPr>
          <w:rFonts w:eastAsia="Calibri" w:cs="Times New Roman"/>
          <w:szCs w:val="24"/>
        </w:rPr>
        <w:t xml:space="preserve"> de secundaire dataset, maar kan ook zoektermen aanleveren waarmee deze dataset tot stand komt. Bovendien is de verdediging in staat om op afstand de secundaire dataset met Hansken te doorzoeken. Zoals uit de zaak </w:t>
      </w:r>
      <w:r w:rsidRPr="00596412">
        <w:rPr>
          <w:rFonts w:eastAsia="Calibri" w:cs="Times New Roman"/>
          <w:i/>
          <w:iCs/>
          <w:szCs w:val="24"/>
        </w:rPr>
        <w:t>R v Richards</w:t>
      </w:r>
      <w:r w:rsidRPr="00596412">
        <w:rPr>
          <w:rFonts w:eastAsia="Calibri" w:cs="Times New Roman"/>
          <w:szCs w:val="24"/>
        </w:rPr>
        <w:t xml:space="preserve"> is gebleken, wordt eenzelfde wijze ook in Engeland &amp; Wales geaccepteerd: daarin kon de verdediging </w:t>
      </w:r>
      <w:r w:rsidR="00962B93">
        <w:rPr>
          <w:rFonts w:eastAsia="Calibri" w:cs="Times New Roman"/>
          <w:szCs w:val="24"/>
        </w:rPr>
        <w:t xml:space="preserve">ook </w:t>
      </w:r>
      <w:r w:rsidRPr="00596412">
        <w:rPr>
          <w:rFonts w:eastAsia="Calibri" w:cs="Times New Roman"/>
          <w:szCs w:val="24"/>
        </w:rPr>
        <w:t>zoektermen aanleveren waarmee de secundaire dataset werd gecreëerd</w:t>
      </w:r>
      <w:r w:rsidR="00962B93">
        <w:rPr>
          <w:rFonts w:eastAsia="Calibri" w:cs="Times New Roman"/>
          <w:szCs w:val="24"/>
        </w:rPr>
        <w:t>.</w:t>
      </w:r>
      <w:r w:rsidRPr="00596412">
        <w:rPr>
          <w:rFonts w:eastAsia="Calibri" w:cs="Times New Roman"/>
          <w:szCs w:val="24"/>
        </w:rPr>
        <w:t xml:space="preserve"> Deze overeenkomst behoeft wel enige nuancering: niet is gebleken dat de gang van zaken uit </w:t>
      </w:r>
      <w:r w:rsidRPr="00596412">
        <w:rPr>
          <w:rFonts w:eastAsia="Calibri" w:cs="Times New Roman"/>
          <w:i/>
          <w:iCs/>
          <w:szCs w:val="24"/>
        </w:rPr>
        <w:t xml:space="preserve">R v Richards </w:t>
      </w:r>
      <w:r w:rsidRPr="00596412">
        <w:rPr>
          <w:rFonts w:eastAsia="Calibri" w:cs="Times New Roman"/>
          <w:szCs w:val="24"/>
        </w:rPr>
        <w:t xml:space="preserve">een vaste praktijk vormt binnen het strafproces van Engeland &amp; Wales. In de richtlijnen van de ACPO en de Attorney General blijkt </w:t>
      </w:r>
      <w:r w:rsidR="00356818">
        <w:rPr>
          <w:rFonts w:eastAsia="Calibri" w:cs="Times New Roman"/>
          <w:szCs w:val="24"/>
        </w:rPr>
        <w:t>daarnaast</w:t>
      </w:r>
      <w:r w:rsidRPr="00596412">
        <w:rPr>
          <w:rFonts w:eastAsia="Calibri" w:cs="Times New Roman"/>
          <w:szCs w:val="24"/>
        </w:rPr>
        <w:t xml:space="preserve"> dat er geen vastomlijnde aanpak is voor de </w:t>
      </w:r>
      <w:r w:rsidRPr="00596412">
        <w:rPr>
          <w:rFonts w:eastAsia="Calibri" w:cs="Times New Roman"/>
          <w:i/>
          <w:szCs w:val="24"/>
        </w:rPr>
        <w:t>disclosure</w:t>
      </w:r>
      <w:r w:rsidRPr="00596412">
        <w:rPr>
          <w:rFonts w:eastAsia="Calibri" w:cs="Times New Roman"/>
          <w:szCs w:val="24"/>
        </w:rPr>
        <w:t xml:space="preserve"> van grote hoeveelheden data. Desalniettemin moet deze aanpak voldoen aan de jurisprudentie van het EHRM, en dus ook de zaken </w:t>
      </w:r>
      <w:r w:rsidRPr="00596412">
        <w:rPr>
          <w:rFonts w:eastAsia="Calibri" w:cs="Times New Roman"/>
          <w:i/>
          <w:iCs/>
          <w:szCs w:val="24"/>
        </w:rPr>
        <w:t xml:space="preserve">Einarsson </w:t>
      </w:r>
      <w:r w:rsidRPr="00596412">
        <w:rPr>
          <w:rFonts w:eastAsia="Calibri" w:cs="Times New Roman"/>
          <w:szCs w:val="24"/>
        </w:rPr>
        <w:t xml:space="preserve">en </w:t>
      </w:r>
      <w:r w:rsidRPr="00596412">
        <w:rPr>
          <w:rFonts w:eastAsia="Calibri" w:cs="Times New Roman"/>
          <w:i/>
          <w:iCs/>
          <w:szCs w:val="24"/>
        </w:rPr>
        <w:t>Rook</w:t>
      </w:r>
      <w:r w:rsidRPr="00596412">
        <w:rPr>
          <w:rFonts w:eastAsia="Calibri" w:cs="Times New Roman"/>
          <w:szCs w:val="24"/>
        </w:rPr>
        <w:t>. Dit doet vermoeden dat de verdediging in ieder geval het recht moet hebben om zoektermen aan te leveren waarmee de secundaire dataset tot stand kan worden gebracht. Deze mogelijkheid wordt ook benoemd in de richtlijn van de Attorney General. Of van een vaste praktijk kan worden gesproken, is echter niet duidelijk.</w:t>
      </w:r>
    </w:p>
    <w:p w14:paraId="60825FE6" w14:textId="491B49DA" w:rsidR="00596412" w:rsidRPr="00596412" w:rsidRDefault="00596412" w:rsidP="00596412">
      <w:pPr>
        <w:rPr>
          <w:rFonts w:eastAsia="Calibri" w:cs="Times New Roman"/>
          <w:szCs w:val="24"/>
        </w:rPr>
      </w:pPr>
      <w:r w:rsidRPr="00596412">
        <w:rPr>
          <w:rFonts w:eastAsia="Calibri" w:cs="Times New Roman"/>
          <w:szCs w:val="24"/>
        </w:rPr>
        <w:lastRenderedPageBreak/>
        <w:t>De toegang tot bewijs</w:t>
      </w:r>
      <w:r w:rsidR="000308A9">
        <w:rPr>
          <w:rFonts w:eastAsia="Calibri" w:cs="Times New Roman"/>
          <w:szCs w:val="24"/>
        </w:rPr>
        <w:t>materiaal</w:t>
      </w:r>
      <w:r w:rsidRPr="00596412">
        <w:rPr>
          <w:rFonts w:eastAsia="Calibri" w:cs="Times New Roman"/>
          <w:szCs w:val="24"/>
        </w:rPr>
        <w:t xml:space="preserve"> en de toegang tot datasets zijn dus op overeenkomende wijze geregeld. Wat daarbij opvalt, </w:t>
      </w:r>
      <w:r w:rsidR="00547C7D">
        <w:rPr>
          <w:rFonts w:eastAsia="Calibri" w:cs="Times New Roman"/>
          <w:szCs w:val="24"/>
        </w:rPr>
        <w:t>vormt</w:t>
      </w:r>
      <w:r w:rsidR="00B85736">
        <w:rPr>
          <w:rFonts w:eastAsia="Calibri" w:cs="Times New Roman"/>
          <w:szCs w:val="24"/>
        </w:rPr>
        <w:t xml:space="preserve"> de </w:t>
      </w:r>
      <w:r w:rsidR="00EB0376">
        <w:rPr>
          <w:rFonts w:eastAsia="Calibri" w:cs="Times New Roman"/>
          <w:szCs w:val="24"/>
        </w:rPr>
        <w:t>ze</w:t>
      </w:r>
      <w:r w:rsidR="00A530CC">
        <w:rPr>
          <w:rFonts w:eastAsia="Calibri" w:cs="Times New Roman"/>
          <w:szCs w:val="24"/>
        </w:rPr>
        <w:t>sde</w:t>
      </w:r>
      <w:r w:rsidR="00EB0376">
        <w:rPr>
          <w:rFonts w:eastAsia="Calibri" w:cs="Times New Roman"/>
          <w:szCs w:val="24"/>
        </w:rPr>
        <w:t xml:space="preserve"> en </w:t>
      </w:r>
      <w:r w:rsidR="00B85736">
        <w:rPr>
          <w:rFonts w:eastAsia="Calibri" w:cs="Times New Roman"/>
          <w:szCs w:val="24"/>
        </w:rPr>
        <w:t xml:space="preserve">laatste overeenkomst tussen beide </w:t>
      </w:r>
      <w:r w:rsidR="00235514">
        <w:rPr>
          <w:rFonts w:eastAsia="Calibri" w:cs="Times New Roman"/>
          <w:szCs w:val="24"/>
        </w:rPr>
        <w:t>rechtsstelsels</w:t>
      </w:r>
      <w:r w:rsidR="00B85736">
        <w:rPr>
          <w:rFonts w:eastAsia="Calibri" w:cs="Times New Roman"/>
          <w:szCs w:val="24"/>
        </w:rPr>
        <w:t>:</w:t>
      </w:r>
      <w:r w:rsidRPr="00596412">
        <w:rPr>
          <w:rFonts w:eastAsia="Calibri" w:cs="Times New Roman"/>
          <w:szCs w:val="24"/>
        </w:rPr>
        <w:t xml:space="preserve"> een wettelijke regeling voor de toegang tot datasets ontbreekt. Binnen het Nederlandse strafprocesrecht kan worden teruggevallen op een combinatie van het inzagerecht en zowel nationale als Europese jurisprudentie. Voor Engeland &amp; Wales geldt nagenoeg hetzelfde, al wordt de toegang tot datasets op grond van </w:t>
      </w:r>
      <w:r w:rsidRPr="00596412">
        <w:rPr>
          <w:rFonts w:eastAsia="Calibri" w:cs="Times New Roman"/>
          <w:i/>
          <w:iCs/>
          <w:szCs w:val="24"/>
        </w:rPr>
        <w:t>disclosure</w:t>
      </w:r>
      <w:r w:rsidRPr="00596412">
        <w:rPr>
          <w:rFonts w:eastAsia="Calibri" w:cs="Times New Roman"/>
          <w:szCs w:val="24"/>
        </w:rPr>
        <w:t xml:space="preserve"> ook nader geëxpliciteerd in verschillende richtlijnen</w:t>
      </w:r>
      <w:r w:rsidR="0033302F">
        <w:rPr>
          <w:rFonts w:eastAsia="Calibri" w:cs="Times New Roman"/>
          <w:szCs w:val="24"/>
        </w:rPr>
        <w:t>.</w:t>
      </w:r>
      <w:r w:rsidRPr="00596412">
        <w:rPr>
          <w:rFonts w:eastAsia="Calibri" w:cs="Times New Roman"/>
          <w:szCs w:val="24"/>
        </w:rPr>
        <w:t xml:space="preserve"> </w:t>
      </w:r>
      <w:r w:rsidR="00885108">
        <w:rPr>
          <w:rFonts w:eastAsia="Calibri" w:cs="Times New Roman"/>
          <w:szCs w:val="24"/>
        </w:rPr>
        <w:t>Desondanks</w:t>
      </w:r>
      <w:r w:rsidRPr="00596412">
        <w:rPr>
          <w:rFonts w:eastAsia="Calibri" w:cs="Times New Roman"/>
          <w:szCs w:val="24"/>
        </w:rPr>
        <w:t xml:space="preserve"> is de toegang tot datasets niet specifiek in de wet geregeld. Dat terwijl met name in Nederland sprake is van een vaste en uitgekristalliseerde praktijk in de jurisprudentie. </w:t>
      </w:r>
    </w:p>
    <w:p w14:paraId="04A5EBA0" w14:textId="77777777" w:rsidR="00596412" w:rsidRPr="00596412" w:rsidRDefault="00596412" w:rsidP="00596412">
      <w:pPr>
        <w:rPr>
          <w:rFonts w:eastAsia="Calibri" w:cs="Times New Roman"/>
          <w:szCs w:val="24"/>
        </w:rPr>
      </w:pPr>
    </w:p>
    <w:p w14:paraId="6C4D1045" w14:textId="77777777" w:rsidR="00596412" w:rsidRPr="00596412" w:rsidRDefault="00596412" w:rsidP="00596412">
      <w:pPr>
        <w:rPr>
          <w:rFonts w:eastAsia="Calibri" w:cs="Times New Roman"/>
          <w:szCs w:val="24"/>
        </w:rPr>
      </w:pPr>
      <w:r w:rsidRPr="00596412">
        <w:rPr>
          <w:rFonts w:eastAsia="Calibri" w:cs="Times New Roman"/>
          <w:szCs w:val="24"/>
        </w:rPr>
        <w:t>Kort gezegd kunnen de volgende overeenkomsten tussen Nederland en Engeland &amp; Wales worden gedestilleerd:</w:t>
      </w:r>
    </w:p>
    <w:p w14:paraId="63761B47" w14:textId="77777777" w:rsidR="00596412" w:rsidRPr="00596412" w:rsidRDefault="00596412" w:rsidP="00596412">
      <w:pPr>
        <w:rPr>
          <w:rFonts w:eastAsia="Calibri" w:cs="Times New Roman"/>
          <w:szCs w:val="24"/>
        </w:rPr>
      </w:pPr>
    </w:p>
    <w:p w14:paraId="45016881" w14:textId="53E2BC9D" w:rsidR="00596412" w:rsidRPr="00596412" w:rsidRDefault="00596412" w:rsidP="00596412">
      <w:pPr>
        <w:numPr>
          <w:ilvl w:val="0"/>
          <w:numId w:val="5"/>
        </w:numPr>
        <w:contextualSpacing/>
        <w:rPr>
          <w:rFonts w:eastAsia="Calibri" w:cs="Times New Roman"/>
          <w:szCs w:val="24"/>
        </w:rPr>
      </w:pPr>
      <w:r w:rsidRPr="00596412">
        <w:rPr>
          <w:rFonts w:eastAsia="Calibri" w:cs="Times New Roman"/>
          <w:szCs w:val="24"/>
        </w:rPr>
        <w:t xml:space="preserve">De </w:t>
      </w:r>
      <w:r w:rsidRPr="00596412">
        <w:rPr>
          <w:rFonts w:eastAsia="Calibri" w:cs="Times New Roman"/>
          <w:i/>
          <w:szCs w:val="24"/>
        </w:rPr>
        <w:t>disclosure test</w:t>
      </w:r>
      <w:r w:rsidRPr="00596412">
        <w:rPr>
          <w:rFonts w:eastAsia="Calibri" w:cs="Times New Roman"/>
          <w:szCs w:val="24"/>
        </w:rPr>
        <w:t xml:space="preserve"> en het relevantiecriterium hebben </w:t>
      </w:r>
      <w:r w:rsidR="00C24A60">
        <w:rPr>
          <w:rFonts w:eastAsia="Calibri" w:cs="Times New Roman"/>
          <w:szCs w:val="24"/>
        </w:rPr>
        <w:t>een gelijke strekking</w:t>
      </w:r>
      <w:r w:rsidRPr="00596412">
        <w:rPr>
          <w:rFonts w:eastAsia="Calibri" w:cs="Times New Roman"/>
          <w:szCs w:val="24"/>
        </w:rPr>
        <w:t>;</w:t>
      </w:r>
    </w:p>
    <w:p w14:paraId="78360693" w14:textId="77777777" w:rsidR="00D91FEB" w:rsidRDefault="00984535" w:rsidP="00596412">
      <w:pPr>
        <w:numPr>
          <w:ilvl w:val="0"/>
          <w:numId w:val="5"/>
        </w:numPr>
        <w:contextualSpacing/>
        <w:rPr>
          <w:rFonts w:eastAsia="Calibri" w:cs="Times New Roman"/>
          <w:szCs w:val="24"/>
        </w:rPr>
      </w:pPr>
      <w:r w:rsidRPr="00984535">
        <w:rPr>
          <w:rFonts w:eastAsia="Calibri" w:cs="Times New Roman"/>
          <w:szCs w:val="24"/>
        </w:rPr>
        <w:t>In beide rechtsstelsels bestaan soortgelijke gronden om de verdediging de toegang tot het bewijsmateriaal in zijn geheel te onthouden</w:t>
      </w:r>
      <w:r w:rsidR="00D91FEB">
        <w:rPr>
          <w:rFonts w:eastAsia="Calibri" w:cs="Times New Roman"/>
          <w:szCs w:val="24"/>
        </w:rPr>
        <w:t>;</w:t>
      </w:r>
    </w:p>
    <w:p w14:paraId="7D8A8E28" w14:textId="015AD3C4" w:rsidR="00984535" w:rsidRPr="00D91FEB" w:rsidRDefault="00D91FEB" w:rsidP="00D91FEB">
      <w:pPr>
        <w:numPr>
          <w:ilvl w:val="0"/>
          <w:numId w:val="5"/>
        </w:numPr>
        <w:contextualSpacing/>
        <w:rPr>
          <w:rFonts w:eastAsia="Calibri" w:cs="Times New Roman"/>
          <w:szCs w:val="24"/>
        </w:rPr>
      </w:pPr>
      <w:r w:rsidRPr="00596412">
        <w:rPr>
          <w:rFonts w:eastAsia="Calibri" w:cs="Times New Roman"/>
          <w:szCs w:val="24"/>
        </w:rPr>
        <w:t>De toegang tot de volledige dataset blijft in beide rechtsstelsels achterwege;</w:t>
      </w:r>
      <w:r w:rsidR="00984535" w:rsidRPr="00D91FEB">
        <w:rPr>
          <w:rFonts w:eastAsia="Calibri" w:cs="Times New Roman"/>
          <w:szCs w:val="24"/>
        </w:rPr>
        <w:t xml:space="preserve"> </w:t>
      </w:r>
    </w:p>
    <w:p w14:paraId="0E9D3166" w14:textId="05B9BD47" w:rsidR="00596412" w:rsidRPr="00596412" w:rsidRDefault="00596412" w:rsidP="00596412">
      <w:pPr>
        <w:numPr>
          <w:ilvl w:val="0"/>
          <w:numId w:val="5"/>
        </w:numPr>
        <w:contextualSpacing/>
        <w:rPr>
          <w:rFonts w:eastAsia="Calibri" w:cs="Times New Roman"/>
          <w:szCs w:val="24"/>
        </w:rPr>
      </w:pPr>
      <w:r w:rsidRPr="00596412">
        <w:rPr>
          <w:rFonts w:eastAsia="Calibri" w:cs="Times New Roman"/>
          <w:szCs w:val="24"/>
        </w:rPr>
        <w:t xml:space="preserve">In beide </w:t>
      </w:r>
      <w:r w:rsidR="00984535">
        <w:rPr>
          <w:rFonts w:eastAsia="Calibri" w:cs="Times New Roman"/>
          <w:szCs w:val="24"/>
        </w:rPr>
        <w:t>rechts</w:t>
      </w:r>
      <w:r w:rsidRPr="00596412">
        <w:rPr>
          <w:rFonts w:eastAsia="Calibri" w:cs="Times New Roman"/>
          <w:szCs w:val="24"/>
        </w:rPr>
        <w:t>stelsels heeft de verdediging recht op toegang tot de tertiaire dataset;</w:t>
      </w:r>
    </w:p>
    <w:p w14:paraId="3F7CD632" w14:textId="77777777" w:rsidR="00596412" w:rsidRPr="00596412" w:rsidRDefault="00596412" w:rsidP="00596412">
      <w:pPr>
        <w:numPr>
          <w:ilvl w:val="0"/>
          <w:numId w:val="5"/>
        </w:numPr>
        <w:contextualSpacing/>
        <w:rPr>
          <w:rFonts w:eastAsia="Calibri" w:cs="Times New Roman"/>
          <w:szCs w:val="24"/>
        </w:rPr>
      </w:pPr>
      <w:r w:rsidRPr="00596412">
        <w:rPr>
          <w:rFonts w:eastAsia="Calibri" w:cs="Times New Roman"/>
          <w:szCs w:val="24"/>
        </w:rPr>
        <w:t>De toegang tot de secundaire dataset geschiedt op directe wijze en de verdediging is bij de totstandkoming daarvan betrokken;</w:t>
      </w:r>
    </w:p>
    <w:p w14:paraId="208C182E" w14:textId="23BD828E" w:rsidR="00596412" w:rsidRPr="00596412" w:rsidRDefault="00596412" w:rsidP="00596412">
      <w:pPr>
        <w:numPr>
          <w:ilvl w:val="0"/>
          <w:numId w:val="5"/>
        </w:numPr>
        <w:contextualSpacing/>
        <w:rPr>
          <w:rFonts w:eastAsia="Calibri" w:cs="Times New Roman"/>
          <w:szCs w:val="24"/>
        </w:rPr>
      </w:pPr>
      <w:r w:rsidRPr="00596412">
        <w:rPr>
          <w:rFonts w:eastAsia="Calibri" w:cs="Times New Roman"/>
          <w:szCs w:val="24"/>
        </w:rPr>
        <w:t xml:space="preserve">Een wettelijke regeling die ziet op </w:t>
      </w:r>
      <w:r w:rsidR="00FE444F">
        <w:rPr>
          <w:rFonts w:eastAsia="Calibri" w:cs="Times New Roman"/>
          <w:szCs w:val="24"/>
        </w:rPr>
        <w:t xml:space="preserve">de </w:t>
      </w:r>
      <w:r w:rsidRPr="00596412">
        <w:rPr>
          <w:rFonts w:eastAsia="Calibri" w:cs="Times New Roman"/>
          <w:szCs w:val="24"/>
        </w:rPr>
        <w:t>toegang tot datasets ontbreekt.</w:t>
      </w:r>
    </w:p>
    <w:p w14:paraId="39885D86" w14:textId="77777777" w:rsidR="00596412" w:rsidRPr="00596412" w:rsidRDefault="00596412" w:rsidP="00596412">
      <w:pPr>
        <w:rPr>
          <w:rFonts w:eastAsia="Calibri" w:cs="Times New Roman"/>
          <w:szCs w:val="24"/>
        </w:rPr>
      </w:pPr>
    </w:p>
    <w:p w14:paraId="3F78BC17" w14:textId="77777777" w:rsidR="00596412" w:rsidRPr="00596412" w:rsidRDefault="00596412" w:rsidP="00596412">
      <w:pPr>
        <w:rPr>
          <w:rFonts w:eastAsia="Calibri" w:cs="Times New Roman"/>
          <w:szCs w:val="24"/>
        </w:rPr>
      </w:pPr>
      <w:r w:rsidRPr="00596412">
        <w:rPr>
          <w:rFonts w:eastAsia="Calibri" w:cs="Times New Roman"/>
          <w:szCs w:val="24"/>
        </w:rPr>
        <w:t xml:space="preserve">4.1.2   </w:t>
      </w:r>
      <w:r w:rsidRPr="00596412">
        <w:rPr>
          <w:rFonts w:eastAsia="Calibri" w:cs="Times New Roman"/>
          <w:i/>
          <w:iCs/>
          <w:szCs w:val="24"/>
        </w:rPr>
        <w:t>Verschillen</w:t>
      </w:r>
    </w:p>
    <w:p w14:paraId="171C10A2" w14:textId="3BDF64EE" w:rsidR="00596412" w:rsidRPr="00596412" w:rsidRDefault="00F96728" w:rsidP="00596412">
      <w:pPr>
        <w:rPr>
          <w:rFonts w:eastAsia="Calibri" w:cs="Times New Roman"/>
          <w:szCs w:val="24"/>
        </w:rPr>
      </w:pPr>
      <w:r w:rsidRPr="00F96728">
        <w:rPr>
          <w:rFonts w:eastAsia="Calibri" w:cs="Times New Roman"/>
          <w:szCs w:val="24"/>
        </w:rPr>
        <w:t xml:space="preserve">Een eerste belangrijk verschil tussen de rechtsstelsels van Nederland en Engeland &amp; Wales betreft het inzagerecht en </w:t>
      </w:r>
      <w:r>
        <w:rPr>
          <w:rFonts w:eastAsia="Calibri" w:cs="Times New Roman"/>
          <w:i/>
          <w:iCs/>
          <w:szCs w:val="24"/>
        </w:rPr>
        <w:t xml:space="preserve">statutory </w:t>
      </w:r>
      <w:r w:rsidRPr="00F96728">
        <w:rPr>
          <w:rFonts w:eastAsia="Calibri" w:cs="Times New Roman"/>
          <w:i/>
          <w:iCs/>
          <w:szCs w:val="24"/>
        </w:rPr>
        <w:t>disclosure</w:t>
      </w:r>
      <w:r w:rsidRPr="00F96728">
        <w:rPr>
          <w:rFonts w:eastAsia="Calibri" w:cs="Times New Roman"/>
          <w:szCs w:val="24"/>
        </w:rPr>
        <w:t xml:space="preserve"> in de fase van de terechtzitting.</w:t>
      </w:r>
      <w:r w:rsidR="00596412" w:rsidRPr="00596412">
        <w:rPr>
          <w:rFonts w:eastAsia="Calibri" w:cs="Times New Roman"/>
          <w:szCs w:val="24"/>
        </w:rPr>
        <w:t xml:space="preserve"> In het Nederlandse inzagerecht geldt voor de aanvang van de terechtzitting dat de verdediging zich wendt tot de officier van justitie, die verzoeken tot inzage en/of voeging beoordeelt aan de hand van het relevantiecriterium. Wanneer de verdediging echter gedurende de terechtzitting toegang wilt krijgen tot bewijs</w:t>
      </w:r>
      <w:r w:rsidR="00EC5CD5">
        <w:rPr>
          <w:rFonts w:eastAsia="Calibri" w:cs="Times New Roman"/>
          <w:szCs w:val="24"/>
        </w:rPr>
        <w:t>materiaal</w:t>
      </w:r>
      <w:r w:rsidR="0015462D">
        <w:rPr>
          <w:rFonts w:eastAsia="Calibri" w:cs="Times New Roman"/>
          <w:szCs w:val="24"/>
        </w:rPr>
        <w:t xml:space="preserve"> (waaronder datasets)</w:t>
      </w:r>
      <w:r w:rsidR="00596412" w:rsidRPr="00596412">
        <w:rPr>
          <w:rFonts w:eastAsia="Calibri" w:cs="Times New Roman"/>
          <w:szCs w:val="24"/>
        </w:rPr>
        <w:t xml:space="preserve"> door middel van voeging, dient hij zich tot de rechter te wenden: de rechter hanteert daarbij het noodzakelijkheidscriterium, dat strenger wordt </w:t>
      </w:r>
      <w:r w:rsidR="004373E3">
        <w:rPr>
          <w:rFonts w:eastAsia="Calibri" w:cs="Times New Roman"/>
          <w:szCs w:val="24"/>
        </w:rPr>
        <w:t xml:space="preserve">gehanteerd </w:t>
      </w:r>
      <w:r w:rsidR="00596412" w:rsidRPr="00596412">
        <w:rPr>
          <w:rFonts w:eastAsia="Calibri" w:cs="Times New Roman"/>
          <w:szCs w:val="24"/>
        </w:rPr>
        <w:t xml:space="preserve">dan het relevantiecriterium. Nu </w:t>
      </w:r>
      <w:r w:rsidR="003C7F32">
        <w:rPr>
          <w:rFonts w:eastAsia="Calibri" w:cs="Times New Roman"/>
          <w:szCs w:val="24"/>
        </w:rPr>
        <w:t>het relevantiecriterium overeenkom</w:t>
      </w:r>
      <w:r w:rsidR="00596412" w:rsidRPr="00596412">
        <w:rPr>
          <w:rFonts w:eastAsia="Calibri" w:cs="Times New Roman"/>
          <w:szCs w:val="24"/>
        </w:rPr>
        <w:t xml:space="preserve">t met de </w:t>
      </w:r>
      <w:r w:rsidR="00596412" w:rsidRPr="00596412">
        <w:rPr>
          <w:rFonts w:eastAsia="Calibri" w:cs="Times New Roman"/>
          <w:i/>
          <w:iCs/>
          <w:szCs w:val="24"/>
        </w:rPr>
        <w:t>disclosure test</w:t>
      </w:r>
      <w:r w:rsidR="00596412" w:rsidRPr="00596412">
        <w:rPr>
          <w:rFonts w:eastAsia="Calibri" w:cs="Times New Roman"/>
          <w:szCs w:val="24"/>
        </w:rPr>
        <w:t>, brengt dit met zich dat het</w:t>
      </w:r>
      <w:r w:rsidR="00800466">
        <w:rPr>
          <w:rFonts w:eastAsia="Calibri" w:cs="Times New Roman"/>
          <w:szCs w:val="24"/>
        </w:rPr>
        <w:t xml:space="preserve"> noodzakelijkheidscriterium </w:t>
      </w:r>
      <w:r w:rsidR="00596412" w:rsidRPr="00596412">
        <w:rPr>
          <w:rFonts w:eastAsia="Calibri" w:cs="Times New Roman"/>
          <w:szCs w:val="24"/>
        </w:rPr>
        <w:t xml:space="preserve">strenger is dan de maatstraf voor </w:t>
      </w:r>
      <w:r w:rsidR="00596412" w:rsidRPr="00596412">
        <w:rPr>
          <w:rFonts w:eastAsia="Calibri" w:cs="Times New Roman"/>
          <w:i/>
          <w:iCs/>
          <w:szCs w:val="24"/>
        </w:rPr>
        <w:t>statutory disclosure</w:t>
      </w:r>
      <w:r w:rsidR="00596412" w:rsidRPr="00596412">
        <w:rPr>
          <w:rFonts w:eastAsia="Calibri" w:cs="Times New Roman"/>
          <w:szCs w:val="24"/>
        </w:rPr>
        <w:t xml:space="preserve">. In Engeland &amp; Wales geldt in de fase van de terechtzitting dat dikwijls </w:t>
      </w:r>
      <w:r w:rsidR="0007519F">
        <w:rPr>
          <w:rFonts w:eastAsia="Calibri" w:cs="Times New Roman"/>
          <w:szCs w:val="24"/>
        </w:rPr>
        <w:t xml:space="preserve">reeds </w:t>
      </w:r>
      <w:r w:rsidR="00596412" w:rsidRPr="00596412">
        <w:rPr>
          <w:rFonts w:eastAsia="Calibri" w:cs="Times New Roman"/>
          <w:szCs w:val="24"/>
        </w:rPr>
        <w:t xml:space="preserve">sprake zal zijn geweest van de initiële verplichting tot </w:t>
      </w:r>
      <w:r w:rsidR="00596412" w:rsidRPr="00596412">
        <w:rPr>
          <w:rFonts w:eastAsia="Calibri" w:cs="Times New Roman"/>
          <w:i/>
          <w:iCs/>
          <w:szCs w:val="24"/>
        </w:rPr>
        <w:t>statutory disclosure</w:t>
      </w:r>
      <w:r w:rsidR="00596412" w:rsidRPr="00596412">
        <w:rPr>
          <w:rFonts w:eastAsia="Calibri" w:cs="Times New Roman"/>
          <w:szCs w:val="24"/>
        </w:rPr>
        <w:t xml:space="preserve">. Gedurende de terechtzitting zal </w:t>
      </w:r>
      <w:r w:rsidR="00800466">
        <w:rPr>
          <w:rFonts w:eastAsia="Calibri" w:cs="Times New Roman"/>
          <w:szCs w:val="24"/>
        </w:rPr>
        <w:t xml:space="preserve">het </w:t>
      </w:r>
      <w:r w:rsidR="00596412" w:rsidRPr="00596412">
        <w:rPr>
          <w:rFonts w:eastAsia="Calibri" w:cs="Times New Roman"/>
          <w:szCs w:val="24"/>
        </w:rPr>
        <w:t xml:space="preserve">dan vaker gaan om </w:t>
      </w:r>
      <w:r w:rsidR="00596412" w:rsidRPr="00596412">
        <w:rPr>
          <w:rFonts w:eastAsia="Calibri" w:cs="Times New Roman"/>
          <w:i/>
          <w:iCs/>
          <w:szCs w:val="24"/>
        </w:rPr>
        <w:t>continuing disclosure</w:t>
      </w:r>
      <w:r w:rsidR="00596412" w:rsidRPr="00596412">
        <w:rPr>
          <w:rFonts w:eastAsia="Calibri" w:cs="Times New Roman"/>
          <w:szCs w:val="24"/>
        </w:rPr>
        <w:t xml:space="preserve"> door de prosecutor of om een verzoek tot nadere </w:t>
      </w:r>
      <w:r w:rsidR="00596412" w:rsidRPr="00596412">
        <w:rPr>
          <w:rFonts w:eastAsia="Calibri" w:cs="Times New Roman"/>
          <w:i/>
          <w:iCs/>
          <w:szCs w:val="24"/>
        </w:rPr>
        <w:t>disclosure</w:t>
      </w:r>
      <w:r w:rsidR="00596412" w:rsidRPr="00596412">
        <w:rPr>
          <w:rFonts w:eastAsia="Calibri" w:cs="Times New Roman"/>
          <w:szCs w:val="24"/>
        </w:rPr>
        <w:t xml:space="preserve"> bij de rechter. In deze gevallen wordt echter nog steeds de </w:t>
      </w:r>
      <w:r w:rsidR="00596412" w:rsidRPr="00596412">
        <w:rPr>
          <w:rFonts w:eastAsia="Calibri" w:cs="Times New Roman"/>
          <w:i/>
          <w:iCs/>
          <w:szCs w:val="24"/>
        </w:rPr>
        <w:t>disclosure test</w:t>
      </w:r>
      <w:r w:rsidR="00596412" w:rsidRPr="00596412">
        <w:rPr>
          <w:rFonts w:eastAsia="Calibri" w:cs="Times New Roman"/>
          <w:szCs w:val="24"/>
        </w:rPr>
        <w:t xml:space="preserve"> gehanteerd. In de fase van de terechtzitting hanteert het Nederlandse strafprocesrecht dus een strenger criterium tot het krijgen van toegang tot </w:t>
      </w:r>
      <w:r w:rsidR="00DA22B7">
        <w:rPr>
          <w:rFonts w:eastAsia="Calibri" w:cs="Times New Roman"/>
          <w:szCs w:val="24"/>
        </w:rPr>
        <w:t>datasets</w:t>
      </w:r>
      <w:r w:rsidR="003D6EEE">
        <w:rPr>
          <w:rFonts w:eastAsia="Calibri" w:cs="Times New Roman"/>
          <w:szCs w:val="24"/>
        </w:rPr>
        <w:t xml:space="preserve"> </w:t>
      </w:r>
      <w:r w:rsidR="00596412" w:rsidRPr="00596412">
        <w:rPr>
          <w:rFonts w:eastAsia="Calibri" w:cs="Times New Roman"/>
          <w:szCs w:val="24"/>
        </w:rPr>
        <w:t>dan</w:t>
      </w:r>
      <w:r w:rsidR="00D248D6">
        <w:rPr>
          <w:rFonts w:eastAsia="Calibri" w:cs="Times New Roman"/>
          <w:szCs w:val="24"/>
        </w:rPr>
        <w:t xml:space="preserve"> </w:t>
      </w:r>
      <w:r w:rsidR="00596412" w:rsidRPr="00596412">
        <w:rPr>
          <w:rFonts w:eastAsia="Calibri" w:cs="Times New Roman"/>
          <w:szCs w:val="24"/>
        </w:rPr>
        <w:t>Engeland &amp; Wales.</w:t>
      </w:r>
    </w:p>
    <w:p w14:paraId="2AB6D591" w14:textId="0EABDDBC" w:rsidR="00596412" w:rsidRPr="00596412" w:rsidRDefault="00596412" w:rsidP="00596412">
      <w:pPr>
        <w:contextualSpacing/>
        <w:rPr>
          <w:rFonts w:eastAsia="Calibri" w:cs="Times New Roman"/>
          <w:szCs w:val="24"/>
        </w:rPr>
      </w:pPr>
      <w:r w:rsidRPr="00596412">
        <w:rPr>
          <w:rFonts w:eastAsia="Calibri" w:cs="Times New Roman"/>
          <w:szCs w:val="24"/>
        </w:rPr>
        <w:lastRenderedPageBreak/>
        <w:t xml:space="preserve">Ten aanzien van het inzagerecht en de toegang tot datasets bestaat er nog een </w:t>
      </w:r>
      <w:r w:rsidR="00C10A41">
        <w:rPr>
          <w:rFonts w:eastAsia="Calibri" w:cs="Times New Roman"/>
          <w:szCs w:val="24"/>
        </w:rPr>
        <w:t>tweede belangrijk</w:t>
      </w:r>
      <w:r w:rsidRPr="00596412">
        <w:rPr>
          <w:rFonts w:eastAsia="Calibri" w:cs="Times New Roman"/>
          <w:szCs w:val="24"/>
        </w:rPr>
        <w:t xml:space="preserve"> verschil: het is in Engeland &amp; Wales </w:t>
      </w:r>
      <w:r w:rsidR="008F14A3">
        <w:rPr>
          <w:rFonts w:eastAsia="Calibri" w:cs="Times New Roman"/>
          <w:szCs w:val="24"/>
        </w:rPr>
        <w:t>voor de verdediging</w:t>
      </w:r>
      <w:r w:rsidRPr="00596412">
        <w:rPr>
          <w:rFonts w:eastAsia="Calibri" w:cs="Times New Roman"/>
          <w:szCs w:val="24"/>
        </w:rPr>
        <w:t xml:space="preserve"> mogelijk om toegang tot </w:t>
      </w:r>
      <w:r w:rsidR="00F40823">
        <w:rPr>
          <w:rFonts w:eastAsia="Calibri" w:cs="Times New Roman"/>
          <w:szCs w:val="24"/>
        </w:rPr>
        <w:t xml:space="preserve">datasets </w:t>
      </w:r>
      <w:r w:rsidRPr="00596412">
        <w:rPr>
          <w:rFonts w:eastAsia="Calibri" w:cs="Times New Roman"/>
          <w:szCs w:val="24"/>
        </w:rPr>
        <w:t xml:space="preserve">te krijgen op grond van </w:t>
      </w:r>
      <w:r w:rsidR="008D3353">
        <w:rPr>
          <w:rFonts w:eastAsia="Calibri" w:cs="Times New Roman"/>
          <w:szCs w:val="24"/>
        </w:rPr>
        <w:t>zelfstandige bewijsgaring</w:t>
      </w:r>
      <w:r w:rsidRPr="00596412">
        <w:rPr>
          <w:rFonts w:eastAsia="Calibri" w:cs="Times New Roman"/>
          <w:szCs w:val="24"/>
        </w:rPr>
        <w:t xml:space="preserve">. Derde partijen kunnen op verzoek </w:t>
      </w:r>
      <w:r w:rsidR="007D01D3">
        <w:rPr>
          <w:rFonts w:eastAsia="Calibri" w:cs="Times New Roman"/>
          <w:szCs w:val="24"/>
        </w:rPr>
        <w:t>van de verdediging vrijwillig een</w:t>
      </w:r>
      <w:r w:rsidRPr="00596412">
        <w:rPr>
          <w:rFonts w:eastAsia="Calibri" w:cs="Times New Roman"/>
          <w:szCs w:val="24"/>
        </w:rPr>
        <w:t xml:space="preserve"> dataset overhandigen zodat deze kan worden ingebracht in de procedure. Wanneer </w:t>
      </w:r>
      <w:r w:rsidR="007D01D3">
        <w:rPr>
          <w:rFonts w:eastAsia="Calibri" w:cs="Times New Roman"/>
          <w:szCs w:val="24"/>
        </w:rPr>
        <w:t>zo’n</w:t>
      </w:r>
      <w:r w:rsidRPr="00596412">
        <w:rPr>
          <w:rFonts w:eastAsia="Calibri" w:cs="Times New Roman"/>
          <w:szCs w:val="24"/>
        </w:rPr>
        <w:t xml:space="preserve"> partij niet wil overgaan tot afgifte van het verlangde bewijsmateriaal, staat het de verdediging vrij om te </w:t>
      </w:r>
      <w:r w:rsidR="00A13834">
        <w:rPr>
          <w:rFonts w:eastAsia="Calibri" w:cs="Times New Roman"/>
          <w:szCs w:val="24"/>
        </w:rPr>
        <w:t>proberen</w:t>
      </w:r>
      <w:r w:rsidRPr="00596412">
        <w:rPr>
          <w:rFonts w:eastAsia="Calibri" w:cs="Times New Roman"/>
          <w:szCs w:val="24"/>
        </w:rPr>
        <w:t xml:space="preserve"> dit alsnog te verkrijgen middels een </w:t>
      </w:r>
      <w:r w:rsidRPr="00596412">
        <w:rPr>
          <w:rFonts w:eastAsia="Calibri" w:cs="Times New Roman"/>
          <w:i/>
          <w:iCs/>
          <w:szCs w:val="24"/>
        </w:rPr>
        <w:t>witness summons</w:t>
      </w:r>
      <w:r w:rsidRPr="00596412">
        <w:rPr>
          <w:rFonts w:eastAsia="Calibri" w:cs="Times New Roman"/>
          <w:szCs w:val="24"/>
        </w:rPr>
        <w:t xml:space="preserve">. De aanvraag voor een </w:t>
      </w:r>
      <w:r w:rsidRPr="00596412">
        <w:rPr>
          <w:rFonts w:eastAsia="Calibri" w:cs="Times New Roman"/>
          <w:i/>
          <w:iCs/>
          <w:szCs w:val="24"/>
        </w:rPr>
        <w:t>witness summons</w:t>
      </w:r>
      <w:r w:rsidRPr="00596412">
        <w:rPr>
          <w:rFonts w:eastAsia="Calibri" w:cs="Times New Roman"/>
          <w:szCs w:val="24"/>
        </w:rPr>
        <w:t xml:space="preserve"> moet via de rechter geschieden, die zal beoordelen of het </w:t>
      </w:r>
      <w:r w:rsidR="00125A67">
        <w:rPr>
          <w:rFonts w:eastAsia="Calibri" w:cs="Times New Roman"/>
          <w:szCs w:val="24"/>
        </w:rPr>
        <w:t>‘</w:t>
      </w:r>
      <w:r w:rsidRPr="00596412">
        <w:rPr>
          <w:rFonts w:eastAsia="Calibri" w:cs="Times New Roman"/>
          <w:szCs w:val="24"/>
        </w:rPr>
        <w:t>in the interest of justice</w:t>
      </w:r>
      <w:r w:rsidR="00125A67">
        <w:rPr>
          <w:rFonts w:eastAsia="Calibri" w:cs="Times New Roman"/>
          <w:szCs w:val="24"/>
        </w:rPr>
        <w:t>’</w:t>
      </w:r>
      <w:r w:rsidRPr="00596412">
        <w:rPr>
          <w:rFonts w:eastAsia="Calibri" w:cs="Times New Roman"/>
          <w:szCs w:val="24"/>
        </w:rPr>
        <w:t xml:space="preserve"> is om een bevel uit te vaardigen. Bij zo’n bevel dient de derde partij het </w:t>
      </w:r>
      <w:r w:rsidR="008F14A3">
        <w:rPr>
          <w:rFonts w:eastAsia="Calibri" w:cs="Times New Roman"/>
          <w:szCs w:val="24"/>
        </w:rPr>
        <w:t>gevraagde</w:t>
      </w:r>
      <w:r w:rsidRPr="00596412">
        <w:rPr>
          <w:rFonts w:eastAsia="Calibri" w:cs="Times New Roman"/>
          <w:szCs w:val="24"/>
        </w:rPr>
        <w:t xml:space="preserve"> bewijsmateriaal te verstrekken. </w:t>
      </w:r>
      <w:r w:rsidR="0037435A">
        <w:rPr>
          <w:rFonts w:eastAsia="Calibri" w:cs="Times New Roman"/>
          <w:szCs w:val="24"/>
        </w:rPr>
        <w:t>In het rechtsstelsel van Nederland bestaat er geen mogelijkheid om door middel van zelfstandige bewijsgaring toegang te krijgen tot bewijsmateriaal.</w:t>
      </w:r>
    </w:p>
    <w:p w14:paraId="41AC1680" w14:textId="77777777" w:rsidR="00305A29" w:rsidRDefault="00305A29" w:rsidP="00596412">
      <w:pPr>
        <w:contextualSpacing/>
        <w:rPr>
          <w:rFonts w:eastAsia="Calibri" w:cs="Times New Roman"/>
          <w:szCs w:val="24"/>
        </w:rPr>
      </w:pPr>
    </w:p>
    <w:p w14:paraId="3E8FBA89" w14:textId="4579F8C8" w:rsidR="00305A29" w:rsidRDefault="00305A29" w:rsidP="00596412">
      <w:pPr>
        <w:contextualSpacing/>
        <w:rPr>
          <w:rFonts w:eastAsia="Calibri" w:cs="Times New Roman"/>
          <w:szCs w:val="24"/>
        </w:rPr>
      </w:pPr>
      <w:r w:rsidRPr="00305A29">
        <w:rPr>
          <w:rFonts w:eastAsia="Calibri" w:cs="Times New Roman"/>
          <w:szCs w:val="24"/>
        </w:rPr>
        <w:t>Het derde verschil ligt in het verlengde hiervan en betreft de wijze waarop de verdediging bewijsmateriaal en datasets kan onderzoeken.</w:t>
      </w:r>
      <w:r w:rsidR="000C787D">
        <w:rPr>
          <w:rFonts w:eastAsia="Calibri" w:cs="Times New Roman"/>
          <w:szCs w:val="24"/>
        </w:rPr>
        <w:t xml:space="preserve"> In principe is het onderzoek in beide rechtsstelsels vrij ingericht.</w:t>
      </w:r>
      <w:r w:rsidRPr="00305A29">
        <w:rPr>
          <w:rFonts w:eastAsia="Calibri" w:cs="Times New Roman"/>
          <w:szCs w:val="24"/>
        </w:rPr>
        <w:t xml:space="preserve"> Uit de zaak </w:t>
      </w:r>
      <w:r w:rsidRPr="005F4EC6">
        <w:rPr>
          <w:rFonts w:eastAsia="Calibri" w:cs="Times New Roman"/>
          <w:i/>
          <w:iCs/>
          <w:szCs w:val="24"/>
        </w:rPr>
        <w:t>R. v Richards</w:t>
      </w:r>
      <w:r w:rsidRPr="00305A29">
        <w:rPr>
          <w:rFonts w:eastAsia="Calibri" w:cs="Times New Roman"/>
          <w:szCs w:val="24"/>
        </w:rPr>
        <w:t xml:space="preserve"> is gebleken dat justitie geen eigen onderzoeksprogramma heeft zoals Hansken, maar gebruikmaakt van particuliere software. Hetzelfde geldt voor de verdediging: aan hen ligt de keuze om een onderzoeksprogramma te gebruiken. Bovendien dient de verdediging zichzelf ook wegwijs te maken in het gebruik van dat onderzoeksprogramma</w:t>
      </w:r>
      <w:r w:rsidR="00F21009">
        <w:rPr>
          <w:rFonts w:eastAsia="Calibri" w:cs="Times New Roman"/>
          <w:szCs w:val="24"/>
        </w:rPr>
        <w:t>.</w:t>
      </w:r>
      <w:r w:rsidR="000C787D">
        <w:rPr>
          <w:rFonts w:eastAsia="Calibri" w:cs="Times New Roman"/>
          <w:szCs w:val="24"/>
        </w:rPr>
        <w:t xml:space="preserve"> In Nederland krijgt de verdediging echter toegang tot hetzelfde onderzoeksprogramma als het OM, en bestaat er een cursus voor advocaten om effectief van Hansken gebruik te kunnen maken. Hoewel de verdachte in beide rechtsstelsels dus afhankelijk is van een advocaat met voldoende ervaring, tijd en middelen om onderzoek te verrichten, worden de lasten van deze advocaat in Nederland verlicht.</w:t>
      </w:r>
    </w:p>
    <w:p w14:paraId="730D870E" w14:textId="77777777" w:rsidR="009724C8" w:rsidRPr="00596412" w:rsidRDefault="009724C8" w:rsidP="00596412">
      <w:pPr>
        <w:contextualSpacing/>
        <w:rPr>
          <w:rFonts w:eastAsia="Calibri" w:cs="Times New Roman"/>
          <w:szCs w:val="24"/>
        </w:rPr>
      </w:pPr>
    </w:p>
    <w:p w14:paraId="1BC3CDA9" w14:textId="5E4962E8" w:rsidR="00596412" w:rsidRPr="00596412" w:rsidRDefault="00596412" w:rsidP="00596412">
      <w:pPr>
        <w:contextualSpacing/>
        <w:rPr>
          <w:rFonts w:eastAsia="Calibri" w:cs="Times New Roman"/>
          <w:szCs w:val="24"/>
        </w:rPr>
      </w:pPr>
      <w:r w:rsidRPr="00596412">
        <w:rPr>
          <w:rFonts w:eastAsia="Calibri" w:cs="Times New Roman"/>
          <w:szCs w:val="24"/>
        </w:rPr>
        <w:t xml:space="preserve">De regeling van </w:t>
      </w:r>
      <w:r w:rsidRPr="00596412">
        <w:rPr>
          <w:rFonts w:eastAsia="Calibri" w:cs="Times New Roman"/>
          <w:i/>
          <w:iCs/>
          <w:szCs w:val="24"/>
        </w:rPr>
        <w:t>disclosure</w:t>
      </w:r>
      <w:r w:rsidRPr="00596412">
        <w:rPr>
          <w:rFonts w:eastAsia="Calibri" w:cs="Times New Roman"/>
          <w:szCs w:val="24"/>
        </w:rPr>
        <w:t xml:space="preserve"> bevat verder twee aspecten die niet terug zijn te vinden in het Nederlandse strafprocesrecht. De eerste </w:t>
      </w:r>
      <w:r w:rsidRPr="00803D4D">
        <w:rPr>
          <w:rFonts w:eastAsia="Calibri" w:cs="Times New Roman"/>
          <w:szCs w:val="24"/>
        </w:rPr>
        <w:t>daarvan</w:t>
      </w:r>
      <w:r w:rsidR="004C15A5" w:rsidRPr="00803D4D">
        <w:rPr>
          <w:rFonts w:eastAsia="Calibri" w:cs="Times New Roman"/>
          <w:szCs w:val="24"/>
        </w:rPr>
        <w:t xml:space="preserve"> – </w:t>
      </w:r>
      <w:r w:rsidR="00B828A6">
        <w:rPr>
          <w:rFonts w:eastAsia="Calibri" w:cs="Times New Roman"/>
          <w:szCs w:val="24"/>
        </w:rPr>
        <w:t>een vierde verschil tussen beide rechtsstelsels</w:t>
      </w:r>
      <w:r w:rsidR="004C15A5" w:rsidRPr="00803D4D">
        <w:rPr>
          <w:rFonts w:eastAsia="Calibri" w:cs="Times New Roman"/>
          <w:szCs w:val="24"/>
        </w:rPr>
        <w:t xml:space="preserve"> –</w:t>
      </w:r>
      <w:r w:rsidRPr="00803D4D">
        <w:rPr>
          <w:rFonts w:eastAsia="Calibri" w:cs="Times New Roman"/>
          <w:szCs w:val="24"/>
        </w:rPr>
        <w:t xml:space="preserve"> is</w:t>
      </w:r>
      <w:r w:rsidRPr="00596412">
        <w:rPr>
          <w:rFonts w:eastAsia="Calibri" w:cs="Times New Roman"/>
          <w:szCs w:val="24"/>
        </w:rPr>
        <w:t xml:space="preserve"> </w:t>
      </w:r>
      <w:r w:rsidRPr="00596412">
        <w:rPr>
          <w:rFonts w:eastAsia="Calibri" w:cs="Times New Roman"/>
          <w:i/>
          <w:iCs/>
          <w:szCs w:val="24"/>
        </w:rPr>
        <w:t>pre-charge engagement</w:t>
      </w:r>
      <w:r w:rsidRPr="00596412">
        <w:rPr>
          <w:rFonts w:eastAsia="Calibri" w:cs="Times New Roman"/>
          <w:szCs w:val="24"/>
        </w:rPr>
        <w:t xml:space="preserve">, waarmee zowel de prosecutor als de verdediging het initiatief kunnen nemen tot gezamenlijk overleg om afspraken met elkaar te maken die onder meer gaan over </w:t>
      </w:r>
      <w:r w:rsidRPr="00596412">
        <w:rPr>
          <w:rFonts w:eastAsia="Calibri" w:cs="Times New Roman"/>
          <w:i/>
          <w:iCs/>
          <w:szCs w:val="24"/>
        </w:rPr>
        <w:t>disclosure</w:t>
      </w:r>
      <w:r w:rsidRPr="00596412">
        <w:rPr>
          <w:rFonts w:eastAsia="Calibri" w:cs="Times New Roman"/>
          <w:szCs w:val="24"/>
        </w:rPr>
        <w:t xml:space="preserve">. Een vorm daarvan die uitdrukkelijk wordt genoemd in de richtlijn van de Attorney General is dat de verdediging zoektermen aanlevert waarmee de primaire dataset kan worden onderzocht. Dit valt ook in het Nederlandse recht terug te zien in vaste jurisprudentie. </w:t>
      </w:r>
      <w:r w:rsidRPr="00596412">
        <w:rPr>
          <w:rFonts w:eastAsia="Calibri" w:cs="Times New Roman"/>
          <w:i/>
          <w:iCs/>
          <w:szCs w:val="24"/>
        </w:rPr>
        <w:t xml:space="preserve">Pre-charge engagement </w:t>
      </w:r>
      <w:r w:rsidRPr="00596412">
        <w:rPr>
          <w:rFonts w:eastAsia="Calibri" w:cs="Times New Roman"/>
          <w:szCs w:val="24"/>
        </w:rPr>
        <w:t xml:space="preserve">beslaat echter een breder terrein van vormen die in het Nederlandse recht niet terug zijn te vinden: er bestaat geen mogelijkheid op grond van de wet of jurisprudentie om met elkaar in overleg te treden om de nadere koers van het vooronderzoek te bepalen en/of deze te beïnvloeden. Daarnaast blijkt niet uit jurisprudentie en literatuur dat het voorgaande geschiedt op informele basis. Bepaalde voorbeelden van </w:t>
      </w:r>
      <w:r w:rsidRPr="00596412">
        <w:rPr>
          <w:rFonts w:eastAsia="Calibri" w:cs="Times New Roman"/>
          <w:i/>
          <w:iCs/>
          <w:szCs w:val="24"/>
        </w:rPr>
        <w:t>pre-charge engagement</w:t>
      </w:r>
      <w:r w:rsidRPr="00596412">
        <w:rPr>
          <w:rFonts w:eastAsia="Calibri" w:cs="Times New Roman"/>
          <w:szCs w:val="24"/>
        </w:rPr>
        <w:t>, zoals het benoemen van mogelijke getuigen en het aanleveren van encryptiewachtwoorden, doen echter wel denken aan mogelijke voorstellen die in het kader van het Nederlandse figuur van procesafspraken worden gemaakt.</w:t>
      </w:r>
    </w:p>
    <w:p w14:paraId="4E707CFE" w14:textId="77777777" w:rsidR="001F7FC9" w:rsidRPr="00596412" w:rsidRDefault="001F7FC9" w:rsidP="00596412">
      <w:pPr>
        <w:contextualSpacing/>
        <w:rPr>
          <w:rFonts w:eastAsia="Calibri" w:cs="Times New Roman"/>
          <w:szCs w:val="24"/>
        </w:rPr>
      </w:pPr>
    </w:p>
    <w:p w14:paraId="6A2E28BC" w14:textId="3C428A72" w:rsidR="00596412" w:rsidRPr="00596412" w:rsidRDefault="00E831B9" w:rsidP="00596412">
      <w:pPr>
        <w:contextualSpacing/>
        <w:rPr>
          <w:rFonts w:eastAsia="Calibri" w:cs="Times New Roman"/>
          <w:szCs w:val="24"/>
        </w:rPr>
      </w:pPr>
      <w:r>
        <w:rPr>
          <w:rFonts w:eastAsia="Calibri" w:cs="Times New Roman"/>
          <w:szCs w:val="24"/>
        </w:rPr>
        <w:lastRenderedPageBreak/>
        <w:t xml:space="preserve">Het </w:t>
      </w:r>
      <w:r w:rsidR="00B87B0C">
        <w:rPr>
          <w:rFonts w:eastAsia="Calibri" w:cs="Times New Roman"/>
          <w:szCs w:val="24"/>
        </w:rPr>
        <w:t>vijfde</w:t>
      </w:r>
      <w:r>
        <w:rPr>
          <w:rFonts w:eastAsia="Calibri" w:cs="Times New Roman"/>
          <w:szCs w:val="24"/>
        </w:rPr>
        <w:t xml:space="preserve"> verschil betreft </w:t>
      </w:r>
      <w:r w:rsidR="00D92DA4">
        <w:rPr>
          <w:rFonts w:eastAsia="Calibri" w:cs="Times New Roman"/>
          <w:szCs w:val="24"/>
        </w:rPr>
        <w:t>het</w:t>
      </w:r>
      <w:r>
        <w:rPr>
          <w:rFonts w:eastAsia="Calibri" w:cs="Times New Roman"/>
          <w:szCs w:val="24"/>
        </w:rPr>
        <w:t xml:space="preserve"> ander</w:t>
      </w:r>
      <w:r w:rsidR="00D92DA4">
        <w:rPr>
          <w:rFonts w:eastAsia="Calibri" w:cs="Times New Roman"/>
          <w:szCs w:val="24"/>
        </w:rPr>
        <w:t>e</w:t>
      </w:r>
      <w:r>
        <w:rPr>
          <w:rFonts w:eastAsia="Calibri" w:cs="Times New Roman"/>
          <w:szCs w:val="24"/>
        </w:rPr>
        <w:t xml:space="preserve"> aspect van </w:t>
      </w:r>
      <w:r w:rsidRPr="00596412">
        <w:rPr>
          <w:rFonts w:eastAsia="Calibri" w:cs="Times New Roman"/>
          <w:i/>
          <w:szCs w:val="24"/>
        </w:rPr>
        <w:t>disclosure</w:t>
      </w:r>
      <w:r w:rsidRPr="00596412">
        <w:rPr>
          <w:rFonts w:eastAsia="Calibri" w:cs="Times New Roman"/>
          <w:szCs w:val="24"/>
        </w:rPr>
        <w:t xml:space="preserve"> dat in de Nederlandse regeling niet terug valt te zien</w:t>
      </w:r>
      <w:r>
        <w:rPr>
          <w:rFonts w:eastAsia="Calibri" w:cs="Times New Roman"/>
          <w:szCs w:val="24"/>
        </w:rPr>
        <w:t xml:space="preserve">: </w:t>
      </w:r>
      <w:r w:rsidRPr="00596412">
        <w:rPr>
          <w:rFonts w:eastAsia="Calibri" w:cs="Times New Roman"/>
          <w:szCs w:val="24"/>
        </w:rPr>
        <w:t xml:space="preserve">de </w:t>
      </w:r>
      <w:r w:rsidRPr="00596412">
        <w:rPr>
          <w:rFonts w:eastAsia="Calibri" w:cs="Times New Roman"/>
          <w:i/>
          <w:iCs/>
          <w:szCs w:val="24"/>
        </w:rPr>
        <w:t>defence disclosure</w:t>
      </w:r>
      <w:r w:rsidRPr="00596412">
        <w:rPr>
          <w:rFonts w:eastAsia="Calibri" w:cs="Times New Roman"/>
          <w:szCs w:val="24"/>
        </w:rPr>
        <w:t>.</w:t>
      </w:r>
      <w:r>
        <w:rPr>
          <w:rFonts w:eastAsia="Calibri" w:cs="Times New Roman"/>
          <w:szCs w:val="24"/>
        </w:rPr>
        <w:t xml:space="preserve"> </w:t>
      </w:r>
      <w:r w:rsidR="00596412" w:rsidRPr="00596412">
        <w:rPr>
          <w:rFonts w:eastAsia="Calibri" w:cs="Times New Roman"/>
          <w:szCs w:val="24"/>
        </w:rPr>
        <w:t xml:space="preserve">Hiermee wordt de verdachte verplicht om in een vroeg stadium aan te kaarten waarop hij zijn verdediging gaat voeren en welke geschilpunten er volgens hem bestaan. Daarmee is het voor de prosecutor direct waarneembaar wat de omvang van het geding wordt, hoe hij de </w:t>
      </w:r>
      <w:r w:rsidR="00596412" w:rsidRPr="00596412">
        <w:rPr>
          <w:rFonts w:eastAsia="Calibri" w:cs="Times New Roman"/>
          <w:i/>
          <w:szCs w:val="24"/>
        </w:rPr>
        <w:t>disclosure test</w:t>
      </w:r>
      <w:r w:rsidR="00596412" w:rsidRPr="00596412">
        <w:rPr>
          <w:rFonts w:eastAsia="Calibri" w:cs="Times New Roman"/>
          <w:szCs w:val="24"/>
        </w:rPr>
        <w:t xml:space="preserve"> moet toepassen en welke </w:t>
      </w:r>
      <w:r w:rsidR="00596412" w:rsidRPr="00596412">
        <w:rPr>
          <w:rFonts w:eastAsia="Calibri" w:cs="Times New Roman"/>
          <w:i/>
          <w:szCs w:val="24"/>
        </w:rPr>
        <w:t>reasonable lines of enquiry</w:t>
      </w:r>
      <w:r w:rsidR="00596412" w:rsidRPr="00596412">
        <w:rPr>
          <w:rFonts w:eastAsia="Calibri" w:cs="Times New Roman"/>
          <w:szCs w:val="24"/>
        </w:rPr>
        <w:t xml:space="preserve"> hij dient te volgen. Hiermee wordt het strafproces niet alleen een stuk efficiënter, maar ook kan de verdediging na het geven van een </w:t>
      </w:r>
      <w:r w:rsidR="00596412" w:rsidRPr="00596412">
        <w:rPr>
          <w:rFonts w:eastAsia="Calibri" w:cs="Times New Roman"/>
          <w:i/>
          <w:szCs w:val="24"/>
        </w:rPr>
        <w:t>defence statement</w:t>
      </w:r>
      <w:r w:rsidR="00596412" w:rsidRPr="00596412">
        <w:rPr>
          <w:rFonts w:eastAsia="Calibri" w:cs="Times New Roman"/>
          <w:szCs w:val="24"/>
        </w:rPr>
        <w:t xml:space="preserve"> de rechter om nadere </w:t>
      </w:r>
      <w:r w:rsidR="00596412" w:rsidRPr="00596412">
        <w:rPr>
          <w:rFonts w:eastAsia="Calibri" w:cs="Times New Roman"/>
          <w:i/>
          <w:szCs w:val="24"/>
        </w:rPr>
        <w:t>disclosure</w:t>
      </w:r>
      <w:r w:rsidR="00596412" w:rsidRPr="00596412">
        <w:rPr>
          <w:rFonts w:eastAsia="Calibri" w:cs="Times New Roman"/>
          <w:szCs w:val="24"/>
        </w:rPr>
        <w:t xml:space="preserve"> verzoeken. In zaken bij het magistrates’ court is </w:t>
      </w:r>
      <w:r w:rsidR="00F6463D">
        <w:rPr>
          <w:rFonts w:eastAsia="Calibri" w:cs="Times New Roman"/>
          <w:szCs w:val="24"/>
        </w:rPr>
        <w:t xml:space="preserve">de </w:t>
      </w:r>
      <w:r w:rsidR="00596412" w:rsidRPr="00596412">
        <w:rPr>
          <w:rFonts w:eastAsia="Calibri" w:cs="Times New Roman"/>
          <w:i/>
          <w:szCs w:val="24"/>
        </w:rPr>
        <w:t>defence disclosure</w:t>
      </w:r>
      <w:r w:rsidR="00596412" w:rsidRPr="00596412">
        <w:rPr>
          <w:rFonts w:eastAsia="Calibri" w:cs="Times New Roman"/>
          <w:szCs w:val="24"/>
        </w:rPr>
        <w:t xml:space="preserve"> niet verplicht, maar dan loopt de verdediging de voornoemde mogelijkheid tot het verzoeken van nadere </w:t>
      </w:r>
      <w:r w:rsidR="00596412" w:rsidRPr="00596412">
        <w:rPr>
          <w:rFonts w:eastAsia="Calibri" w:cs="Times New Roman"/>
          <w:i/>
          <w:szCs w:val="24"/>
        </w:rPr>
        <w:t>disclosure</w:t>
      </w:r>
      <w:r w:rsidR="00596412" w:rsidRPr="00596412">
        <w:rPr>
          <w:rFonts w:eastAsia="Calibri" w:cs="Times New Roman"/>
          <w:szCs w:val="24"/>
        </w:rPr>
        <w:t xml:space="preserve"> mis. In de Nederlandse regeling werkt dit anders: in het vooronderzoek moet de verdediging zich wenden tot de officier van justitie, maar op de terechtzitting moet hij juist bij de rechter zijn. Het geven van een </w:t>
      </w:r>
      <w:r w:rsidR="00596412" w:rsidRPr="00596412">
        <w:rPr>
          <w:rFonts w:eastAsia="Calibri" w:cs="Times New Roman"/>
          <w:i/>
          <w:iCs/>
          <w:szCs w:val="24"/>
        </w:rPr>
        <w:t>defence statement</w:t>
      </w:r>
      <w:r w:rsidR="00596412" w:rsidRPr="00596412">
        <w:rPr>
          <w:rFonts w:eastAsia="Calibri" w:cs="Times New Roman"/>
          <w:szCs w:val="24"/>
        </w:rPr>
        <w:t xml:space="preserve"> is in Nederland ook niet nodig om inzage of voeging van nadere processtukken te verzoeken.</w:t>
      </w:r>
    </w:p>
    <w:p w14:paraId="07DDA19F" w14:textId="77777777" w:rsidR="00596412" w:rsidRPr="00596412" w:rsidRDefault="00596412" w:rsidP="00596412">
      <w:pPr>
        <w:contextualSpacing/>
        <w:rPr>
          <w:rFonts w:eastAsia="Calibri" w:cs="Times New Roman"/>
          <w:szCs w:val="24"/>
        </w:rPr>
      </w:pPr>
    </w:p>
    <w:p w14:paraId="5C8E04C3" w14:textId="561D2880" w:rsidR="00596412" w:rsidRPr="00596412" w:rsidRDefault="00F46EB8" w:rsidP="00596412">
      <w:pPr>
        <w:rPr>
          <w:rFonts w:eastAsia="Calibri" w:cs="Times New Roman"/>
          <w:szCs w:val="24"/>
        </w:rPr>
      </w:pPr>
      <w:r>
        <w:rPr>
          <w:rFonts w:eastAsia="Calibri" w:cs="Times New Roman"/>
          <w:szCs w:val="24"/>
        </w:rPr>
        <w:t>Het zesde</w:t>
      </w:r>
      <w:r w:rsidR="00596412" w:rsidRPr="00596412">
        <w:rPr>
          <w:rFonts w:eastAsia="Calibri" w:cs="Times New Roman"/>
          <w:szCs w:val="24"/>
        </w:rPr>
        <w:t xml:space="preserve"> verschil tussen beide wettelijke regelingen valt </w:t>
      </w:r>
      <w:r w:rsidR="00383FDE">
        <w:rPr>
          <w:rFonts w:eastAsia="Calibri" w:cs="Times New Roman"/>
          <w:szCs w:val="24"/>
        </w:rPr>
        <w:t>terug op</w:t>
      </w:r>
      <w:r w:rsidR="00596412" w:rsidRPr="00596412">
        <w:rPr>
          <w:rFonts w:eastAsia="Calibri" w:cs="Times New Roman"/>
          <w:szCs w:val="24"/>
        </w:rPr>
        <w:t xml:space="preserve"> een wetssystematische overweging. In Nederland dient men immers slechts het Wetboek van Strafvordering en enige bijkomstige jurisprudentie te raadplegen. Bij de regeling van </w:t>
      </w:r>
      <w:r w:rsidR="00596412" w:rsidRPr="00596412">
        <w:rPr>
          <w:rFonts w:eastAsia="Calibri" w:cs="Times New Roman"/>
          <w:i/>
          <w:iCs/>
          <w:szCs w:val="24"/>
        </w:rPr>
        <w:t>disclosure</w:t>
      </w:r>
      <w:r w:rsidR="00596412" w:rsidRPr="00596412">
        <w:rPr>
          <w:rFonts w:eastAsia="Calibri" w:cs="Times New Roman"/>
          <w:szCs w:val="24"/>
        </w:rPr>
        <w:t xml:space="preserve"> in Engeland &amp; Wales gaat dat echter anders: voor de verschillende fases van </w:t>
      </w:r>
      <w:r w:rsidR="00596412" w:rsidRPr="00596412">
        <w:rPr>
          <w:rFonts w:eastAsia="Calibri" w:cs="Times New Roman"/>
          <w:i/>
          <w:iCs/>
          <w:szCs w:val="24"/>
        </w:rPr>
        <w:t>disclosure</w:t>
      </w:r>
      <w:r w:rsidR="00596412" w:rsidRPr="00596412">
        <w:rPr>
          <w:rFonts w:eastAsia="Calibri" w:cs="Times New Roman"/>
          <w:szCs w:val="24"/>
        </w:rPr>
        <w:t xml:space="preserve"> dient te worden gekeken naar niet alleen de CPIA en jurisprudentie, maar ook naar de bijbehorende Code of Practice. Verder bestaa</w:t>
      </w:r>
      <w:r w:rsidR="00467ADF">
        <w:rPr>
          <w:rFonts w:eastAsia="Calibri" w:cs="Times New Roman"/>
          <w:szCs w:val="24"/>
        </w:rPr>
        <w:t>t</w:t>
      </w:r>
      <w:r w:rsidR="00596412" w:rsidRPr="00596412">
        <w:rPr>
          <w:rFonts w:eastAsia="Calibri" w:cs="Times New Roman"/>
          <w:szCs w:val="24"/>
        </w:rPr>
        <w:t xml:space="preserve"> er een tal van richtlijnen die meer inzage in het proces van </w:t>
      </w:r>
      <w:r w:rsidR="00596412" w:rsidRPr="00596412">
        <w:rPr>
          <w:rFonts w:eastAsia="Calibri" w:cs="Times New Roman"/>
          <w:i/>
          <w:iCs/>
          <w:szCs w:val="24"/>
        </w:rPr>
        <w:t>disclosure</w:t>
      </w:r>
      <w:r w:rsidR="00596412" w:rsidRPr="00596412">
        <w:rPr>
          <w:rFonts w:eastAsia="Calibri" w:cs="Times New Roman"/>
          <w:szCs w:val="24"/>
        </w:rPr>
        <w:t xml:space="preserve"> kunnen bieden, waarvan er in deze scriptie drie besproken zijn. </w:t>
      </w:r>
      <w:r w:rsidR="00B238FD">
        <w:rPr>
          <w:rFonts w:eastAsia="Calibri" w:cs="Times New Roman"/>
          <w:szCs w:val="24"/>
        </w:rPr>
        <w:t>De</w:t>
      </w:r>
      <w:r w:rsidR="00596412" w:rsidRPr="00596412">
        <w:rPr>
          <w:rFonts w:eastAsia="Calibri" w:cs="Times New Roman"/>
          <w:szCs w:val="24"/>
        </w:rPr>
        <w:t xml:space="preserve"> regeling van </w:t>
      </w:r>
      <w:r w:rsidR="00596412" w:rsidRPr="00596412">
        <w:rPr>
          <w:rFonts w:eastAsia="Calibri" w:cs="Times New Roman"/>
          <w:i/>
          <w:iCs/>
          <w:szCs w:val="24"/>
        </w:rPr>
        <w:t>disclosure</w:t>
      </w:r>
      <w:r w:rsidR="00596412" w:rsidRPr="00596412">
        <w:rPr>
          <w:rFonts w:eastAsia="Calibri" w:cs="Times New Roman"/>
          <w:szCs w:val="24"/>
        </w:rPr>
        <w:t xml:space="preserve"> is</w:t>
      </w:r>
      <w:r w:rsidR="00B238FD">
        <w:rPr>
          <w:rFonts w:eastAsia="Calibri" w:cs="Times New Roman"/>
          <w:szCs w:val="24"/>
        </w:rPr>
        <w:t xml:space="preserve"> hiermee</w:t>
      </w:r>
      <w:r w:rsidR="00596412" w:rsidRPr="00596412">
        <w:rPr>
          <w:rFonts w:eastAsia="Calibri" w:cs="Times New Roman"/>
          <w:szCs w:val="24"/>
        </w:rPr>
        <w:t xml:space="preserve"> een stuk meer versplinterd dan het Nederlandse inzagerecht. Deze versplintering leidt volgens Fiori tot verwarring.</w:t>
      </w:r>
      <w:r w:rsidR="00596412" w:rsidRPr="00596412">
        <w:rPr>
          <w:rFonts w:eastAsia="Calibri" w:cs="Times New Roman"/>
          <w:szCs w:val="24"/>
          <w:vertAlign w:val="superscript"/>
        </w:rPr>
        <w:footnoteReference w:id="197"/>
      </w:r>
    </w:p>
    <w:p w14:paraId="4F5988ED" w14:textId="77777777" w:rsidR="00596412" w:rsidRPr="00596412" w:rsidRDefault="00596412" w:rsidP="00596412">
      <w:pPr>
        <w:contextualSpacing/>
        <w:rPr>
          <w:rFonts w:eastAsia="Calibri" w:cs="Times New Roman"/>
          <w:szCs w:val="24"/>
        </w:rPr>
      </w:pPr>
    </w:p>
    <w:p w14:paraId="09A02A37" w14:textId="79DC674B" w:rsidR="00596412" w:rsidRPr="00596412" w:rsidRDefault="00203A3C" w:rsidP="00596412">
      <w:pPr>
        <w:rPr>
          <w:rFonts w:eastAsia="Calibri" w:cs="Times New Roman"/>
          <w:szCs w:val="24"/>
        </w:rPr>
      </w:pPr>
      <w:r>
        <w:rPr>
          <w:rFonts w:eastAsia="Calibri" w:cs="Times New Roman"/>
          <w:szCs w:val="24"/>
        </w:rPr>
        <w:t>Naast de bovengenoemde verschillen tussen beide rechtsstelsels</w:t>
      </w:r>
      <w:r w:rsidR="00596412" w:rsidRPr="00596412">
        <w:rPr>
          <w:rFonts w:eastAsia="Calibri" w:cs="Times New Roman"/>
          <w:szCs w:val="24"/>
        </w:rPr>
        <w:t xml:space="preserve"> is er ook een</w:t>
      </w:r>
      <w:r w:rsidR="00B806D8">
        <w:rPr>
          <w:rFonts w:eastAsia="Calibri" w:cs="Times New Roman"/>
          <w:szCs w:val="24"/>
        </w:rPr>
        <w:t xml:space="preserve"> laatste en zevende</w:t>
      </w:r>
      <w:r w:rsidR="00596412" w:rsidRPr="00596412">
        <w:rPr>
          <w:rFonts w:eastAsia="Calibri" w:cs="Times New Roman"/>
          <w:szCs w:val="24"/>
        </w:rPr>
        <w:t xml:space="preserve"> verschil dat in zijn algemeenheid gedurende het onderzoek naar voren is gekomen: de discussie omtrent </w:t>
      </w:r>
      <w:r w:rsidR="00557EBB">
        <w:rPr>
          <w:rFonts w:eastAsia="Calibri" w:cs="Times New Roman"/>
          <w:szCs w:val="24"/>
        </w:rPr>
        <w:t xml:space="preserve">de </w:t>
      </w:r>
      <w:r w:rsidR="00596412" w:rsidRPr="00596412">
        <w:rPr>
          <w:rFonts w:eastAsia="Calibri" w:cs="Times New Roman"/>
          <w:i/>
          <w:iCs/>
          <w:szCs w:val="24"/>
        </w:rPr>
        <w:t>disclosure</w:t>
      </w:r>
      <w:r w:rsidR="00596412" w:rsidRPr="00596412">
        <w:rPr>
          <w:rFonts w:eastAsia="Calibri" w:cs="Times New Roman"/>
          <w:szCs w:val="24"/>
        </w:rPr>
        <w:t xml:space="preserve"> van datasets (en met name PGP-bewijs) lijkt in mindere mate te spelen in Engeland &amp; Wales</w:t>
      </w:r>
      <w:r w:rsidR="00801587">
        <w:rPr>
          <w:rFonts w:eastAsia="Calibri" w:cs="Times New Roman"/>
          <w:szCs w:val="24"/>
        </w:rPr>
        <w:t xml:space="preserve"> dan het geval is in Nederland</w:t>
      </w:r>
      <w:r w:rsidR="00596412" w:rsidRPr="00596412">
        <w:rPr>
          <w:rFonts w:eastAsia="Calibri" w:cs="Times New Roman"/>
          <w:szCs w:val="24"/>
        </w:rPr>
        <w:t xml:space="preserve">. Een zoektocht in de jurisprudentie van het Court of Appeal naar de meeste PGP-aanbieders heeft tot geen resultaat geleid. Overigens leidt eenzelfde zoektocht naar de term PGP tot slechts twee zaken. Een zoekslag naar de term EncroChat levert echter 35 zaken op. Geen van deze zaken betreft daarentegen de </w:t>
      </w:r>
      <w:r w:rsidR="00596412" w:rsidRPr="00596412">
        <w:rPr>
          <w:rFonts w:eastAsia="Calibri" w:cs="Times New Roman"/>
          <w:i/>
          <w:iCs/>
          <w:szCs w:val="24"/>
        </w:rPr>
        <w:t>disclosure</w:t>
      </w:r>
      <w:r w:rsidR="00596412" w:rsidRPr="00596412">
        <w:rPr>
          <w:rFonts w:eastAsia="Calibri" w:cs="Times New Roman"/>
          <w:szCs w:val="24"/>
        </w:rPr>
        <w:t xml:space="preserve"> van de dataset. Desalniettemin zijn er in het Verenigd Koninkrijk naar aanleiding van de EncroChat-data meer dan 3100 aanhoudingen verricht en zijn er reeds 1867 personen aangeklaagd.</w:t>
      </w:r>
      <w:r w:rsidR="00596412" w:rsidRPr="00596412">
        <w:rPr>
          <w:rFonts w:eastAsia="Calibri" w:cs="Times New Roman"/>
          <w:szCs w:val="24"/>
          <w:vertAlign w:val="superscript"/>
        </w:rPr>
        <w:footnoteReference w:id="198"/>
      </w:r>
      <w:r w:rsidR="00596412" w:rsidRPr="00596412">
        <w:rPr>
          <w:rFonts w:eastAsia="Calibri" w:cs="Times New Roman"/>
          <w:szCs w:val="24"/>
        </w:rPr>
        <w:t xml:space="preserve"> In dat licht is het opvallend dat de </w:t>
      </w:r>
      <w:r w:rsidR="00596412" w:rsidRPr="00596412">
        <w:rPr>
          <w:rFonts w:eastAsia="Calibri" w:cs="Times New Roman"/>
          <w:i/>
          <w:iCs/>
          <w:szCs w:val="24"/>
        </w:rPr>
        <w:t>disclosure</w:t>
      </w:r>
      <w:r w:rsidR="00596412" w:rsidRPr="00596412">
        <w:rPr>
          <w:rFonts w:eastAsia="Calibri" w:cs="Times New Roman"/>
          <w:szCs w:val="24"/>
        </w:rPr>
        <w:t xml:space="preserve"> van datasets zo weinig aan bod komt in de jurisprudentie en de rechtswetenschap. Gedurende het onderzoek is ook niet duidelijk geworden waarom dat het geval is.</w:t>
      </w:r>
    </w:p>
    <w:p w14:paraId="60803314" w14:textId="77777777" w:rsidR="00596412" w:rsidRPr="00596412" w:rsidRDefault="00596412" w:rsidP="00596412">
      <w:pPr>
        <w:rPr>
          <w:rFonts w:eastAsia="Calibri" w:cs="Times New Roman"/>
          <w:szCs w:val="24"/>
        </w:rPr>
      </w:pPr>
      <w:r w:rsidRPr="00596412">
        <w:rPr>
          <w:rFonts w:eastAsia="Calibri" w:cs="Times New Roman"/>
          <w:szCs w:val="24"/>
        </w:rPr>
        <w:lastRenderedPageBreak/>
        <w:t>Kort gezegd kunnen de volgende verschillen tussen Nederland en Engeland &amp; Wales worden gedestilleerd:</w:t>
      </w:r>
    </w:p>
    <w:p w14:paraId="313481D3" w14:textId="77777777" w:rsidR="00596412" w:rsidRPr="00596412" w:rsidRDefault="00596412" w:rsidP="00596412">
      <w:pPr>
        <w:rPr>
          <w:rFonts w:eastAsia="Calibri" w:cs="Times New Roman"/>
          <w:szCs w:val="24"/>
        </w:rPr>
      </w:pPr>
    </w:p>
    <w:p w14:paraId="46654349" w14:textId="050FE73D" w:rsidR="00596412" w:rsidRPr="00596412" w:rsidRDefault="00596412" w:rsidP="00596412">
      <w:pPr>
        <w:numPr>
          <w:ilvl w:val="0"/>
          <w:numId w:val="6"/>
        </w:numPr>
        <w:contextualSpacing/>
        <w:rPr>
          <w:rFonts w:eastAsia="Calibri" w:cs="Times New Roman"/>
          <w:szCs w:val="24"/>
        </w:rPr>
      </w:pPr>
      <w:r w:rsidRPr="00596412">
        <w:rPr>
          <w:rFonts w:eastAsia="Calibri" w:cs="Times New Roman"/>
          <w:szCs w:val="24"/>
        </w:rPr>
        <w:t xml:space="preserve">Het Nederlandse inzagerecht hanteert in de fase van de terechtzitting een strenger criterium om </w:t>
      </w:r>
      <w:r w:rsidR="0055532D">
        <w:rPr>
          <w:rFonts w:eastAsia="Calibri" w:cs="Times New Roman"/>
          <w:szCs w:val="24"/>
        </w:rPr>
        <w:t xml:space="preserve">toegang te krijgen tot </w:t>
      </w:r>
      <w:r w:rsidR="005148BD">
        <w:rPr>
          <w:rFonts w:eastAsia="Calibri" w:cs="Times New Roman"/>
          <w:szCs w:val="24"/>
        </w:rPr>
        <w:t xml:space="preserve">datasets </w:t>
      </w:r>
      <w:r w:rsidRPr="00596412">
        <w:rPr>
          <w:rFonts w:eastAsia="Calibri" w:cs="Times New Roman"/>
          <w:szCs w:val="24"/>
        </w:rPr>
        <w:t xml:space="preserve">dan de </w:t>
      </w:r>
      <w:r w:rsidRPr="00596412">
        <w:rPr>
          <w:rFonts w:eastAsia="Calibri" w:cs="Times New Roman"/>
          <w:i/>
          <w:iCs/>
          <w:szCs w:val="24"/>
        </w:rPr>
        <w:t>disclosure test</w:t>
      </w:r>
      <w:r w:rsidRPr="00596412">
        <w:rPr>
          <w:rFonts w:eastAsia="Calibri" w:cs="Times New Roman"/>
          <w:szCs w:val="24"/>
        </w:rPr>
        <w:t xml:space="preserve"> in Engeland &amp; Wales;</w:t>
      </w:r>
    </w:p>
    <w:p w14:paraId="35D313DF" w14:textId="30DD7EDB" w:rsidR="00596412" w:rsidRDefault="00FD06B6" w:rsidP="00596412">
      <w:pPr>
        <w:numPr>
          <w:ilvl w:val="0"/>
          <w:numId w:val="6"/>
        </w:numPr>
        <w:contextualSpacing/>
        <w:rPr>
          <w:rFonts w:eastAsia="Calibri" w:cs="Times New Roman"/>
          <w:szCs w:val="24"/>
        </w:rPr>
      </w:pPr>
      <w:r w:rsidRPr="00FD06B6">
        <w:rPr>
          <w:rFonts w:eastAsia="Calibri" w:cs="Times New Roman"/>
          <w:szCs w:val="24"/>
        </w:rPr>
        <w:t>Het is in Engeland &amp; Wales voor de verdediging mogelijk om toegang tot datasets te krijgen op grond van zelfstandige bewijsgaring. In Nederland bestaat die mogelijkheid niet</w:t>
      </w:r>
      <w:r w:rsidR="00596412" w:rsidRPr="00596412">
        <w:rPr>
          <w:rFonts w:eastAsia="Calibri" w:cs="Times New Roman"/>
          <w:szCs w:val="24"/>
        </w:rPr>
        <w:t>;</w:t>
      </w:r>
    </w:p>
    <w:p w14:paraId="3255DB62" w14:textId="6972E499" w:rsidR="001512F8" w:rsidRDefault="001512F8" w:rsidP="00596412">
      <w:pPr>
        <w:numPr>
          <w:ilvl w:val="0"/>
          <w:numId w:val="6"/>
        </w:numPr>
        <w:contextualSpacing/>
        <w:rPr>
          <w:rFonts w:eastAsia="Calibri" w:cs="Times New Roman"/>
          <w:szCs w:val="24"/>
        </w:rPr>
      </w:pPr>
      <w:r>
        <w:rPr>
          <w:rFonts w:eastAsia="Calibri" w:cs="Times New Roman"/>
          <w:szCs w:val="24"/>
        </w:rPr>
        <w:t xml:space="preserve">De wijze waarop bewijsmateriaal en datasets </w:t>
      </w:r>
      <w:r w:rsidR="00B659E4">
        <w:rPr>
          <w:rFonts w:eastAsia="Calibri" w:cs="Times New Roman"/>
          <w:szCs w:val="24"/>
        </w:rPr>
        <w:t>kunnen worden onderzocht</w:t>
      </w:r>
      <w:r>
        <w:rPr>
          <w:rFonts w:eastAsia="Calibri" w:cs="Times New Roman"/>
          <w:szCs w:val="24"/>
        </w:rPr>
        <w:t xml:space="preserve"> is i</w:t>
      </w:r>
      <w:r w:rsidR="006E5060">
        <w:rPr>
          <w:rFonts w:eastAsia="Calibri" w:cs="Times New Roman"/>
          <w:szCs w:val="24"/>
        </w:rPr>
        <w:t xml:space="preserve">n beide rechtsstelsels </w:t>
      </w:r>
      <w:r>
        <w:rPr>
          <w:rFonts w:eastAsia="Calibri" w:cs="Times New Roman"/>
          <w:szCs w:val="24"/>
        </w:rPr>
        <w:t xml:space="preserve">vrij ingericht, </w:t>
      </w:r>
      <w:r w:rsidR="006E5060">
        <w:rPr>
          <w:rFonts w:eastAsia="Calibri" w:cs="Times New Roman"/>
          <w:szCs w:val="24"/>
        </w:rPr>
        <w:t xml:space="preserve">maar </w:t>
      </w:r>
      <w:r w:rsidR="00B659E4">
        <w:rPr>
          <w:rFonts w:eastAsia="Calibri" w:cs="Times New Roman"/>
          <w:szCs w:val="24"/>
        </w:rPr>
        <w:t xml:space="preserve">de Nederlandse praktijk maakt dit voor de verdediging </w:t>
      </w:r>
      <w:r w:rsidR="00EA2997">
        <w:rPr>
          <w:rFonts w:eastAsia="Calibri" w:cs="Times New Roman"/>
          <w:szCs w:val="24"/>
        </w:rPr>
        <w:t>makkelijker</w:t>
      </w:r>
      <w:r>
        <w:rPr>
          <w:rFonts w:eastAsia="Calibri" w:cs="Times New Roman"/>
          <w:szCs w:val="24"/>
        </w:rPr>
        <w:t>;</w:t>
      </w:r>
    </w:p>
    <w:p w14:paraId="5514B342" w14:textId="1CAFD805" w:rsidR="00EC6CA8" w:rsidRPr="00EC6CA8" w:rsidRDefault="00EC6CA8" w:rsidP="00EC6CA8">
      <w:pPr>
        <w:numPr>
          <w:ilvl w:val="0"/>
          <w:numId w:val="6"/>
        </w:numPr>
        <w:contextualSpacing/>
        <w:rPr>
          <w:rFonts w:eastAsia="Calibri" w:cs="Times New Roman"/>
          <w:szCs w:val="24"/>
        </w:rPr>
      </w:pPr>
      <w:r w:rsidRPr="00596412">
        <w:rPr>
          <w:rFonts w:eastAsia="Calibri" w:cs="Times New Roman"/>
          <w:szCs w:val="24"/>
        </w:rPr>
        <w:t xml:space="preserve">Het figuur van </w:t>
      </w:r>
      <w:r w:rsidRPr="00596412">
        <w:rPr>
          <w:rFonts w:eastAsia="Calibri" w:cs="Times New Roman"/>
          <w:i/>
          <w:iCs/>
          <w:szCs w:val="24"/>
        </w:rPr>
        <w:t>pre-charge engagement</w:t>
      </w:r>
      <w:r w:rsidRPr="00596412">
        <w:rPr>
          <w:rFonts w:eastAsia="Calibri" w:cs="Times New Roman"/>
          <w:szCs w:val="24"/>
        </w:rPr>
        <w:t xml:space="preserve"> komt niet voor in het Nederlands </w:t>
      </w:r>
      <w:r>
        <w:rPr>
          <w:rFonts w:eastAsia="Calibri" w:cs="Times New Roman"/>
          <w:szCs w:val="24"/>
        </w:rPr>
        <w:t>strafproces</w:t>
      </w:r>
      <w:r w:rsidRPr="00596412">
        <w:rPr>
          <w:rFonts w:eastAsia="Calibri" w:cs="Times New Roman"/>
          <w:szCs w:val="24"/>
        </w:rPr>
        <w:t>recht;</w:t>
      </w:r>
    </w:p>
    <w:p w14:paraId="7DAE2F5E" w14:textId="77777777" w:rsidR="00596412" w:rsidRPr="00596412" w:rsidRDefault="00596412" w:rsidP="00596412">
      <w:pPr>
        <w:numPr>
          <w:ilvl w:val="0"/>
          <w:numId w:val="6"/>
        </w:numPr>
        <w:contextualSpacing/>
        <w:rPr>
          <w:rFonts w:eastAsia="Calibri" w:cs="Times New Roman"/>
          <w:szCs w:val="24"/>
        </w:rPr>
      </w:pPr>
      <w:r w:rsidRPr="00596412">
        <w:rPr>
          <w:rFonts w:eastAsia="Calibri" w:cs="Times New Roman"/>
          <w:szCs w:val="24"/>
        </w:rPr>
        <w:t xml:space="preserve">In de Nederlandse regeling bestaat er geen figuur soortgelijk aan de </w:t>
      </w:r>
      <w:r w:rsidRPr="00596412">
        <w:rPr>
          <w:rFonts w:eastAsia="Calibri" w:cs="Times New Roman"/>
          <w:i/>
          <w:iCs/>
          <w:szCs w:val="24"/>
        </w:rPr>
        <w:t>defence</w:t>
      </w:r>
      <w:r w:rsidRPr="00596412">
        <w:rPr>
          <w:rFonts w:eastAsia="Calibri" w:cs="Times New Roman"/>
          <w:szCs w:val="24"/>
        </w:rPr>
        <w:t xml:space="preserve"> </w:t>
      </w:r>
      <w:r w:rsidRPr="00596412">
        <w:rPr>
          <w:rFonts w:eastAsia="Calibri" w:cs="Times New Roman"/>
          <w:i/>
          <w:iCs/>
          <w:szCs w:val="24"/>
        </w:rPr>
        <w:t>disclosure</w:t>
      </w:r>
      <w:r w:rsidRPr="00596412">
        <w:rPr>
          <w:rFonts w:eastAsia="Calibri" w:cs="Times New Roman"/>
          <w:szCs w:val="24"/>
        </w:rPr>
        <w:t>;</w:t>
      </w:r>
    </w:p>
    <w:p w14:paraId="52885DF9" w14:textId="30E12641" w:rsidR="00596412" w:rsidRPr="00596412" w:rsidRDefault="00596412" w:rsidP="00596412">
      <w:pPr>
        <w:numPr>
          <w:ilvl w:val="0"/>
          <w:numId w:val="6"/>
        </w:numPr>
        <w:contextualSpacing/>
        <w:rPr>
          <w:rFonts w:eastAsia="Calibri" w:cs="Times New Roman"/>
          <w:szCs w:val="24"/>
        </w:rPr>
      </w:pPr>
      <w:r w:rsidRPr="00596412">
        <w:rPr>
          <w:rFonts w:eastAsia="Calibri" w:cs="Times New Roman"/>
          <w:szCs w:val="24"/>
        </w:rPr>
        <w:t xml:space="preserve">De regeling van </w:t>
      </w:r>
      <w:r w:rsidRPr="00596412">
        <w:rPr>
          <w:rFonts w:eastAsia="Calibri" w:cs="Times New Roman"/>
          <w:i/>
          <w:iCs/>
          <w:szCs w:val="24"/>
        </w:rPr>
        <w:t>disclosure</w:t>
      </w:r>
      <w:r w:rsidRPr="00596412">
        <w:rPr>
          <w:rFonts w:eastAsia="Calibri" w:cs="Times New Roman"/>
          <w:szCs w:val="24"/>
        </w:rPr>
        <w:t xml:space="preserve"> is </w:t>
      </w:r>
      <w:r w:rsidR="009D0F09">
        <w:rPr>
          <w:rFonts w:eastAsia="Calibri" w:cs="Times New Roman"/>
          <w:szCs w:val="24"/>
        </w:rPr>
        <w:t>m</w:t>
      </w:r>
      <w:r w:rsidRPr="00596412">
        <w:rPr>
          <w:rFonts w:eastAsia="Calibri" w:cs="Times New Roman"/>
          <w:szCs w:val="24"/>
        </w:rPr>
        <w:t>eer versplinterd ten opzichte van het Nederlandse inzagerecht;</w:t>
      </w:r>
    </w:p>
    <w:p w14:paraId="548A0042" w14:textId="0093E107" w:rsidR="00596412" w:rsidRPr="00596412" w:rsidRDefault="00C36BE0" w:rsidP="00596412">
      <w:pPr>
        <w:numPr>
          <w:ilvl w:val="0"/>
          <w:numId w:val="6"/>
        </w:numPr>
        <w:contextualSpacing/>
        <w:rPr>
          <w:rFonts w:eastAsia="Calibri" w:cs="Times New Roman"/>
          <w:szCs w:val="24"/>
        </w:rPr>
      </w:pPr>
      <w:r w:rsidRPr="00C36BE0">
        <w:rPr>
          <w:rFonts w:eastAsia="Calibri" w:cs="Times New Roman"/>
          <w:szCs w:val="24"/>
        </w:rPr>
        <w:t xml:space="preserve">De discussie omtrent de </w:t>
      </w:r>
      <w:r w:rsidRPr="00C36BE0">
        <w:rPr>
          <w:rFonts w:eastAsia="Calibri" w:cs="Times New Roman"/>
          <w:i/>
          <w:iCs/>
          <w:szCs w:val="24"/>
        </w:rPr>
        <w:t>disclosure</w:t>
      </w:r>
      <w:r w:rsidRPr="00C36BE0">
        <w:rPr>
          <w:rFonts w:eastAsia="Calibri" w:cs="Times New Roman"/>
          <w:szCs w:val="24"/>
        </w:rPr>
        <w:t xml:space="preserve"> van datasets speelt in Engeland &amp; Wales in mindere mate dan in Nederland.</w:t>
      </w:r>
    </w:p>
    <w:p w14:paraId="4D38C5E8" w14:textId="77777777" w:rsidR="00596412" w:rsidRPr="00596412" w:rsidRDefault="00596412" w:rsidP="00596412">
      <w:pPr>
        <w:contextualSpacing/>
        <w:rPr>
          <w:rFonts w:eastAsia="Calibri" w:cs="Times New Roman"/>
          <w:szCs w:val="24"/>
        </w:rPr>
      </w:pPr>
    </w:p>
    <w:p w14:paraId="160D3EA2" w14:textId="77777777" w:rsidR="00596412" w:rsidRPr="00596412" w:rsidRDefault="00596412" w:rsidP="00596412">
      <w:pPr>
        <w:rPr>
          <w:rFonts w:eastAsia="Aptos" w:cs="Times New Roman"/>
          <w:b/>
          <w:bCs/>
          <w:szCs w:val="24"/>
        </w:rPr>
      </w:pPr>
      <w:r w:rsidRPr="00596412">
        <w:rPr>
          <w:rFonts w:eastAsia="Aptos" w:cs="Times New Roman"/>
          <w:b/>
          <w:bCs/>
          <w:szCs w:val="24"/>
        </w:rPr>
        <w:t>4.2   Verklaring</w:t>
      </w:r>
    </w:p>
    <w:p w14:paraId="50090E95" w14:textId="7E2D872A" w:rsidR="00596412" w:rsidRDefault="00596412" w:rsidP="00596412">
      <w:pPr>
        <w:rPr>
          <w:rFonts w:eastAsia="Aptos" w:cs="Times New Roman"/>
          <w:szCs w:val="24"/>
        </w:rPr>
      </w:pPr>
      <w:r w:rsidRPr="00596412">
        <w:rPr>
          <w:rFonts w:eastAsia="Aptos" w:cs="Times New Roman"/>
          <w:szCs w:val="24"/>
        </w:rPr>
        <w:t xml:space="preserve">Een vooraanstaande verklaring voor een groot deel van de overeenkomsten tussen het Nederlandse inzagerecht en </w:t>
      </w:r>
      <w:r w:rsidRPr="00596412">
        <w:rPr>
          <w:rFonts w:eastAsia="Aptos" w:cs="Times New Roman"/>
          <w:i/>
          <w:iCs/>
          <w:szCs w:val="24"/>
        </w:rPr>
        <w:t>disclosure</w:t>
      </w:r>
      <w:r w:rsidRPr="00596412">
        <w:rPr>
          <w:rFonts w:eastAsia="Aptos" w:cs="Times New Roman"/>
          <w:szCs w:val="24"/>
        </w:rPr>
        <w:t xml:space="preserve"> ziet op de werking van het EVRM en de jurisprudentie van het EHRM. Binnen beide rechtsstelsels heeft de jurisprudentie van het EHRM immers geldende werking, al zij het dat dit op verschillende wijzen wordt bewerkstelligd. De jurisprudentie van het EHRM richt zich immers niet op de verschillende procestradities en de rollen die zij met zich brengen, maar concentreert zich op het creëren van een effectieve verdediging en het recht op een eerlijk proces.</w:t>
      </w:r>
      <w:r w:rsidRPr="00596412">
        <w:rPr>
          <w:rFonts w:eastAsia="Aptos" w:cs="Times New Roman"/>
          <w:szCs w:val="24"/>
          <w:vertAlign w:val="superscript"/>
        </w:rPr>
        <w:footnoteReference w:id="199"/>
      </w:r>
      <w:r w:rsidRPr="00596412">
        <w:rPr>
          <w:rFonts w:eastAsia="Aptos" w:cs="Times New Roman"/>
          <w:szCs w:val="24"/>
        </w:rPr>
        <w:t xml:space="preserve"> Als gevolg daarvan bevatten zowel adversaire als inquisitoire rechtsstelsels dezelfde minimumwaarborgen met betrekking tot de verdediging. Dat geldt ook voor het specifieke geval wanneer datasets in beeld komen: in beide rechtsstelsels valt duidelijk terug te zien dat met de mate waarin en de manier waarop</w:t>
      </w:r>
      <w:r w:rsidR="002178EE">
        <w:rPr>
          <w:rFonts w:eastAsia="Aptos" w:cs="Times New Roman"/>
          <w:szCs w:val="24"/>
        </w:rPr>
        <w:t xml:space="preserve"> de</w:t>
      </w:r>
      <w:r w:rsidRPr="00596412">
        <w:rPr>
          <w:rFonts w:eastAsia="Aptos" w:cs="Times New Roman"/>
          <w:szCs w:val="24"/>
        </w:rPr>
        <w:t xml:space="preserve"> toegang tot datasets wordt bewerkstelligd, gehoor wordt gegeven aan de jurisprudentie van het EHRM.</w:t>
      </w:r>
    </w:p>
    <w:p w14:paraId="2CBF59D4" w14:textId="77777777" w:rsidR="00ED29DE" w:rsidRPr="00450085" w:rsidRDefault="00ED29DE" w:rsidP="00596412">
      <w:pPr>
        <w:rPr>
          <w:rFonts w:eastAsia="Aptos" w:cs="Times New Roman"/>
          <w:color w:val="FF0000"/>
          <w:szCs w:val="24"/>
        </w:rPr>
      </w:pPr>
    </w:p>
    <w:p w14:paraId="0681392F" w14:textId="74D36162" w:rsidR="00596412" w:rsidRPr="00596412" w:rsidRDefault="00596412" w:rsidP="00596412">
      <w:pPr>
        <w:rPr>
          <w:rFonts w:eastAsia="Aptos" w:cs="Times New Roman"/>
          <w:szCs w:val="24"/>
        </w:rPr>
      </w:pPr>
      <w:r w:rsidRPr="00596412">
        <w:rPr>
          <w:rFonts w:eastAsia="Aptos" w:cs="Times New Roman"/>
          <w:szCs w:val="24"/>
        </w:rPr>
        <w:t xml:space="preserve">Een deel van de genoemde verschillen kunnen juist worden verklaard aan de hand van de procestradities van beide rechtsstelsels. Dat de verdediging door middel van een </w:t>
      </w:r>
      <w:r w:rsidRPr="00596412">
        <w:rPr>
          <w:rFonts w:eastAsia="Aptos" w:cs="Times New Roman"/>
          <w:i/>
          <w:iCs/>
          <w:szCs w:val="24"/>
        </w:rPr>
        <w:t>witness summons</w:t>
      </w:r>
      <w:r w:rsidRPr="00596412">
        <w:rPr>
          <w:rFonts w:eastAsia="Aptos" w:cs="Times New Roman"/>
          <w:szCs w:val="24"/>
        </w:rPr>
        <w:t xml:space="preserve"> toegang kan krijgen tot datasets, is een elementaire eigenschap van een adversair strafproces. Het getemperd inquisitoire strafproces van Nederland gaat – ondanks de adversaire verschuiving – nog steeds uit van het OM als de verantwoordelijke voor het onderzoek, al bestaat de mogelijkheid tot het opgeven van onderzoekswensen en het doen van tegenonderzoek. Dat de verdediging compleet zelf </w:t>
      </w:r>
      <w:r w:rsidRPr="00596412">
        <w:rPr>
          <w:rFonts w:eastAsia="Aptos" w:cs="Times New Roman"/>
          <w:szCs w:val="24"/>
        </w:rPr>
        <w:lastRenderedPageBreak/>
        <w:t xml:space="preserve">onderzoek doet en hieruit verkregen bewijsmateriaal in het strafproces brengt, valt niet met dat inquisitoire karakter te verenigen. Daarom is een </w:t>
      </w:r>
      <w:r w:rsidRPr="00596412">
        <w:rPr>
          <w:rFonts w:eastAsia="Aptos" w:cs="Times New Roman"/>
          <w:i/>
          <w:iCs/>
          <w:szCs w:val="24"/>
        </w:rPr>
        <w:t>witness summons</w:t>
      </w:r>
      <w:r w:rsidRPr="00596412">
        <w:rPr>
          <w:rFonts w:eastAsia="Aptos" w:cs="Times New Roman"/>
          <w:szCs w:val="24"/>
        </w:rPr>
        <w:t xml:space="preserve"> niet terug te zien in het Nederlandse strafprocesrecht. Dit heeft overigens ook betrekking op de vrije inrichting van het onderzoek aan het bewijsmateriaal: hoewel in Nederland de verdediging ook vrij is om het bewijsmateriaal te onderzoeken op de manier die hij geschikt acht, biedt het OM vanuit zijn magistratelijke positie de mogelijkheid aan om van hetzelfde systeem gebruik te maken voor het onderzoek.</w:t>
      </w:r>
    </w:p>
    <w:p w14:paraId="267B6564" w14:textId="77777777" w:rsidR="00596412" w:rsidRPr="00596412" w:rsidRDefault="00596412" w:rsidP="00596412">
      <w:pPr>
        <w:contextualSpacing/>
        <w:rPr>
          <w:rFonts w:eastAsia="Calibri" w:cs="Times New Roman"/>
          <w:szCs w:val="24"/>
        </w:rPr>
      </w:pPr>
    </w:p>
    <w:p w14:paraId="66ED7256" w14:textId="77777777" w:rsidR="00596412" w:rsidRPr="00596412" w:rsidRDefault="00596412" w:rsidP="00596412">
      <w:pPr>
        <w:rPr>
          <w:rFonts w:eastAsia="Aptos" w:cs="Times New Roman"/>
          <w:b/>
          <w:bCs/>
          <w:szCs w:val="24"/>
        </w:rPr>
      </w:pPr>
      <w:r w:rsidRPr="00596412">
        <w:rPr>
          <w:rFonts w:eastAsia="Aptos" w:cs="Times New Roman"/>
          <w:b/>
          <w:bCs/>
          <w:szCs w:val="24"/>
        </w:rPr>
        <w:t>4.3   Waardering</w:t>
      </w:r>
    </w:p>
    <w:p w14:paraId="3E48323F" w14:textId="4777006B" w:rsidR="00596412" w:rsidRPr="00596412" w:rsidRDefault="00596412" w:rsidP="00596412">
      <w:pPr>
        <w:contextualSpacing/>
        <w:rPr>
          <w:rFonts w:eastAsia="Calibri" w:cs="Times New Roman"/>
          <w:szCs w:val="24"/>
        </w:rPr>
      </w:pPr>
      <w:r w:rsidRPr="00596412">
        <w:rPr>
          <w:rFonts w:eastAsia="Aptos" w:cs="Times New Roman"/>
          <w:szCs w:val="24"/>
        </w:rPr>
        <w:t xml:space="preserve">Vanwege de minimumwaarborgen die het EHRM biedt komt het overgrote deel van het Nederlandse inzagerecht overeen met de inrichting van </w:t>
      </w:r>
      <w:r w:rsidRPr="00596412">
        <w:rPr>
          <w:rFonts w:eastAsia="Aptos" w:cs="Times New Roman"/>
          <w:i/>
          <w:iCs/>
          <w:szCs w:val="24"/>
        </w:rPr>
        <w:t xml:space="preserve">disclosure </w:t>
      </w:r>
      <w:r w:rsidRPr="00596412">
        <w:rPr>
          <w:rFonts w:eastAsia="Aptos" w:cs="Times New Roman"/>
          <w:szCs w:val="24"/>
        </w:rPr>
        <w:t xml:space="preserve">in Engeland &amp; Wales. Ten opzichte van die </w:t>
      </w:r>
      <w:r w:rsidR="00CB09B4">
        <w:rPr>
          <w:rFonts w:eastAsia="Aptos" w:cs="Times New Roman"/>
          <w:szCs w:val="24"/>
        </w:rPr>
        <w:t>regelingen</w:t>
      </w:r>
      <w:r w:rsidRPr="00596412">
        <w:rPr>
          <w:rFonts w:eastAsia="Aptos" w:cs="Times New Roman"/>
          <w:szCs w:val="24"/>
        </w:rPr>
        <w:t xml:space="preserve"> geniet de verdachte dus dezelfde mate van rechtsbescherming in beide rechtsstelsels. Het Nederlandse inzagerecht wijkt daar weliswaar op één punt vanaf: gedurende de fase van terechtzitting bestaat er een andere, strengere maatstaf om toegang te krijgen tot bewijsmateriaal: het noodzakelijkheidscriterium. In Engeland &amp; Wales blijft de </w:t>
      </w:r>
      <w:r w:rsidRPr="00596412">
        <w:rPr>
          <w:rFonts w:eastAsia="Aptos" w:cs="Times New Roman"/>
          <w:i/>
          <w:iCs/>
          <w:szCs w:val="24"/>
        </w:rPr>
        <w:t>disclosure test</w:t>
      </w:r>
      <w:r w:rsidRPr="00596412">
        <w:rPr>
          <w:rFonts w:eastAsia="Aptos" w:cs="Times New Roman"/>
          <w:szCs w:val="24"/>
        </w:rPr>
        <w:t xml:space="preserve"> – die dezelfde werking toekomt als het relevantiecriterium – de gebruikte maatstaf. Het gebruik van het noodzakelijkheidscriterium kan echter logisch worden verklaard aan de hand van het inquisitoire strafproces van Nederland, waarin de nadruk wordt gelegd op het vooronderzoek in plaats van de terechtzitting. Dat wordt overigens ook steeds meer het geval met de beweging naar voren die met het moderniseringstraject van het Wetboek van Strafvordering wordt geïmplementeerd: het voorbereidend onderzoek moet dan zijn afgerond voordat de terechtzitting plaatsvindt. Het strengere noodzakelijkheidscriterium dient in dat verband als een prikkel voor de verdediging om de strafzaak zo veel mogelijk voor te bereiden in het vooronderzoek. Het is </w:t>
      </w:r>
      <w:r w:rsidR="009C764B">
        <w:rPr>
          <w:rFonts w:eastAsia="Aptos" w:cs="Times New Roman"/>
          <w:szCs w:val="24"/>
        </w:rPr>
        <w:t>derhalve verklaarbaar</w:t>
      </w:r>
      <w:r w:rsidRPr="00596412">
        <w:rPr>
          <w:rFonts w:eastAsia="Aptos" w:cs="Times New Roman"/>
          <w:szCs w:val="24"/>
        </w:rPr>
        <w:t xml:space="preserve"> dat het Nederlandse strafprocesrecht het noodzakelijkheidscriterium blijft hanteren. Daarnaast is het de vraag of dit verschil van criterium onder het nieuwe Wetboek van Strafvordering een rol zal spelen, aangezien de fase van de terechtzitting niet langer automatisch zal aanvangen: dit geschiedt pas wanneer het vooronderzoek</w:t>
      </w:r>
      <w:r w:rsidR="009D6A26">
        <w:rPr>
          <w:rFonts w:eastAsia="Aptos" w:cs="Times New Roman"/>
          <w:szCs w:val="24"/>
        </w:rPr>
        <w:t xml:space="preserve"> </w:t>
      </w:r>
      <w:r w:rsidRPr="00596412">
        <w:rPr>
          <w:rFonts w:eastAsia="Aptos" w:cs="Times New Roman"/>
          <w:szCs w:val="24"/>
        </w:rPr>
        <w:t>zal zijn afgerond.</w:t>
      </w:r>
      <w:r w:rsidRPr="00596412">
        <w:rPr>
          <w:rFonts w:eastAsia="Aptos" w:cs="Times New Roman"/>
          <w:szCs w:val="24"/>
          <w:vertAlign w:val="superscript"/>
        </w:rPr>
        <w:footnoteReference w:id="200"/>
      </w:r>
      <w:r w:rsidRPr="00596412">
        <w:rPr>
          <w:rFonts w:eastAsia="Aptos" w:cs="Times New Roman"/>
          <w:szCs w:val="24"/>
        </w:rPr>
        <w:t xml:space="preserve"> </w:t>
      </w:r>
    </w:p>
    <w:p w14:paraId="72BC6F07" w14:textId="77777777" w:rsidR="00596412" w:rsidRPr="00596412" w:rsidRDefault="00596412" w:rsidP="00596412">
      <w:pPr>
        <w:rPr>
          <w:rFonts w:eastAsia="Calibri" w:cs="Times New Roman"/>
          <w:szCs w:val="24"/>
        </w:rPr>
      </w:pPr>
    </w:p>
    <w:p w14:paraId="41FC5F12" w14:textId="1503E42E" w:rsidR="00596412" w:rsidRPr="00596412" w:rsidRDefault="00BA736A" w:rsidP="00596412">
      <w:pPr>
        <w:rPr>
          <w:rFonts w:eastAsia="Aptos" w:cs="Times New Roman"/>
          <w:szCs w:val="24"/>
        </w:rPr>
      </w:pPr>
      <w:r>
        <w:rPr>
          <w:rFonts w:eastAsia="Aptos" w:cs="Times New Roman"/>
          <w:szCs w:val="24"/>
        </w:rPr>
        <w:t>De andere overeenkomsten en verschillen breng</w:t>
      </w:r>
      <w:r w:rsidR="00E9658B">
        <w:rPr>
          <w:rFonts w:eastAsia="Aptos" w:cs="Times New Roman"/>
          <w:szCs w:val="24"/>
        </w:rPr>
        <w:t>en</w:t>
      </w:r>
      <w:r>
        <w:rPr>
          <w:rFonts w:eastAsia="Aptos" w:cs="Times New Roman"/>
          <w:szCs w:val="24"/>
        </w:rPr>
        <w:t xml:space="preserve"> een aantal lessen met zich voor het Nederlandse strafprocesrecht. Deze lessen geven inzicht in de positie van de Nederlandse regeling, maar bieden ook ruimte om deze regeling mogelijk te verbeteren. </w:t>
      </w:r>
      <w:r w:rsidR="00FE5584">
        <w:rPr>
          <w:rFonts w:eastAsia="Aptos" w:cs="Times New Roman"/>
          <w:szCs w:val="24"/>
        </w:rPr>
        <w:t>Het eerste punt waar Nederland van zou kunnen leren ziet op</w:t>
      </w:r>
      <w:r w:rsidR="00596412" w:rsidRPr="00596412">
        <w:rPr>
          <w:rFonts w:eastAsia="Aptos" w:cs="Times New Roman"/>
          <w:szCs w:val="24"/>
        </w:rPr>
        <w:t xml:space="preserve"> de regeling van </w:t>
      </w:r>
      <w:r w:rsidR="00596412" w:rsidRPr="00596412">
        <w:rPr>
          <w:rFonts w:eastAsia="Aptos" w:cs="Times New Roman"/>
          <w:i/>
          <w:iCs/>
          <w:szCs w:val="24"/>
        </w:rPr>
        <w:t>disclosure</w:t>
      </w:r>
      <w:r w:rsidR="00596412" w:rsidRPr="00596412">
        <w:rPr>
          <w:rFonts w:eastAsia="Aptos" w:cs="Times New Roman"/>
          <w:szCs w:val="24"/>
        </w:rPr>
        <w:t xml:space="preserve"> </w:t>
      </w:r>
      <w:r w:rsidR="00C2567E">
        <w:rPr>
          <w:rFonts w:eastAsia="Aptos" w:cs="Times New Roman"/>
          <w:szCs w:val="24"/>
        </w:rPr>
        <w:t xml:space="preserve">en </w:t>
      </w:r>
      <w:r w:rsidR="00596412" w:rsidRPr="00596412">
        <w:rPr>
          <w:rFonts w:eastAsia="Aptos" w:cs="Times New Roman"/>
          <w:szCs w:val="24"/>
        </w:rPr>
        <w:t xml:space="preserve">de verhoudingen tussen de procespartijen binnen die regeling. Waar de verdediging in het Nederlandse inzagerecht inzage (buiten de processtukken) dient te verzoeken, ligt in Engeland &amp; Wales de plicht tot </w:t>
      </w:r>
      <w:r w:rsidR="00596412" w:rsidRPr="00596412">
        <w:rPr>
          <w:rFonts w:eastAsia="Aptos" w:cs="Times New Roman"/>
          <w:i/>
          <w:iCs/>
          <w:szCs w:val="24"/>
        </w:rPr>
        <w:t>disclosure</w:t>
      </w:r>
      <w:r w:rsidR="00596412" w:rsidRPr="00596412">
        <w:rPr>
          <w:rFonts w:eastAsia="Aptos" w:cs="Times New Roman"/>
          <w:szCs w:val="24"/>
        </w:rPr>
        <w:t xml:space="preserve"> juist bij de prosecutor. In het verlengde daarvan blijft de plicht ook gedurende het gehele strafproces bij de prosecutor liggen door middel van </w:t>
      </w:r>
      <w:r w:rsidR="00596412" w:rsidRPr="00596412">
        <w:rPr>
          <w:rFonts w:eastAsia="Aptos" w:cs="Times New Roman"/>
          <w:i/>
          <w:iCs/>
          <w:szCs w:val="24"/>
        </w:rPr>
        <w:lastRenderedPageBreak/>
        <w:t>continuing disclosure</w:t>
      </w:r>
      <w:r w:rsidR="00596412" w:rsidRPr="00596412">
        <w:rPr>
          <w:rFonts w:eastAsia="Aptos" w:cs="Times New Roman"/>
          <w:szCs w:val="24"/>
        </w:rPr>
        <w:t xml:space="preserve">. Het getuigt juist van een meer inquisitoire praktijk dat het OM vanuit zijn magistratelijke positie de plicht heeft om het bewijsmateriaal aan de verdachte te verstrekken gedurende het proces. Pas wanneer de verdediging acht dat het OM bepaald bewijsmateriaal (nog) niet heeft verstrekt, </w:t>
      </w:r>
      <w:r w:rsidR="00CB529F">
        <w:rPr>
          <w:rFonts w:eastAsia="Aptos" w:cs="Times New Roman"/>
          <w:szCs w:val="24"/>
        </w:rPr>
        <w:t>zal hij</w:t>
      </w:r>
      <w:r w:rsidR="00596412" w:rsidRPr="00596412">
        <w:rPr>
          <w:rFonts w:eastAsia="Aptos" w:cs="Times New Roman"/>
          <w:szCs w:val="24"/>
        </w:rPr>
        <w:t xml:space="preserve"> de rechter verzoeken om alsnog tot verstrekking hiervan over te gaan. Het betreft slechts een marginaal punt, omdat de verdediging zich in beide rechtsstelsels geconfronteerd zal zien met het doen van verzoeken tot inzage, maar </w:t>
      </w:r>
      <w:r w:rsidR="00675B89">
        <w:rPr>
          <w:rFonts w:eastAsia="Aptos" w:cs="Times New Roman"/>
          <w:szCs w:val="24"/>
        </w:rPr>
        <w:t>sluit beter aan bij de grondslag van het Nederlandse strafproces.</w:t>
      </w:r>
    </w:p>
    <w:p w14:paraId="09D81560" w14:textId="77777777" w:rsidR="00596412" w:rsidRPr="00596412" w:rsidRDefault="00596412" w:rsidP="00596412">
      <w:pPr>
        <w:rPr>
          <w:rFonts w:eastAsia="Aptos" w:cs="Times New Roman"/>
          <w:szCs w:val="24"/>
        </w:rPr>
      </w:pPr>
    </w:p>
    <w:p w14:paraId="149C8F99" w14:textId="57FD0925" w:rsidR="004A05B7" w:rsidRDefault="000700B3" w:rsidP="00596412">
      <w:pPr>
        <w:rPr>
          <w:rFonts w:eastAsia="Aptos" w:cs="Times New Roman"/>
          <w:szCs w:val="24"/>
        </w:rPr>
      </w:pPr>
      <w:r>
        <w:rPr>
          <w:rFonts w:eastAsia="Aptos" w:cs="Times New Roman"/>
          <w:szCs w:val="24"/>
        </w:rPr>
        <w:t>Het</w:t>
      </w:r>
      <w:r w:rsidR="00106982">
        <w:rPr>
          <w:rFonts w:eastAsia="Aptos" w:cs="Times New Roman"/>
          <w:szCs w:val="24"/>
        </w:rPr>
        <w:t xml:space="preserve"> tweede</w:t>
      </w:r>
      <w:r>
        <w:rPr>
          <w:rFonts w:eastAsia="Aptos" w:cs="Times New Roman"/>
          <w:szCs w:val="24"/>
        </w:rPr>
        <w:t xml:space="preserve"> punt waar lering uit kan worden getrokken hangt samen met d</w:t>
      </w:r>
      <w:r w:rsidR="00596412" w:rsidRPr="00596412">
        <w:rPr>
          <w:rFonts w:eastAsia="Aptos" w:cs="Times New Roman"/>
          <w:szCs w:val="24"/>
        </w:rPr>
        <w:t>e grote overeenkomsten tussen de toegang tot datasets in beide rechtsstelsels, die beide de jurisprudentie van het EHRM als uitgangspunt hebben</w:t>
      </w:r>
      <w:r>
        <w:rPr>
          <w:rFonts w:eastAsia="Aptos" w:cs="Times New Roman"/>
          <w:szCs w:val="24"/>
        </w:rPr>
        <w:t>.</w:t>
      </w:r>
      <w:r w:rsidR="00596412" w:rsidRPr="00596412">
        <w:rPr>
          <w:rFonts w:eastAsia="Aptos" w:cs="Times New Roman"/>
          <w:szCs w:val="24"/>
        </w:rPr>
        <w:t xml:space="preserve"> </w:t>
      </w:r>
      <w:r>
        <w:rPr>
          <w:rFonts w:eastAsia="Aptos" w:cs="Times New Roman"/>
          <w:szCs w:val="24"/>
        </w:rPr>
        <w:t>Mijns inziens v</w:t>
      </w:r>
      <w:r w:rsidR="00C8058B">
        <w:rPr>
          <w:rFonts w:eastAsia="Aptos" w:cs="Times New Roman"/>
          <w:szCs w:val="24"/>
        </w:rPr>
        <w:t xml:space="preserve">ormen deze overeenkomsten </w:t>
      </w:r>
      <w:r w:rsidR="00596412" w:rsidRPr="00596412">
        <w:rPr>
          <w:rFonts w:eastAsia="Aptos" w:cs="Times New Roman"/>
          <w:szCs w:val="24"/>
        </w:rPr>
        <w:t>een bevestiging dat het Nederlandse strafprocesrecht een regeling heeft die</w:t>
      </w:r>
      <w:r w:rsidR="005603F6">
        <w:rPr>
          <w:rFonts w:eastAsia="Aptos" w:cs="Times New Roman"/>
          <w:szCs w:val="24"/>
        </w:rPr>
        <w:t xml:space="preserve"> adequaat</w:t>
      </w:r>
      <w:r w:rsidR="00596412" w:rsidRPr="00596412">
        <w:rPr>
          <w:rFonts w:eastAsia="Aptos" w:cs="Times New Roman"/>
          <w:szCs w:val="24"/>
        </w:rPr>
        <w:t xml:space="preserve"> aansluit bij het recht op een eerlijk proces. Bovendien sluit de Nederlandse regeling zelfs beter aan bij de jurisprudentie van het EHRM omtrent de toegang tot datasets. Het EHRM onderstreept in de zaken </w:t>
      </w:r>
      <w:r w:rsidR="00596412" w:rsidRPr="00596412">
        <w:rPr>
          <w:rFonts w:eastAsia="Aptos" w:cs="Times New Roman"/>
          <w:i/>
          <w:iCs/>
          <w:szCs w:val="24"/>
        </w:rPr>
        <w:t xml:space="preserve">Einarsson </w:t>
      </w:r>
      <w:r w:rsidR="00596412" w:rsidRPr="00596412">
        <w:rPr>
          <w:rFonts w:eastAsia="Aptos" w:cs="Times New Roman"/>
          <w:szCs w:val="24"/>
        </w:rPr>
        <w:t xml:space="preserve">en </w:t>
      </w:r>
      <w:r w:rsidR="00596412" w:rsidRPr="00596412">
        <w:rPr>
          <w:rFonts w:eastAsia="Aptos" w:cs="Times New Roman"/>
          <w:i/>
          <w:iCs/>
          <w:szCs w:val="24"/>
        </w:rPr>
        <w:t>Rook</w:t>
      </w:r>
      <w:r w:rsidR="00596412" w:rsidRPr="00596412">
        <w:rPr>
          <w:rFonts w:eastAsia="Aptos" w:cs="Times New Roman"/>
          <w:szCs w:val="24"/>
        </w:rPr>
        <w:t xml:space="preserve"> immers dat de verdediging moet kunnen meepraten </w:t>
      </w:r>
      <w:r w:rsidR="00FD2367" w:rsidRPr="00FD2367">
        <w:rPr>
          <w:rFonts w:eastAsia="Aptos" w:cs="Times New Roman"/>
          <w:szCs w:val="24"/>
        </w:rPr>
        <w:t>over de criteria voor het doorzoeken van de dataset.</w:t>
      </w:r>
      <w:r w:rsidR="00596412" w:rsidRPr="00596412">
        <w:rPr>
          <w:rFonts w:eastAsia="Aptos" w:cs="Times New Roman"/>
          <w:szCs w:val="24"/>
        </w:rPr>
        <w:t xml:space="preserve"> Daarmee wordt de indirecte toegang tot de volledige dataset voor de verdediging bewerkstelligd. Zoals veelvuldig uit de Nederlandse jurisprudentie is gebleken, krijgt de verdediging immers de mogelijkheid om zoektermen aan te leveren waarmee die dataset kan worden onderzocht. </w:t>
      </w:r>
      <w:r w:rsidR="004F1156">
        <w:rPr>
          <w:rFonts w:eastAsia="Aptos" w:cs="Times New Roman"/>
          <w:szCs w:val="24"/>
        </w:rPr>
        <w:t>Het</w:t>
      </w:r>
      <w:r w:rsidR="00596412" w:rsidRPr="00596412">
        <w:rPr>
          <w:rFonts w:eastAsia="Aptos" w:cs="Times New Roman"/>
          <w:szCs w:val="24"/>
        </w:rPr>
        <w:t xml:space="preserve"> OM </w:t>
      </w:r>
      <w:r w:rsidR="004F1156">
        <w:rPr>
          <w:rFonts w:eastAsia="Aptos" w:cs="Times New Roman"/>
          <w:szCs w:val="24"/>
        </w:rPr>
        <w:t xml:space="preserve">gaat </w:t>
      </w:r>
      <w:r w:rsidR="00596412" w:rsidRPr="00596412">
        <w:rPr>
          <w:rFonts w:eastAsia="Aptos" w:cs="Times New Roman"/>
          <w:szCs w:val="24"/>
        </w:rPr>
        <w:t xml:space="preserve">zelfs een stap verder door de verdediging in de gelegenheid te stellen de dataset zelf te doorzoeken. </w:t>
      </w:r>
      <w:r w:rsidR="00E756D9">
        <w:rPr>
          <w:rFonts w:eastAsia="Aptos" w:cs="Times New Roman"/>
          <w:szCs w:val="24"/>
        </w:rPr>
        <w:t>Dit gaat niet op voor</w:t>
      </w:r>
      <w:r w:rsidR="00596412" w:rsidRPr="00596412">
        <w:rPr>
          <w:rFonts w:eastAsia="Aptos" w:cs="Times New Roman"/>
          <w:szCs w:val="24"/>
        </w:rPr>
        <w:t xml:space="preserve"> Engeland &amp; Wales: hoewel in de jurisprudentie daar ook indirecte toegang tot de secundaire dataset mogelijk is, blijkt dit slechts uit één zaak en wordt verder niet duidelijk of dit een vaste praktijk is. Daarnaast blijft het kader voor de </w:t>
      </w:r>
      <w:r w:rsidR="00596412" w:rsidRPr="00596412">
        <w:rPr>
          <w:rFonts w:eastAsia="Aptos" w:cs="Times New Roman"/>
          <w:i/>
          <w:szCs w:val="24"/>
        </w:rPr>
        <w:t>disclosure</w:t>
      </w:r>
      <w:r w:rsidR="00596412" w:rsidRPr="00596412">
        <w:rPr>
          <w:rFonts w:eastAsia="Aptos" w:cs="Times New Roman"/>
          <w:szCs w:val="24"/>
        </w:rPr>
        <w:t xml:space="preserve"> van datasets uit de richtlijnen ontzettend algemeen. Op grond hiervan kan worden gesteld dat de verdediging omtrent de toegang tot datasets in Nederland </w:t>
      </w:r>
      <w:r w:rsidR="00934535">
        <w:rPr>
          <w:rFonts w:eastAsia="Aptos" w:cs="Times New Roman"/>
          <w:szCs w:val="24"/>
        </w:rPr>
        <w:t xml:space="preserve">een </w:t>
      </w:r>
      <w:r w:rsidR="004217EC">
        <w:rPr>
          <w:rFonts w:eastAsia="Aptos" w:cs="Times New Roman"/>
          <w:szCs w:val="24"/>
        </w:rPr>
        <w:t>meer gewaarborgde</w:t>
      </w:r>
      <w:r w:rsidR="00596412" w:rsidRPr="00596412">
        <w:rPr>
          <w:rFonts w:eastAsia="Aptos" w:cs="Times New Roman"/>
          <w:szCs w:val="24"/>
        </w:rPr>
        <w:t xml:space="preserve"> positie geniet dan in Engeland &amp; Wales.</w:t>
      </w:r>
      <w:r w:rsidR="00A80FC7">
        <w:rPr>
          <w:rFonts w:eastAsia="Aptos" w:cs="Times New Roman"/>
          <w:szCs w:val="24"/>
        </w:rPr>
        <w:t xml:space="preserve"> </w:t>
      </w:r>
    </w:p>
    <w:p w14:paraId="248DEB44" w14:textId="20409AE6" w:rsidR="00B551BB" w:rsidRDefault="00B551BB" w:rsidP="00596412">
      <w:pPr>
        <w:rPr>
          <w:rFonts w:eastAsia="Aptos" w:cs="Times New Roman"/>
          <w:szCs w:val="24"/>
        </w:rPr>
      </w:pPr>
    </w:p>
    <w:p w14:paraId="41B8C390" w14:textId="64574070" w:rsidR="00596412" w:rsidRPr="004A05B7" w:rsidRDefault="008F397A" w:rsidP="00596412">
      <w:pPr>
        <w:rPr>
          <w:rFonts w:eastAsia="Aptos" w:cs="Times New Roman"/>
          <w:szCs w:val="24"/>
        </w:rPr>
      </w:pPr>
      <w:r>
        <w:rPr>
          <w:rFonts w:eastAsia="Aptos" w:cs="Times New Roman"/>
          <w:szCs w:val="24"/>
        </w:rPr>
        <w:t>Het derde punt geeft inzicht in de positie van de Nederlandse regeling ten opzichte van het veranderende strafproces. D</w:t>
      </w:r>
      <w:r w:rsidR="00FB0643">
        <w:rPr>
          <w:rFonts w:eastAsia="Aptos" w:cs="Times New Roman"/>
          <w:szCs w:val="24"/>
        </w:rPr>
        <w:t xml:space="preserve">e grote overeenkomsten tussen de toegang tot datasets </w:t>
      </w:r>
      <w:r>
        <w:rPr>
          <w:rFonts w:eastAsia="Aptos" w:cs="Times New Roman"/>
          <w:szCs w:val="24"/>
        </w:rPr>
        <w:t>suggereren immers dat</w:t>
      </w:r>
      <w:r w:rsidR="00FB0643">
        <w:rPr>
          <w:rFonts w:eastAsia="Aptos" w:cs="Times New Roman"/>
          <w:szCs w:val="24"/>
        </w:rPr>
        <w:t xml:space="preserve"> de Nederlandse regeling ook past binnen een adversair strafproces</w:t>
      </w:r>
      <w:r w:rsidR="004A05B7">
        <w:rPr>
          <w:rFonts w:eastAsia="Aptos" w:cs="Times New Roman"/>
          <w:szCs w:val="24"/>
        </w:rPr>
        <w:t xml:space="preserve">: de huidige regeling zou bijna naadloos kunnen worden geïmplementeerd in Engeland &amp; Wales. Hetzelfde geldt overigens ook vice versa, al zij het dat </w:t>
      </w:r>
      <w:r w:rsidR="002178EE">
        <w:rPr>
          <w:rFonts w:eastAsia="Aptos" w:cs="Times New Roman"/>
          <w:szCs w:val="24"/>
        </w:rPr>
        <w:t xml:space="preserve">de </w:t>
      </w:r>
      <w:r w:rsidR="004A05B7">
        <w:rPr>
          <w:rFonts w:eastAsia="Aptos" w:cs="Times New Roman"/>
          <w:szCs w:val="24"/>
        </w:rPr>
        <w:t xml:space="preserve">toegang tot datasets middels een </w:t>
      </w:r>
      <w:r w:rsidR="004A05B7">
        <w:rPr>
          <w:rFonts w:eastAsia="Aptos" w:cs="Times New Roman"/>
          <w:i/>
          <w:iCs/>
          <w:szCs w:val="24"/>
        </w:rPr>
        <w:t>witness summons</w:t>
      </w:r>
      <w:r w:rsidR="004A05B7">
        <w:rPr>
          <w:rFonts w:eastAsia="Aptos" w:cs="Times New Roman"/>
          <w:szCs w:val="24"/>
        </w:rPr>
        <w:t xml:space="preserve"> niet implementeerbaar is in een inquisitoir rechtsstelsel. Hoewel hiermee wordt verondersteld dat de toegang tot datasets in Engeland &amp; Wales goed past binnen hun adversair strafproces, vormt het een stap in de goede richting voor het Nederlands strafprocesrecht: </w:t>
      </w:r>
      <w:r w:rsidR="00EC2187">
        <w:rPr>
          <w:rFonts w:eastAsia="Aptos" w:cs="Times New Roman"/>
          <w:szCs w:val="24"/>
        </w:rPr>
        <w:t>waar het strafproces in een adversaire richting beweegt, blijft de toegang tot datasets voor de verdediging niet achter.</w:t>
      </w:r>
      <w:r w:rsidR="00A912CF">
        <w:rPr>
          <w:rFonts w:eastAsia="Aptos" w:cs="Times New Roman"/>
          <w:szCs w:val="24"/>
        </w:rPr>
        <w:t xml:space="preserve"> Er dient echter wel nader onderzoek te worden verricht naar in hoeverre de Nederlandse regeling voldoende mogelijkheden biedt om tegenspraak te leveren.</w:t>
      </w:r>
    </w:p>
    <w:p w14:paraId="64025EA7" w14:textId="77777777" w:rsidR="00F12732" w:rsidRDefault="00F12732" w:rsidP="00596412">
      <w:pPr>
        <w:rPr>
          <w:rFonts w:eastAsia="Aptos" w:cs="Times New Roman"/>
          <w:szCs w:val="24"/>
        </w:rPr>
      </w:pPr>
    </w:p>
    <w:p w14:paraId="5A905652" w14:textId="002898F2" w:rsidR="00596412" w:rsidRPr="00F12732" w:rsidRDefault="00AF4BB6" w:rsidP="00596412">
      <w:pPr>
        <w:rPr>
          <w:rFonts w:eastAsia="Aptos" w:cs="Times New Roman"/>
          <w:szCs w:val="24"/>
        </w:rPr>
      </w:pPr>
      <w:r>
        <w:rPr>
          <w:rFonts w:eastAsia="Aptos" w:cs="Times New Roman"/>
          <w:szCs w:val="24"/>
        </w:rPr>
        <w:lastRenderedPageBreak/>
        <w:t>Deze inzichten betekenen</w:t>
      </w:r>
      <w:r w:rsidR="0082353F">
        <w:rPr>
          <w:rFonts w:eastAsia="Aptos" w:cs="Times New Roman"/>
          <w:szCs w:val="24"/>
        </w:rPr>
        <w:t xml:space="preserve"> </w:t>
      </w:r>
      <w:r w:rsidR="00F12732">
        <w:rPr>
          <w:rFonts w:eastAsia="Aptos" w:cs="Times New Roman"/>
          <w:szCs w:val="24"/>
        </w:rPr>
        <w:t xml:space="preserve">niet dat de regeling van </w:t>
      </w:r>
      <w:r w:rsidR="00F12732">
        <w:rPr>
          <w:rFonts w:eastAsia="Aptos" w:cs="Times New Roman"/>
          <w:i/>
          <w:iCs/>
          <w:szCs w:val="24"/>
        </w:rPr>
        <w:t xml:space="preserve">disclosure </w:t>
      </w:r>
      <w:r w:rsidR="00F12732">
        <w:rPr>
          <w:rFonts w:eastAsia="Aptos" w:cs="Times New Roman"/>
          <w:szCs w:val="24"/>
        </w:rPr>
        <w:t xml:space="preserve">geen punten bevat die een mogelijke meerwaarde kunnen hebben voor het Nederlandse strafprocesrecht. Er bestaan twee </w:t>
      </w:r>
      <w:r w:rsidR="00FF6B58">
        <w:rPr>
          <w:rFonts w:eastAsia="Aptos" w:cs="Times New Roman"/>
          <w:szCs w:val="24"/>
        </w:rPr>
        <w:t>aspecten</w:t>
      </w:r>
      <w:r w:rsidR="00F12732">
        <w:rPr>
          <w:rFonts w:eastAsia="Aptos" w:cs="Times New Roman"/>
          <w:szCs w:val="24"/>
        </w:rPr>
        <w:t xml:space="preserve"> die immers zouden </w:t>
      </w:r>
      <w:r w:rsidR="00596412" w:rsidRPr="00596412">
        <w:rPr>
          <w:rFonts w:eastAsia="Aptos" w:cs="Times New Roman"/>
          <w:szCs w:val="24"/>
        </w:rPr>
        <w:t xml:space="preserve">kunnen bewerkstelligen dat de verdediging meer mogelijkheden krijgt tot het leveren van tegenspraak in het vooronderzoek. </w:t>
      </w:r>
      <w:r w:rsidR="00CA5B87">
        <w:rPr>
          <w:rFonts w:eastAsia="Aptos" w:cs="Times New Roman"/>
          <w:szCs w:val="24"/>
        </w:rPr>
        <w:t>Het eerste aspect</w:t>
      </w:r>
      <w:r w:rsidR="00596412" w:rsidRPr="00596412">
        <w:rPr>
          <w:rFonts w:eastAsia="Aptos" w:cs="Times New Roman"/>
          <w:szCs w:val="24"/>
        </w:rPr>
        <w:t xml:space="preserve"> is de </w:t>
      </w:r>
      <w:r w:rsidR="00596412" w:rsidRPr="00596412">
        <w:rPr>
          <w:rFonts w:eastAsia="Aptos" w:cs="Times New Roman"/>
          <w:i/>
          <w:iCs/>
          <w:szCs w:val="24"/>
        </w:rPr>
        <w:t>defence disclosure</w:t>
      </w:r>
      <w:r w:rsidR="00596412" w:rsidRPr="00596412">
        <w:rPr>
          <w:rFonts w:eastAsia="Aptos" w:cs="Times New Roman"/>
          <w:szCs w:val="24"/>
        </w:rPr>
        <w:t xml:space="preserve">. Het voordeel van de </w:t>
      </w:r>
      <w:r w:rsidR="00596412" w:rsidRPr="00596412">
        <w:rPr>
          <w:rFonts w:eastAsia="Aptos" w:cs="Times New Roman"/>
          <w:i/>
          <w:iCs/>
          <w:szCs w:val="24"/>
        </w:rPr>
        <w:t>defence disclosure</w:t>
      </w:r>
      <w:r w:rsidR="00596412" w:rsidRPr="00596412">
        <w:rPr>
          <w:rFonts w:eastAsia="Aptos" w:cs="Times New Roman"/>
          <w:szCs w:val="24"/>
        </w:rPr>
        <w:t xml:space="preserve"> is dat daarmee </w:t>
      </w:r>
      <w:r w:rsidR="00596412" w:rsidRPr="00596412">
        <w:rPr>
          <w:rFonts w:eastAsia="Calibri" w:cs="Times New Roman"/>
          <w:szCs w:val="24"/>
        </w:rPr>
        <w:t xml:space="preserve">op zeer efficiënte wijze duidelijk kan worden gemaakt waar de geschilpunten liggen volgens de verdediging. In Engeland &amp; Wales kan de prosecutor deze punten in het achterhoofd houden bij het toepassen van de </w:t>
      </w:r>
      <w:r w:rsidR="00596412" w:rsidRPr="00596412">
        <w:rPr>
          <w:rFonts w:eastAsia="Calibri" w:cs="Times New Roman"/>
          <w:i/>
          <w:iCs/>
          <w:szCs w:val="24"/>
        </w:rPr>
        <w:t>disclosure test</w:t>
      </w:r>
      <w:r w:rsidR="00596412" w:rsidRPr="00596412">
        <w:rPr>
          <w:rFonts w:eastAsia="Calibri" w:cs="Times New Roman"/>
          <w:szCs w:val="24"/>
        </w:rPr>
        <w:t xml:space="preserve">. Toegepast binnen het Nederlandse strafproces zou de verdediging hiermee de officier van justitie duidelijk kunnen maken welke verdediging </w:t>
      </w:r>
      <w:r w:rsidR="00842BB4">
        <w:rPr>
          <w:rFonts w:eastAsia="Calibri" w:cs="Times New Roman"/>
          <w:szCs w:val="24"/>
        </w:rPr>
        <w:t>hij wil</w:t>
      </w:r>
      <w:r w:rsidR="00596412" w:rsidRPr="00596412">
        <w:rPr>
          <w:rFonts w:eastAsia="Calibri" w:cs="Times New Roman"/>
          <w:szCs w:val="24"/>
        </w:rPr>
        <w:t xml:space="preserve"> voeren en welk bewijsmateriaal mogelijk relevant is voor hen. Dit zou de officier van justitie kunnen meenemen bij de </w:t>
      </w:r>
      <w:r w:rsidR="00B676FA">
        <w:rPr>
          <w:rFonts w:eastAsia="Calibri" w:cs="Times New Roman"/>
          <w:szCs w:val="24"/>
        </w:rPr>
        <w:t>toets</w:t>
      </w:r>
      <w:r w:rsidR="00596412" w:rsidRPr="00596412">
        <w:rPr>
          <w:rFonts w:eastAsia="Calibri" w:cs="Times New Roman"/>
          <w:szCs w:val="24"/>
        </w:rPr>
        <w:t xml:space="preserve"> aan het relevantiecriterium in het geval van verzoeken van de verdediging tot inzage of voeging van bepaalde processtukken. Wel kan mijns inziens geleerd worden van de inrichting van de </w:t>
      </w:r>
      <w:r w:rsidR="00596412" w:rsidRPr="00596412">
        <w:rPr>
          <w:rFonts w:eastAsia="Calibri" w:cs="Times New Roman"/>
          <w:i/>
          <w:iCs/>
          <w:szCs w:val="24"/>
        </w:rPr>
        <w:t xml:space="preserve">defence disclosure </w:t>
      </w:r>
      <w:r w:rsidR="00596412" w:rsidRPr="00596412">
        <w:rPr>
          <w:rFonts w:eastAsia="Calibri" w:cs="Times New Roman"/>
          <w:szCs w:val="24"/>
        </w:rPr>
        <w:t xml:space="preserve">in Engeland &amp; Wales: daar is het leveren van een </w:t>
      </w:r>
      <w:r w:rsidR="00596412" w:rsidRPr="00596412">
        <w:rPr>
          <w:rFonts w:eastAsia="Calibri" w:cs="Times New Roman"/>
          <w:i/>
          <w:iCs/>
          <w:szCs w:val="24"/>
        </w:rPr>
        <w:t>defence statement</w:t>
      </w:r>
      <w:r w:rsidR="00596412" w:rsidRPr="00596412">
        <w:rPr>
          <w:rFonts w:eastAsia="Calibri" w:cs="Times New Roman"/>
          <w:szCs w:val="24"/>
        </w:rPr>
        <w:t xml:space="preserve"> namelijk verplicht, en op het niet naleven van deze verplichting staat een zware sanctie. Daartegenover staat dat de prosecutor niet of nauwelijks wordt gesanctioneerd als hij zijn verplichting niet behoorlijk nakomt. Hiermee wordt de verdediging op ongelijk</w:t>
      </w:r>
      <w:r w:rsidR="007E0487">
        <w:rPr>
          <w:rFonts w:eastAsia="Calibri" w:cs="Times New Roman"/>
          <w:szCs w:val="24"/>
        </w:rPr>
        <w:t>e</w:t>
      </w:r>
      <w:r w:rsidR="00596412" w:rsidRPr="00596412">
        <w:rPr>
          <w:rFonts w:eastAsia="Calibri" w:cs="Times New Roman"/>
          <w:szCs w:val="24"/>
        </w:rPr>
        <w:t xml:space="preserve"> voet gebracht met de prosecutor doordat hij wordt gedwongen om (een deel van) zijn verdediging vroegtijdig bekend te maken. Het zou juist getuigen van een adversair instrument dat de verdediging vrij is in zijn keuze om een </w:t>
      </w:r>
      <w:r w:rsidR="00596412" w:rsidRPr="00596412">
        <w:rPr>
          <w:rFonts w:eastAsia="Calibri" w:cs="Times New Roman"/>
          <w:i/>
          <w:iCs/>
          <w:szCs w:val="24"/>
        </w:rPr>
        <w:t>defence statement</w:t>
      </w:r>
      <w:r w:rsidR="00596412" w:rsidRPr="00596412">
        <w:rPr>
          <w:rFonts w:eastAsia="Calibri" w:cs="Times New Roman"/>
          <w:szCs w:val="24"/>
        </w:rPr>
        <w:t xml:space="preserve"> aan te leveren. Bij mogelijke implementatie van</w:t>
      </w:r>
      <w:r w:rsidR="008542E4">
        <w:rPr>
          <w:rFonts w:eastAsia="Calibri" w:cs="Times New Roman"/>
          <w:szCs w:val="24"/>
        </w:rPr>
        <w:t xml:space="preserve"> de</w:t>
      </w:r>
      <w:r w:rsidR="00596412" w:rsidRPr="00596412">
        <w:rPr>
          <w:rFonts w:eastAsia="Calibri" w:cs="Times New Roman"/>
          <w:szCs w:val="24"/>
        </w:rPr>
        <w:t xml:space="preserve"> </w:t>
      </w:r>
      <w:r w:rsidR="00596412" w:rsidRPr="00596412">
        <w:rPr>
          <w:rFonts w:eastAsia="Calibri" w:cs="Times New Roman"/>
          <w:i/>
          <w:iCs/>
          <w:szCs w:val="24"/>
        </w:rPr>
        <w:t>defence disclosure</w:t>
      </w:r>
      <w:r w:rsidR="00596412" w:rsidRPr="00596412">
        <w:rPr>
          <w:rFonts w:eastAsia="Calibri" w:cs="Times New Roman"/>
          <w:szCs w:val="24"/>
        </w:rPr>
        <w:t xml:space="preserve"> dient het verplichte karakter ervan dan ook te verdwijnen.</w:t>
      </w:r>
    </w:p>
    <w:p w14:paraId="6E4C6513" w14:textId="77777777" w:rsidR="00596412" w:rsidRPr="00596412" w:rsidRDefault="00596412" w:rsidP="00596412">
      <w:pPr>
        <w:rPr>
          <w:rFonts w:eastAsia="Aptos" w:cs="Times New Roman"/>
          <w:szCs w:val="24"/>
        </w:rPr>
      </w:pPr>
    </w:p>
    <w:p w14:paraId="20A71842" w14:textId="7CA6BB8C" w:rsidR="00596412" w:rsidRDefault="00596412" w:rsidP="00596412">
      <w:pPr>
        <w:rPr>
          <w:rFonts w:eastAsia="Aptos" w:cs="Times New Roman"/>
          <w:szCs w:val="24"/>
        </w:rPr>
      </w:pPr>
      <w:r w:rsidRPr="00596412">
        <w:rPr>
          <w:rFonts w:eastAsia="Aptos" w:cs="Times New Roman"/>
          <w:szCs w:val="24"/>
        </w:rPr>
        <w:t xml:space="preserve">Het </w:t>
      </w:r>
      <w:r w:rsidR="00573B36">
        <w:rPr>
          <w:rFonts w:eastAsia="Aptos" w:cs="Times New Roman"/>
          <w:szCs w:val="24"/>
        </w:rPr>
        <w:t>tweede</w:t>
      </w:r>
      <w:r w:rsidRPr="00596412">
        <w:rPr>
          <w:rFonts w:eastAsia="Aptos" w:cs="Times New Roman"/>
          <w:szCs w:val="24"/>
        </w:rPr>
        <w:t xml:space="preserve"> aspect waar Nederland mogelijk lering uit kan trekken is het figuur van </w:t>
      </w:r>
      <w:r w:rsidRPr="00596412">
        <w:rPr>
          <w:rFonts w:eastAsia="Aptos" w:cs="Times New Roman"/>
          <w:i/>
          <w:iCs/>
          <w:szCs w:val="24"/>
        </w:rPr>
        <w:t>pre-charge engagement</w:t>
      </w:r>
      <w:r w:rsidRPr="00596412">
        <w:rPr>
          <w:rFonts w:eastAsia="Aptos" w:cs="Times New Roman"/>
          <w:szCs w:val="24"/>
        </w:rPr>
        <w:t xml:space="preserve">. Deze vrijwillige toenadering tussen procespartijen in het vooronderzoek komt in het Nederlandse strafprocesrecht en de praktijk niet voor. </w:t>
      </w:r>
      <w:r w:rsidRPr="00596412">
        <w:rPr>
          <w:rFonts w:eastAsia="Aptos" w:cs="Times New Roman"/>
          <w:i/>
          <w:iCs/>
          <w:szCs w:val="24"/>
        </w:rPr>
        <w:t>Pre-charge engagement</w:t>
      </w:r>
      <w:r w:rsidRPr="00596412">
        <w:rPr>
          <w:rFonts w:eastAsia="Aptos" w:cs="Times New Roman"/>
          <w:szCs w:val="24"/>
        </w:rPr>
        <w:t xml:space="preserve"> biedt als voordeel dat procespartijen afspraken kunnen maken met elkaar die voor beide gunstig zijn. Griffiths heeft echter kritiek geuit op </w:t>
      </w:r>
      <w:r w:rsidRPr="00596412">
        <w:rPr>
          <w:rFonts w:eastAsia="Aptos" w:cs="Times New Roman"/>
          <w:i/>
          <w:iCs/>
          <w:szCs w:val="24"/>
        </w:rPr>
        <w:t>pre-charge engagement</w:t>
      </w:r>
      <w:r w:rsidRPr="00596412">
        <w:rPr>
          <w:rFonts w:eastAsia="Aptos" w:cs="Times New Roman"/>
          <w:szCs w:val="24"/>
        </w:rPr>
        <w:t xml:space="preserve">, omdat de verdediging daarmee zou moeten bijdragen aan zijn eigen veroordeling. Het is echter zo dat </w:t>
      </w:r>
      <w:r w:rsidRPr="00596412">
        <w:rPr>
          <w:rFonts w:eastAsia="Aptos" w:cs="Times New Roman"/>
          <w:i/>
          <w:iCs/>
          <w:szCs w:val="24"/>
        </w:rPr>
        <w:t>pre-charge engagement</w:t>
      </w:r>
      <w:r w:rsidRPr="00596412">
        <w:rPr>
          <w:rFonts w:eastAsia="Aptos" w:cs="Times New Roman"/>
          <w:szCs w:val="24"/>
        </w:rPr>
        <w:t xml:space="preserve"> in zijn meest elementaire vorm juist een zeer adversair aspect is: het staat partijen vrij om met elkaar in overleg te treden wanneer zij dit beide gunstig achten, maar zij worden daar niet toe verplicht.</w:t>
      </w:r>
      <w:r w:rsidR="00C419E9">
        <w:rPr>
          <w:rFonts w:eastAsia="Aptos" w:cs="Times New Roman"/>
          <w:szCs w:val="24"/>
        </w:rPr>
        <w:t xml:space="preserve"> Daarmee neemt het een soortgelijke vorm aan als de Nederlandse regeling van procesafspraken.</w:t>
      </w:r>
      <w:r w:rsidRPr="00596412">
        <w:rPr>
          <w:rFonts w:eastAsia="Aptos" w:cs="Times New Roman"/>
          <w:szCs w:val="24"/>
        </w:rPr>
        <w:t xml:space="preserve"> </w:t>
      </w:r>
      <w:r w:rsidR="00C419E9">
        <w:rPr>
          <w:rFonts w:eastAsia="Aptos" w:cs="Times New Roman"/>
          <w:szCs w:val="24"/>
        </w:rPr>
        <w:t xml:space="preserve">Wel dient nader onderzoek plaats te vinden naar de wijze waarop en de mate waarin </w:t>
      </w:r>
      <w:r w:rsidRPr="00596412">
        <w:rPr>
          <w:rFonts w:eastAsia="Aptos" w:cs="Times New Roman"/>
          <w:i/>
          <w:iCs/>
          <w:szCs w:val="24"/>
        </w:rPr>
        <w:t>pre-charge engagement</w:t>
      </w:r>
      <w:r w:rsidRPr="00596412">
        <w:rPr>
          <w:rFonts w:eastAsia="Aptos" w:cs="Times New Roman"/>
          <w:szCs w:val="24"/>
        </w:rPr>
        <w:t xml:space="preserve"> </w:t>
      </w:r>
      <w:r w:rsidR="00C419E9">
        <w:rPr>
          <w:rFonts w:eastAsia="Aptos" w:cs="Times New Roman"/>
          <w:szCs w:val="24"/>
        </w:rPr>
        <w:t>passend is</w:t>
      </w:r>
      <w:r w:rsidRPr="00596412">
        <w:rPr>
          <w:rFonts w:eastAsia="Aptos" w:cs="Times New Roman"/>
          <w:szCs w:val="24"/>
        </w:rPr>
        <w:t xml:space="preserve"> in het Nederlandse strafprocesrecht. </w:t>
      </w:r>
    </w:p>
    <w:p w14:paraId="06838B28" w14:textId="77777777" w:rsidR="00305A29" w:rsidRPr="00596412" w:rsidRDefault="00305A29" w:rsidP="00596412">
      <w:pPr>
        <w:rPr>
          <w:rFonts w:eastAsia="Aptos" w:cs="Times New Roman"/>
          <w:szCs w:val="24"/>
        </w:rPr>
      </w:pPr>
    </w:p>
    <w:p w14:paraId="455A5512" w14:textId="30E5A935" w:rsidR="00596412" w:rsidRPr="00596412" w:rsidRDefault="00F7260F" w:rsidP="00596412">
      <w:pPr>
        <w:rPr>
          <w:rFonts w:eastAsia="Aptos" w:cs="Times New Roman"/>
          <w:szCs w:val="24"/>
        </w:rPr>
      </w:pPr>
      <w:r>
        <w:rPr>
          <w:rFonts w:eastAsia="Aptos" w:cs="Times New Roman"/>
          <w:szCs w:val="24"/>
        </w:rPr>
        <w:t xml:space="preserve">Het laatste punt waar het Nederlandse strafprocesrecht lering uit kan trekken heeft te maken met </w:t>
      </w:r>
      <w:r w:rsidR="009232AC">
        <w:rPr>
          <w:rFonts w:eastAsia="Aptos" w:cs="Times New Roman"/>
          <w:szCs w:val="24"/>
        </w:rPr>
        <w:t>het ontbreken van een wettelijke regeling voor de toegang tot datasets in</w:t>
      </w:r>
      <w:r w:rsidR="00334FAF">
        <w:rPr>
          <w:rFonts w:eastAsia="Aptos" w:cs="Times New Roman"/>
          <w:szCs w:val="24"/>
        </w:rPr>
        <w:t xml:space="preserve"> beide rechtsstelsels</w:t>
      </w:r>
      <w:r w:rsidR="00596412" w:rsidRPr="00596412">
        <w:rPr>
          <w:rFonts w:eastAsia="Aptos" w:cs="Times New Roman"/>
          <w:szCs w:val="24"/>
        </w:rPr>
        <w:t xml:space="preserve">. Omdat in Engeland &amp; Wales blijk is gegeven dat er geen vastomlijnde praktijk bestaat </w:t>
      </w:r>
      <w:r w:rsidR="009232AC">
        <w:rPr>
          <w:rFonts w:eastAsia="Aptos" w:cs="Times New Roman"/>
          <w:szCs w:val="24"/>
        </w:rPr>
        <w:t>voor de toegang tot datasets</w:t>
      </w:r>
      <w:r w:rsidR="00596412" w:rsidRPr="00596412">
        <w:rPr>
          <w:rFonts w:eastAsia="Aptos" w:cs="Times New Roman"/>
          <w:szCs w:val="24"/>
        </w:rPr>
        <w:t xml:space="preserve">, is het verklaarbaar dat </w:t>
      </w:r>
      <w:r w:rsidR="00C825EF">
        <w:rPr>
          <w:rFonts w:eastAsia="Aptos" w:cs="Times New Roman"/>
          <w:szCs w:val="24"/>
        </w:rPr>
        <w:t>dit</w:t>
      </w:r>
      <w:r w:rsidR="00596412" w:rsidRPr="00596412">
        <w:rPr>
          <w:rFonts w:eastAsia="Aptos" w:cs="Times New Roman"/>
          <w:szCs w:val="24"/>
        </w:rPr>
        <w:t xml:space="preserve"> het geval is. Daarentegen blijkt uit de Nederlandse jurisprudentie en literatuur echter wel dat zich gedurende de jaren een vaste praktijk heeft ontwikkeld: de </w:t>
      </w:r>
      <w:r w:rsidR="00596412" w:rsidRPr="00596412">
        <w:rPr>
          <w:rFonts w:eastAsia="Aptos" w:cs="Times New Roman"/>
          <w:szCs w:val="24"/>
        </w:rPr>
        <w:lastRenderedPageBreak/>
        <w:t>verdediging kan zoektermen aanleveren waarmee de volledige dataset wordt doorzocht en kan verder met gebruik van Hansken de secundaire dataset</w:t>
      </w:r>
      <w:r w:rsidR="00903290">
        <w:rPr>
          <w:rFonts w:eastAsia="Aptos" w:cs="Times New Roman"/>
          <w:szCs w:val="24"/>
        </w:rPr>
        <w:t xml:space="preserve"> </w:t>
      </w:r>
      <w:r w:rsidR="00596412" w:rsidRPr="00596412">
        <w:rPr>
          <w:rFonts w:eastAsia="Aptos" w:cs="Times New Roman"/>
          <w:szCs w:val="24"/>
        </w:rPr>
        <w:t xml:space="preserve">doorzoeken. </w:t>
      </w:r>
      <w:r w:rsidR="00957982">
        <w:rPr>
          <w:rFonts w:eastAsia="Aptos" w:cs="Times New Roman"/>
          <w:szCs w:val="24"/>
        </w:rPr>
        <w:t xml:space="preserve">De kritiek die deze praktijk in de eerste instantie kreeg te verduren is daarnaast minder houdbaar. </w:t>
      </w:r>
      <w:r w:rsidR="00596412" w:rsidRPr="00596412">
        <w:rPr>
          <w:rFonts w:eastAsia="Aptos" w:cs="Times New Roman"/>
          <w:szCs w:val="24"/>
        </w:rPr>
        <w:t>Het gebeurt vaker dat wanneer een informele, op jurisprudentie gebaseerde praktijk volledig is uitgekristalliseerd, er wordt gekeken naar de implementatie daarvan in de wet. Zo is</w:t>
      </w:r>
      <w:r w:rsidR="00347F37">
        <w:rPr>
          <w:rFonts w:eastAsia="Aptos" w:cs="Times New Roman"/>
          <w:szCs w:val="24"/>
        </w:rPr>
        <w:t xml:space="preserve"> dat</w:t>
      </w:r>
      <w:r w:rsidR="00596412" w:rsidRPr="00596412">
        <w:rPr>
          <w:rFonts w:eastAsia="Aptos" w:cs="Times New Roman"/>
          <w:szCs w:val="24"/>
        </w:rPr>
        <w:t xml:space="preserve"> bijvoorbeeld ook het geval met procesafspraken.</w:t>
      </w:r>
      <w:r w:rsidR="00596412" w:rsidRPr="00596412">
        <w:rPr>
          <w:rFonts w:eastAsia="Aptos" w:cs="Times New Roman"/>
          <w:szCs w:val="24"/>
          <w:vertAlign w:val="superscript"/>
        </w:rPr>
        <w:footnoteReference w:id="201"/>
      </w:r>
      <w:r w:rsidR="00596412" w:rsidRPr="00596412">
        <w:rPr>
          <w:rFonts w:eastAsia="Aptos" w:cs="Times New Roman"/>
          <w:szCs w:val="24"/>
        </w:rPr>
        <w:t xml:space="preserve"> Het verdient daarom de aanbeveling dat wordt onderzocht of de toegang tot datasets dusdanig is ontwikkeld dat dit zich eveneens leent voor een implementatie in het nieuwe Wetboek van Strafvordering. Een dergelijke codificatie is ook niet slechts symbolisch, maar draagt bij aan de doelstellingen van de modernisering om zoveel mogelijk aansluiting te zoeken bij het EVRM en om te voorzien in een wetboek dat het toepasselijke recht weerspiegelt.</w:t>
      </w:r>
      <w:r w:rsidR="00596412" w:rsidRPr="00596412">
        <w:rPr>
          <w:rFonts w:eastAsia="Aptos" w:cs="Times New Roman"/>
          <w:szCs w:val="24"/>
          <w:vertAlign w:val="superscript"/>
        </w:rPr>
        <w:footnoteReference w:id="202"/>
      </w:r>
      <w:r w:rsidR="00596412" w:rsidRPr="00596412">
        <w:rPr>
          <w:rFonts w:eastAsia="Aptos" w:cs="Times New Roman"/>
          <w:szCs w:val="24"/>
        </w:rPr>
        <w:t xml:space="preserve"> Bovendien leidt codificatie tot een centrale en duidelijke regeling, hetgeen juist tegenovergesteld is aan de versplinterde en verwarrende wijze waarop de </w:t>
      </w:r>
      <w:r w:rsidR="00596412" w:rsidRPr="00596412">
        <w:rPr>
          <w:rFonts w:eastAsia="Aptos" w:cs="Times New Roman"/>
          <w:i/>
          <w:iCs/>
          <w:szCs w:val="24"/>
        </w:rPr>
        <w:t xml:space="preserve">disclosure </w:t>
      </w:r>
      <w:r w:rsidR="00596412" w:rsidRPr="00596412">
        <w:rPr>
          <w:rFonts w:eastAsia="Aptos" w:cs="Times New Roman"/>
          <w:szCs w:val="24"/>
        </w:rPr>
        <w:t>van datasets is geregeld.</w:t>
      </w:r>
    </w:p>
    <w:p w14:paraId="60D05958" w14:textId="77777777" w:rsidR="00744DF7" w:rsidRPr="00744DF7" w:rsidRDefault="00744DF7" w:rsidP="00246178">
      <w:pPr>
        <w:rPr>
          <w:rFonts w:eastAsia="Aptos" w:cs="Times New Roman"/>
        </w:rPr>
      </w:pPr>
    </w:p>
    <w:p w14:paraId="5D72D367" w14:textId="772DF1B4" w:rsidR="003C706D" w:rsidRPr="005B113E" w:rsidRDefault="003C706D" w:rsidP="00821865">
      <w:pPr>
        <w:rPr>
          <w:rFonts w:eastAsia="Aptos" w:cs="Times New Roman"/>
        </w:rPr>
      </w:pPr>
      <w:r w:rsidRPr="00184605">
        <w:rPr>
          <w:rFonts w:cs="Times New Roman"/>
        </w:rPr>
        <w:br w:type="page"/>
      </w:r>
    </w:p>
    <w:p w14:paraId="1B1AC5C6" w14:textId="77777777" w:rsidR="001D5038" w:rsidRPr="00F51925" w:rsidRDefault="001D5038" w:rsidP="001D5038">
      <w:pPr>
        <w:rPr>
          <w:rFonts w:cs="Times New Roman"/>
          <w:b/>
          <w:bCs/>
          <w:sz w:val="28"/>
          <w:szCs w:val="28"/>
        </w:rPr>
      </w:pPr>
      <w:r w:rsidRPr="00F51925">
        <w:rPr>
          <w:rFonts w:cs="Times New Roman"/>
          <w:b/>
          <w:bCs/>
          <w:sz w:val="28"/>
          <w:szCs w:val="28"/>
        </w:rPr>
        <w:lastRenderedPageBreak/>
        <w:t xml:space="preserve">Hoofdstuk 5: </w:t>
      </w:r>
      <w:r>
        <w:rPr>
          <w:rFonts w:cs="Times New Roman"/>
          <w:b/>
          <w:bCs/>
          <w:sz w:val="28"/>
          <w:szCs w:val="28"/>
        </w:rPr>
        <w:t>C</w:t>
      </w:r>
      <w:r w:rsidRPr="00F51925">
        <w:rPr>
          <w:rFonts w:cs="Times New Roman"/>
          <w:b/>
          <w:bCs/>
          <w:sz w:val="28"/>
          <w:szCs w:val="28"/>
        </w:rPr>
        <w:t>onclusie</w:t>
      </w:r>
    </w:p>
    <w:p w14:paraId="6D21F041" w14:textId="77777777" w:rsidR="001D5038" w:rsidRPr="00007EAC" w:rsidRDefault="001D5038" w:rsidP="001D5038">
      <w:pPr>
        <w:rPr>
          <w:rFonts w:cs="Times New Roman"/>
        </w:rPr>
      </w:pPr>
    </w:p>
    <w:p w14:paraId="4A0AD7B6" w14:textId="5BFEC7CD" w:rsidR="001D5038" w:rsidRPr="00007EAC" w:rsidRDefault="001D5038" w:rsidP="001D5038">
      <w:pPr>
        <w:rPr>
          <w:rFonts w:cs="Times New Roman"/>
        </w:rPr>
      </w:pPr>
      <w:r w:rsidRPr="00007EAC">
        <w:rPr>
          <w:rFonts w:cs="Times New Roman"/>
        </w:rPr>
        <w:t xml:space="preserve">Digitale en </w:t>
      </w:r>
      <w:r w:rsidRPr="007F10CB">
        <w:rPr>
          <w:rFonts w:cs="Times New Roman"/>
        </w:rPr>
        <w:t>datagedreven opsporing is een fenomeen</w:t>
      </w:r>
      <w:r w:rsidRPr="00007EAC">
        <w:rPr>
          <w:rFonts w:cs="Times New Roman"/>
        </w:rPr>
        <w:t xml:space="preserve"> dat steeds vaker voorkomt en ertoe leidt dat datasets een centrale rol innemen bij een groot aantal vervolgen in Nederland. </w:t>
      </w:r>
      <w:r>
        <w:rPr>
          <w:rFonts w:cs="Times New Roman"/>
        </w:rPr>
        <w:t>Vanwege de actualiteit van dit onderwerp is er discussie ontstaa</w:t>
      </w:r>
      <w:r w:rsidR="007C02BE">
        <w:rPr>
          <w:rFonts w:cs="Times New Roman"/>
        </w:rPr>
        <w:t>n</w:t>
      </w:r>
      <w:r>
        <w:rPr>
          <w:rFonts w:cs="Times New Roman"/>
        </w:rPr>
        <w:t xml:space="preserve"> over de mate waarin en de wijze waarop de verdediging toegang dient te krijgen tot deze datasets. Tegen de achtergrond dat het Nederlandse strafproces in een adversaire richting beweegt, heeft dit geleid</w:t>
      </w:r>
      <w:r w:rsidRPr="00007EAC">
        <w:rPr>
          <w:rFonts w:cs="Times New Roman"/>
        </w:rPr>
        <w:t xml:space="preserve"> tot de volgende onderzoeksvraag:</w:t>
      </w:r>
    </w:p>
    <w:p w14:paraId="1D0242C0" w14:textId="77777777" w:rsidR="001D5038" w:rsidRPr="00007EAC" w:rsidRDefault="001D5038" w:rsidP="001D5038">
      <w:pPr>
        <w:rPr>
          <w:rFonts w:cs="Times New Roman"/>
        </w:rPr>
      </w:pPr>
    </w:p>
    <w:p w14:paraId="7AC78D39" w14:textId="77777777" w:rsidR="001D5038" w:rsidRDefault="001D5038" w:rsidP="001D5038">
      <w:pPr>
        <w:rPr>
          <w:rFonts w:eastAsia="Times New Roman" w:cs="Times New Roman"/>
          <w:i/>
          <w:iCs/>
          <w:color w:val="000000" w:themeColor="text1"/>
        </w:rPr>
      </w:pPr>
      <w:r w:rsidRPr="00007EAC">
        <w:rPr>
          <w:rFonts w:eastAsia="Times New Roman" w:cs="Times New Roman"/>
          <w:i/>
          <w:iCs/>
          <w:color w:val="000000" w:themeColor="text1"/>
        </w:rPr>
        <w:t xml:space="preserve">"Hoe is de </w:t>
      </w:r>
      <w:r>
        <w:rPr>
          <w:rFonts w:eastAsia="Times New Roman" w:cs="Times New Roman"/>
          <w:i/>
          <w:iCs/>
          <w:color w:val="000000" w:themeColor="text1"/>
        </w:rPr>
        <w:t>toegang tot bewijs</w:t>
      </w:r>
      <w:r w:rsidRPr="00007EAC">
        <w:rPr>
          <w:rFonts w:eastAsia="Times New Roman" w:cs="Times New Roman"/>
          <w:i/>
          <w:iCs/>
          <w:color w:val="000000" w:themeColor="text1"/>
        </w:rPr>
        <w:t xml:space="preserve"> voor de verdediging ten aanzien van datasets vormgegeven binnen de strafrechtsstelsels van Nederland en Engeland &amp; Wales, welke overeenkomsten en verschillen bestaan hierin en welke lering valt hieruit te trekken voor het Nederlandse strafprocesrecht?"</w:t>
      </w:r>
    </w:p>
    <w:p w14:paraId="5481BCDD" w14:textId="77777777" w:rsidR="001D5038" w:rsidRDefault="001D5038" w:rsidP="001D5038">
      <w:pPr>
        <w:rPr>
          <w:rFonts w:eastAsia="Times New Roman" w:cs="Times New Roman"/>
          <w:i/>
          <w:iCs/>
          <w:color w:val="000000" w:themeColor="text1"/>
        </w:rPr>
      </w:pPr>
    </w:p>
    <w:p w14:paraId="10375F8D" w14:textId="77777777" w:rsidR="001D5038" w:rsidRPr="00A17DA3" w:rsidRDefault="001D5038" w:rsidP="001D5038">
      <w:pPr>
        <w:rPr>
          <w:rFonts w:eastAsia="Times New Roman" w:cs="Times New Roman"/>
          <w:color w:val="000000" w:themeColor="text1"/>
        </w:rPr>
      </w:pPr>
      <w:r w:rsidRPr="00502E62">
        <w:rPr>
          <w:rFonts w:eastAsia="Times New Roman" w:cs="Times New Roman"/>
          <w:color w:val="000000" w:themeColor="text1"/>
        </w:rPr>
        <w:t xml:space="preserve">In het Nederlandse strafprocesrecht is de toegang tot datasets vormgegeven aan de hand van het algemene inzagerecht en toepasselijke jurisprudentie van het EHRM. Aan de hand daarvan heeft men een praktijk ontwikkeld waar </w:t>
      </w:r>
      <w:r>
        <w:rPr>
          <w:rFonts w:eastAsia="Times New Roman" w:cs="Times New Roman"/>
          <w:color w:val="000000" w:themeColor="text1"/>
        </w:rPr>
        <w:t xml:space="preserve">de verdediging wordt betrokken bij de totstandkoming van de secundaire dataset doordat zij relevante zoektermen kan aanleveren. Vervolgens kan de verdediging de secundaire en de tertiaire dataset onderzoeken. In Engeland &amp; Wales geschiedt de toegang tot datasets op twee wijzen: </w:t>
      </w:r>
      <w:r w:rsidRPr="00BA0501">
        <w:rPr>
          <w:rFonts w:eastAsia="Times New Roman" w:cs="Times New Roman"/>
          <w:color w:val="000000" w:themeColor="text1"/>
        </w:rPr>
        <w:t xml:space="preserve">via eigen bewijsgaring </w:t>
      </w:r>
      <w:r>
        <w:rPr>
          <w:rFonts w:eastAsia="Times New Roman" w:cs="Times New Roman"/>
          <w:color w:val="000000" w:themeColor="text1"/>
        </w:rPr>
        <w:t xml:space="preserve">(zowel vrijwillig als </w:t>
      </w:r>
      <w:r w:rsidRPr="00BA0501">
        <w:rPr>
          <w:rFonts w:eastAsia="Times New Roman" w:cs="Times New Roman"/>
          <w:color w:val="000000" w:themeColor="text1"/>
        </w:rPr>
        <w:t xml:space="preserve">door middel van een </w:t>
      </w:r>
      <w:r w:rsidRPr="00BA0501">
        <w:rPr>
          <w:rFonts w:eastAsia="Times New Roman" w:cs="Times New Roman"/>
          <w:i/>
          <w:iCs/>
          <w:color w:val="000000" w:themeColor="text1"/>
        </w:rPr>
        <w:t>witness summons</w:t>
      </w:r>
      <w:r>
        <w:rPr>
          <w:rFonts w:eastAsia="Times New Roman" w:cs="Times New Roman"/>
          <w:color w:val="000000" w:themeColor="text1"/>
        </w:rPr>
        <w:t>)</w:t>
      </w:r>
      <w:r w:rsidRPr="00BA0501">
        <w:rPr>
          <w:rFonts w:eastAsia="Times New Roman" w:cs="Times New Roman"/>
          <w:color w:val="000000" w:themeColor="text1"/>
        </w:rPr>
        <w:t xml:space="preserve">, of via </w:t>
      </w:r>
      <w:r w:rsidRPr="00BA0501">
        <w:rPr>
          <w:rFonts w:eastAsia="Times New Roman" w:cs="Times New Roman"/>
          <w:i/>
          <w:iCs/>
          <w:color w:val="000000" w:themeColor="text1"/>
        </w:rPr>
        <w:t>statutory disclosure</w:t>
      </w:r>
      <w:r w:rsidRPr="00BA0501">
        <w:rPr>
          <w:rFonts w:eastAsia="Times New Roman" w:cs="Times New Roman"/>
          <w:color w:val="000000" w:themeColor="text1"/>
        </w:rPr>
        <w:t xml:space="preserve">. Uit nationale jurisprudentie en richtlijnen met betrekking tot </w:t>
      </w:r>
      <w:r w:rsidRPr="00A17DA3">
        <w:rPr>
          <w:rFonts w:eastAsia="Times New Roman" w:cs="Times New Roman"/>
          <w:i/>
          <w:iCs/>
          <w:color w:val="000000" w:themeColor="text1"/>
        </w:rPr>
        <w:t>disclosure</w:t>
      </w:r>
      <w:r w:rsidRPr="00BA0501">
        <w:rPr>
          <w:rFonts w:eastAsia="Times New Roman" w:cs="Times New Roman"/>
          <w:color w:val="000000" w:themeColor="text1"/>
        </w:rPr>
        <w:t xml:space="preserve"> blijkt dat</w:t>
      </w:r>
      <w:r>
        <w:rPr>
          <w:rFonts w:eastAsia="Times New Roman" w:cs="Times New Roman"/>
          <w:color w:val="000000" w:themeColor="text1"/>
        </w:rPr>
        <w:t xml:space="preserve"> er geen vastomlijnde praktijk bestaat voor de toegang tot datasets, al wordt wel gesproken over het aanleveren van zoektermen voor de totstandkoming van de secundaire dataset. Het is dus echter ook mogelijk dat de </w:t>
      </w:r>
      <w:r>
        <w:rPr>
          <w:rFonts w:eastAsia="Times New Roman" w:cs="Times New Roman"/>
          <w:i/>
          <w:iCs/>
          <w:color w:val="000000" w:themeColor="text1"/>
        </w:rPr>
        <w:t xml:space="preserve">disclosure </w:t>
      </w:r>
      <w:r>
        <w:rPr>
          <w:rFonts w:eastAsia="Times New Roman" w:cs="Times New Roman"/>
          <w:color w:val="000000" w:themeColor="text1"/>
        </w:rPr>
        <w:t xml:space="preserve">van datasets op een andere wijze geschiedt. Wel heeft de verdediging altijd toegang tot de tertiaire dataset die in de </w:t>
      </w:r>
      <w:r>
        <w:rPr>
          <w:rFonts w:eastAsia="Times New Roman" w:cs="Times New Roman"/>
          <w:i/>
          <w:iCs/>
          <w:color w:val="000000" w:themeColor="text1"/>
        </w:rPr>
        <w:t>prosecution case</w:t>
      </w:r>
      <w:r>
        <w:rPr>
          <w:rFonts w:eastAsia="Times New Roman" w:cs="Times New Roman"/>
          <w:color w:val="000000" w:themeColor="text1"/>
        </w:rPr>
        <w:t xml:space="preserve"> is opgenomen.</w:t>
      </w:r>
    </w:p>
    <w:p w14:paraId="375961F7" w14:textId="77777777" w:rsidR="001D5038" w:rsidRDefault="001D5038" w:rsidP="001D5038">
      <w:pPr>
        <w:rPr>
          <w:rFonts w:eastAsia="Times New Roman" w:cs="Times New Roman"/>
          <w:color w:val="000000" w:themeColor="text1"/>
        </w:rPr>
      </w:pPr>
    </w:p>
    <w:p w14:paraId="7B100DFA" w14:textId="475E8BDB" w:rsidR="001D5038" w:rsidRDefault="001D5038" w:rsidP="001D5038">
      <w:pPr>
        <w:rPr>
          <w:rFonts w:eastAsia="Times New Roman" w:cs="Times New Roman"/>
          <w:color w:val="000000" w:themeColor="text1"/>
        </w:rPr>
      </w:pPr>
      <w:r>
        <w:rPr>
          <w:rFonts w:eastAsia="Times New Roman" w:cs="Times New Roman"/>
          <w:color w:val="000000" w:themeColor="text1"/>
        </w:rPr>
        <w:t xml:space="preserve">De toegang tot bewijsmateriaal in het algemeen en de toegang tot datasets komen in beide rechtsstelsels op hoofdlijnen overeen. Dit kan worden verklaard aan de hand van de jurisprudentie van het EHRM, waardoor beide rechtsstelsels dezelfde mate van rechtsbescherming dienen te bieden met het oog op een eerlijk proces. Daarnaast is gebleken dat beide rechtsstelsels geen wettelijke regeling bevatten omtrent de toegang tot datasets. Er zijn echter ook punten waarop de toegang tot datasets in beide rechtsstelsels verschillen. Zo hanteert het Nederlandse inzagerecht een strenger criterium om toegang tot datasets te krijgen in de fase van de terechtzitting. Daarnaast kan de verdediging in Engeland &amp; Wales ook op zelfstandige wijze toegang tot datasets krijgen door een </w:t>
      </w:r>
      <w:r>
        <w:rPr>
          <w:rFonts w:eastAsia="Times New Roman" w:cs="Times New Roman"/>
          <w:i/>
          <w:iCs/>
          <w:color w:val="000000" w:themeColor="text1"/>
        </w:rPr>
        <w:t>witness summons</w:t>
      </w:r>
      <w:r>
        <w:rPr>
          <w:rFonts w:eastAsia="Times New Roman" w:cs="Times New Roman"/>
          <w:color w:val="000000" w:themeColor="text1"/>
        </w:rPr>
        <w:t>, terwijl deze mogelijkheid in Nederland</w:t>
      </w:r>
      <w:r w:rsidR="00146006">
        <w:rPr>
          <w:rFonts w:eastAsia="Times New Roman" w:cs="Times New Roman"/>
          <w:color w:val="000000" w:themeColor="text1"/>
        </w:rPr>
        <w:t xml:space="preserve"> vanwege het inquisitoir</w:t>
      </w:r>
      <w:r w:rsidR="000F4BED">
        <w:rPr>
          <w:rFonts w:eastAsia="Times New Roman" w:cs="Times New Roman"/>
          <w:color w:val="000000" w:themeColor="text1"/>
        </w:rPr>
        <w:t>e</w:t>
      </w:r>
      <w:r w:rsidR="00146006">
        <w:rPr>
          <w:rFonts w:eastAsia="Times New Roman" w:cs="Times New Roman"/>
          <w:color w:val="000000" w:themeColor="text1"/>
        </w:rPr>
        <w:t xml:space="preserve"> strafproces</w:t>
      </w:r>
      <w:r>
        <w:rPr>
          <w:rFonts w:eastAsia="Times New Roman" w:cs="Times New Roman"/>
          <w:color w:val="000000" w:themeColor="text1"/>
        </w:rPr>
        <w:t xml:space="preserve"> ontbreekt. De wijze waarop onderzoek wordt verricht aan de verkregen dataset is in beide rechtsstelsels vrij ingericht, maar in Nederland biedt het OM vanuit een inquisitoire procesgedachte zijn eigen onderzoeks</w:t>
      </w:r>
      <w:r w:rsidR="00284DC5">
        <w:rPr>
          <w:rFonts w:eastAsia="Times New Roman" w:cs="Times New Roman"/>
          <w:color w:val="000000" w:themeColor="text1"/>
        </w:rPr>
        <w:t>programma</w:t>
      </w:r>
      <w:r>
        <w:rPr>
          <w:rFonts w:eastAsia="Times New Roman" w:cs="Times New Roman"/>
          <w:color w:val="000000" w:themeColor="text1"/>
        </w:rPr>
        <w:t xml:space="preserve"> aan.</w:t>
      </w:r>
    </w:p>
    <w:p w14:paraId="31F53A70" w14:textId="3ACC5CAA" w:rsidR="001D5038" w:rsidRDefault="001D5038" w:rsidP="001D5038">
      <w:pPr>
        <w:rPr>
          <w:rFonts w:eastAsia="Times New Roman" w:cs="Times New Roman"/>
          <w:color w:val="000000" w:themeColor="text1"/>
        </w:rPr>
      </w:pPr>
      <w:r>
        <w:rPr>
          <w:rFonts w:eastAsia="Times New Roman" w:cs="Times New Roman"/>
          <w:color w:val="000000" w:themeColor="text1"/>
        </w:rPr>
        <w:lastRenderedPageBreak/>
        <w:t>Aan de hand van de geconstateerde overeenkomsten en verschillen zijn er een viertal inzichten die de rechtsvergelijking met Engeland &amp; Wales biedt. De eerste les hangt samen met de overeenkomsten tussen de toegang tot bewijsmateriaal en de toegang tot datasets. Deze overeenkomsten vormen een bevestiging dat de Nederlandse regeling het recht op een eerlijk proces waarborgt. Wel geniet de verdachte op het gebied van rechtszekerheid een betere positie onder de Nederlandse regeling, gezien daar sprake is van een vaste praktijk</w:t>
      </w:r>
      <w:r w:rsidR="001E1EA4">
        <w:rPr>
          <w:rFonts w:eastAsia="Times New Roman" w:cs="Times New Roman"/>
          <w:color w:val="000000" w:themeColor="text1"/>
        </w:rPr>
        <w:t>: d</w:t>
      </w:r>
      <w:r w:rsidR="00E67089">
        <w:rPr>
          <w:rFonts w:eastAsia="Times New Roman" w:cs="Times New Roman"/>
          <w:color w:val="000000" w:themeColor="text1"/>
        </w:rPr>
        <w:t>at is i</w:t>
      </w:r>
      <w:r>
        <w:rPr>
          <w:rFonts w:eastAsia="Times New Roman" w:cs="Times New Roman"/>
          <w:color w:val="000000" w:themeColor="text1"/>
        </w:rPr>
        <w:t xml:space="preserve">n Engeland &amp; Wales niet het geval. Daarnaast tonen de overeenkomsten tussen de toegang tot datasets aan dat de Nederlandse regeling ook toepasbaar is binnen een adversair stelsel. Dit vormt een positieve ontwikkeling gelet op het </w:t>
      </w:r>
      <w:r w:rsidR="00E77423">
        <w:rPr>
          <w:rFonts w:eastAsia="Times New Roman" w:cs="Times New Roman"/>
          <w:color w:val="000000" w:themeColor="text1"/>
        </w:rPr>
        <w:t>de beweging van het Nederlandse strafproces in een adversaire richting</w:t>
      </w:r>
      <w:r>
        <w:rPr>
          <w:rFonts w:eastAsia="Times New Roman" w:cs="Times New Roman"/>
          <w:color w:val="000000" w:themeColor="text1"/>
        </w:rPr>
        <w:t>: zelfs met deze beweging blijft de huidige regeling omtrent</w:t>
      </w:r>
      <w:r w:rsidR="00225B29">
        <w:rPr>
          <w:rFonts w:eastAsia="Times New Roman" w:cs="Times New Roman"/>
          <w:color w:val="000000" w:themeColor="text1"/>
        </w:rPr>
        <w:t xml:space="preserve"> de</w:t>
      </w:r>
      <w:r>
        <w:rPr>
          <w:rFonts w:eastAsia="Times New Roman" w:cs="Times New Roman"/>
          <w:color w:val="000000" w:themeColor="text1"/>
        </w:rPr>
        <w:t xml:space="preserve"> toegang tot datasets toepasbaar. Of de</w:t>
      </w:r>
      <w:r w:rsidR="00CA11C8">
        <w:rPr>
          <w:rFonts w:eastAsia="Times New Roman" w:cs="Times New Roman"/>
          <w:color w:val="000000" w:themeColor="text1"/>
        </w:rPr>
        <w:t xml:space="preserve"> Nederlandse</w:t>
      </w:r>
      <w:r>
        <w:rPr>
          <w:rFonts w:eastAsia="Times New Roman" w:cs="Times New Roman"/>
          <w:color w:val="000000" w:themeColor="text1"/>
        </w:rPr>
        <w:t xml:space="preserve"> regeling voldoende middelen biedt om tegenspraak te leveren, verdient echter nader onderzoek.</w:t>
      </w:r>
    </w:p>
    <w:p w14:paraId="27CFB607" w14:textId="77777777" w:rsidR="001D5038" w:rsidRDefault="001D5038" w:rsidP="001D5038">
      <w:pPr>
        <w:rPr>
          <w:rFonts w:eastAsia="Times New Roman" w:cs="Times New Roman"/>
          <w:color w:val="000000" w:themeColor="text1"/>
        </w:rPr>
      </w:pPr>
    </w:p>
    <w:p w14:paraId="3F05ED1B" w14:textId="3B13D866" w:rsidR="004470B2" w:rsidRDefault="00011E88" w:rsidP="001D5038">
      <w:pPr>
        <w:rPr>
          <w:rFonts w:eastAsia="Times New Roman" w:cs="Times New Roman"/>
          <w:color w:val="000000" w:themeColor="text1"/>
        </w:rPr>
      </w:pPr>
      <w:r w:rsidRPr="00011E88">
        <w:rPr>
          <w:rFonts w:eastAsia="Times New Roman" w:cs="Times New Roman"/>
          <w:color w:val="000000" w:themeColor="text1"/>
        </w:rPr>
        <w:t>Verder zijn er twee aspecten uit het rechtsstelsel van Engeland &amp; Wales waar lering uit kan worden getrokken wat betreft het leveren van tegenspraak in het Nederlandse strafproces.</w:t>
      </w:r>
      <w:r>
        <w:rPr>
          <w:rFonts w:eastAsia="Times New Roman" w:cs="Times New Roman"/>
          <w:color w:val="000000" w:themeColor="text1"/>
        </w:rPr>
        <w:t xml:space="preserve"> </w:t>
      </w:r>
      <w:r w:rsidR="001D5038">
        <w:rPr>
          <w:rFonts w:eastAsia="Times New Roman" w:cs="Times New Roman"/>
          <w:color w:val="000000" w:themeColor="text1"/>
        </w:rPr>
        <w:t xml:space="preserve">Met de </w:t>
      </w:r>
      <w:r w:rsidR="001D5038">
        <w:rPr>
          <w:rFonts w:eastAsia="Times New Roman" w:cs="Times New Roman"/>
          <w:i/>
          <w:iCs/>
          <w:color w:val="000000" w:themeColor="text1"/>
        </w:rPr>
        <w:t>defence disclosure</w:t>
      </w:r>
      <w:r w:rsidR="001D5038">
        <w:rPr>
          <w:rFonts w:eastAsia="Times New Roman" w:cs="Times New Roman"/>
          <w:color w:val="000000" w:themeColor="text1"/>
        </w:rPr>
        <w:t xml:space="preserve"> kan de verdediging op efficiënte wijze aankaarten waar de geschilpunten liggen en kan de toegang tot datasets beter worden uitgevoerd. Daarvoor is wel van belang dat het verplichte karakter van de </w:t>
      </w:r>
      <w:r w:rsidR="001D5038">
        <w:rPr>
          <w:rFonts w:eastAsia="Times New Roman" w:cs="Times New Roman"/>
          <w:i/>
          <w:iCs/>
          <w:color w:val="000000" w:themeColor="text1"/>
        </w:rPr>
        <w:t>defence disclosure</w:t>
      </w:r>
      <w:r w:rsidR="001D5038">
        <w:rPr>
          <w:rFonts w:eastAsia="Times New Roman" w:cs="Times New Roman"/>
          <w:color w:val="000000" w:themeColor="text1"/>
        </w:rPr>
        <w:t xml:space="preserve"> achterwege wordt gelaten.</w:t>
      </w:r>
      <w:r w:rsidR="00A93C9D">
        <w:rPr>
          <w:rFonts w:eastAsia="Times New Roman" w:cs="Times New Roman"/>
          <w:color w:val="000000" w:themeColor="text1"/>
        </w:rPr>
        <w:t xml:space="preserve"> Door middel van </w:t>
      </w:r>
      <w:r w:rsidR="00A93C9D">
        <w:rPr>
          <w:rFonts w:eastAsia="Times New Roman" w:cs="Times New Roman"/>
          <w:i/>
          <w:iCs/>
          <w:color w:val="000000" w:themeColor="text1"/>
        </w:rPr>
        <w:t>pre-charge engagement</w:t>
      </w:r>
      <w:r w:rsidR="00A93C9D">
        <w:rPr>
          <w:rFonts w:eastAsia="Times New Roman" w:cs="Times New Roman"/>
          <w:color w:val="000000" w:themeColor="text1"/>
        </w:rPr>
        <w:t xml:space="preserve"> kunnen de procespartijen met elkaar in overleg treden over (onder andere) de toegang tot datasets en kunnen zij daar mogelijk afspraken over maken. In Engeland &amp; Wales valt het aanleveren van zoektermen door de verdediging onder dergelijke afspraken. Gezien de vormvrijheid van </w:t>
      </w:r>
      <w:r w:rsidR="00A93C9D">
        <w:rPr>
          <w:rFonts w:eastAsia="Times New Roman" w:cs="Times New Roman"/>
          <w:i/>
          <w:iCs/>
          <w:color w:val="000000" w:themeColor="text1"/>
        </w:rPr>
        <w:t>pre-charge engagement</w:t>
      </w:r>
      <w:r w:rsidR="00A93C9D">
        <w:rPr>
          <w:rFonts w:eastAsia="Times New Roman" w:cs="Times New Roman"/>
          <w:color w:val="000000" w:themeColor="text1"/>
        </w:rPr>
        <w:t xml:space="preserve"> dient nader te worden onderzocht op welke wijze en onder welke voorwaarden </w:t>
      </w:r>
      <w:r w:rsidR="00A93C9D">
        <w:rPr>
          <w:rFonts w:eastAsia="Times New Roman" w:cs="Times New Roman"/>
          <w:i/>
          <w:iCs/>
          <w:color w:val="000000" w:themeColor="text1"/>
        </w:rPr>
        <w:t>pre-charge engagement</w:t>
      </w:r>
      <w:r w:rsidR="00A93C9D">
        <w:rPr>
          <w:rFonts w:eastAsia="Times New Roman" w:cs="Times New Roman"/>
          <w:color w:val="000000" w:themeColor="text1"/>
        </w:rPr>
        <w:t xml:space="preserve"> een plaats zou kunnen innemen in het Nederlands strafprocesrecht.</w:t>
      </w:r>
      <w:r w:rsidR="004470B2">
        <w:rPr>
          <w:rFonts w:eastAsia="Times New Roman" w:cs="Times New Roman"/>
          <w:color w:val="000000" w:themeColor="text1"/>
        </w:rPr>
        <w:t xml:space="preserve"> </w:t>
      </w:r>
      <w:r w:rsidR="001D5038">
        <w:rPr>
          <w:rFonts w:eastAsia="Times New Roman" w:cs="Times New Roman"/>
          <w:color w:val="000000" w:themeColor="text1"/>
        </w:rPr>
        <w:t xml:space="preserve">Daarnaast </w:t>
      </w:r>
      <w:r w:rsidR="00F70910">
        <w:rPr>
          <w:rFonts w:eastAsia="Times New Roman" w:cs="Times New Roman"/>
          <w:color w:val="000000" w:themeColor="text1"/>
        </w:rPr>
        <w:t>ziet de laatste les op het ontbreken van een wettelijke regeling voor de toegang tot datasets in beide rechtsstelsels</w:t>
      </w:r>
      <w:r w:rsidR="001D5038">
        <w:rPr>
          <w:rFonts w:eastAsia="Times New Roman" w:cs="Times New Roman"/>
          <w:color w:val="000000" w:themeColor="text1"/>
        </w:rPr>
        <w:t xml:space="preserve">. In Nederland zou zo’n wettelijke regeling meerwaarde kunnen hebben: met de codificatie van de huidige uitgekristalliseerde praktijk wordt bijgedragen aan de rechtszekerheid en aan een Wetboek van Strafvordering dat het toepasselijke recht weerspiegelt. </w:t>
      </w:r>
    </w:p>
    <w:p w14:paraId="21CFCD81" w14:textId="77777777" w:rsidR="004470B2" w:rsidRDefault="004470B2" w:rsidP="001D5038">
      <w:pPr>
        <w:rPr>
          <w:rFonts w:eastAsia="Times New Roman" w:cs="Times New Roman"/>
          <w:color w:val="000000" w:themeColor="text1"/>
        </w:rPr>
      </w:pPr>
    </w:p>
    <w:p w14:paraId="69C985D3" w14:textId="236F8A58" w:rsidR="001D5038" w:rsidRDefault="004470B2" w:rsidP="007163DB">
      <w:pPr>
        <w:rPr>
          <w:rFonts w:eastAsia="Times New Roman" w:cs="Times New Roman"/>
          <w:color w:val="000000" w:themeColor="text1"/>
        </w:rPr>
      </w:pPr>
      <w:r>
        <w:rPr>
          <w:rFonts w:eastAsia="Times New Roman" w:cs="Times New Roman"/>
          <w:color w:val="000000" w:themeColor="text1"/>
        </w:rPr>
        <w:t>Op grond van deze inzichten zijn er een aantal aanbevelingen die in het kader van de lopende modernisering van het Wetboek van Strafvordering kunnen worden gedaan.</w:t>
      </w:r>
      <w:r w:rsidR="00335B5D">
        <w:rPr>
          <w:rFonts w:eastAsia="Times New Roman" w:cs="Times New Roman"/>
          <w:color w:val="000000" w:themeColor="text1"/>
        </w:rPr>
        <w:t xml:space="preserve"> De eerste aanbeveling ziet op</w:t>
      </w:r>
      <w:r w:rsidR="001C33C6">
        <w:rPr>
          <w:rFonts w:eastAsia="Times New Roman" w:cs="Times New Roman"/>
          <w:color w:val="000000" w:themeColor="text1"/>
        </w:rPr>
        <w:t xml:space="preserve"> het verrichten van nader onderzoek naar de vraag of de Nederlandse regeling omtrent de toegang tot datasets voldoende</w:t>
      </w:r>
      <w:r w:rsidR="00244AEE">
        <w:rPr>
          <w:rFonts w:eastAsia="Times New Roman" w:cs="Times New Roman"/>
          <w:color w:val="000000" w:themeColor="text1"/>
        </w:rPr>
        <w:t xml:space="preserve"> is</w:t>
      </w:r>
      <w:r w:rsidR="001C33C6">
        <w:rPr>
          <w:rFonts w:eastAsia="Times New Roman" w:cs="Times New Roman"/>
          <w:color w:val="000000" w:themeColor="text1"/>
        </w:rPr>
        <w:t xml:space="preserve"> </w:t>
      </w:r>
      <w:r w:rsidR="003A02B7">
        <w:rPr>
          <w:rFonts w:eastAsia="Times New Roman" w:cs="Times New Roman"/>
          <w:color w:val="000000" w:themeColor="text1"/>
        </w:rPr>
        <w:t>toegerust</w:t>
      </w:r>
      <w:r w:rsidR="001C33C6">
        <w:rPr>
          <w:rFonts w:eastAsia="Times New Roman" w:cs="Times New Roman"/>
          <w:color w:val="000000" w:themeColor="text1"/>
        </w:rPr>
        <w:t xml:space="preserve"> op de nadruk op tegenspraak die de modernisering van het Wetboek van Strafvordering met zich zal brengen. Daarnaast verdienen de </w:t>
      </w:r>
      <w:r w:rsidR="001C33C6">
        <w:rPr>
          <w:rFonts w:eastAsia="Times New Roman" w:cs="Times New Roman"/>
          <w:i/>
          <w:iCs/>
          <w:color w:val="000000" w:themeColor="text1"/>
        </w:rPr>
        <w:t xml:space="preserve">defence disclosure </w:t>
      </w:r>
      <w:r w:rsidR="001C33C6">
        <w:rPr>
          <w:rFonts w:eastAsia="Times New Roman" w:cs="Times New Roman"/>
          <w:color w:val="000000" w:themeColor="text1"/>
        </w:rPr>
        <w:t xml:space="preserve">en </w:t>
      </w:r>
      <w:r w:rsidR="001C33C6">
        <w:rPr>
          <w:rFonts w:eastAsia="Times New Roman" w:cs="Times New Roman"/>
          <w:i/>
          <w:iCs/>
          <w:color w:val="000000" w:themeColor="text1"/>
        </w:rPr>
        <w:t>pre-charge engagement</w:t>
      </w:r>
      <w:r w:rsidR="001C33C6">
        <w:rPr>
          <w:rFonts w:eastAsia="Times New Roman" w:cs="Times New Roman"/>
          <w:color w:val="000000" w:themeColor="text1"/>
        </w:rPr>
        <w:t xml:space="preserve"> nader onderzoek op mogelijke implementatie in het gemoderniseerde Wetboek van Strafvordering, zodat de verdediging op effectievere wijze tegenspraak kan leveren in het vooronderzoek. Als laatste kan de modernisering van het Wetboek van Strafvordering kijken naar een wettelijke regeling voor de toegang tot datasets, waarin de voorgaande aspecten tevens kunnen worden meegenomen</w:t>
      </w:r>
      <w:r w:rsidR="00AE73B0">
        <w:rPr>
          <w:rFonts w:eastAsia="Times New Roman" w:cs="Times New Roman"/>
          <w:color w:val="000000" w:themeColor="text1"/>
        </w:rPr>
        <w:t>.</w:t>
      </w:r>
    </w:p>
    <w:p w14:paraId="280B1063" w14:textId="0076D4AC" w:rsidR="00EB0B3C" w:rsidRPr="00184605" w:rsidRDefault="00EB0B3C" w:rsidP="00184605">
      <w:pPr>
        <w:rPr>
          <w:rFonts w:cs="Times New Roman"/>
          <w:b/>
          <w:bCs/>
        </w:rPr>
      </w:pPr>
      <w:r w:rsidRPr="00184605">
        <w:rPr>
          <w:rFonts w:cs="Times New Roman"/>
          <w:b/>
          <w:bCs/>
        </w:rPr>
        <w:lastRenderedPageBreak/>
        <w:t>Literatuurlijst</w:t>
      </w:r>
    </w:p>
    <w:p w14:paraId="4B8066A1" w14:textId="77777777" w:rsidR="00EB0B3C" w:rsidRPr="00184605" w:rsidRDefault="00EB0B3C" w:rsidP="00184605">
      <w:pPr>
        <w:rPr>
          <w:rFonts w:cs="Times New Roman"/>
        </w:rPr>
      </w:pPr>
    </w:p>
    <w:p w14:paraId="17EDFEF7" w14:textId="77777777" w:rsidR="00EB0B3C" w:rsidRPr="00184605" w:rsidRDefault="00EB0B3C" w:rsidP="00184605">
      <w:pPr>
        <w:rPr>
          <w:rFonts w:cs="Times New Roman"/>
        </w:rPr>
      </w:pPr>
      <w:r w:rsidRPr="00184605">
        <w:rPr>
          <w:rFonts w:cs="Times New Roman"/>
          <w:b/>
          <w:bCs/>
        </w:rPr>
        <w:t>Aben 2023</w:t>
      </w:r>
    </w:p>
    <w:p w14:paraId="205B005B" w14:textId="77777777" w:rsidR="00EB0B3C" w:rsidRPr="00184605" w:rsidRDefault="00EB0B3C" w:rsidP="00184605">
      <w:pPr>
        <w:rPr>
          <w:rFonts w:cs="Times New Roman"/>
        </w:rPr>
      </w:pPr>
      <w:r w:rsidRPr="00184605">
        <w:rPr>
          <w:rFonts w:cs="Times New Roman"/>
        </w:rPr>
        <w:t xml:space="preserve">D.J.C. Aben, ‘Het onderzoeksplatform Hansken. Hoe Rembrandts olifant nieuw leven krijgt ingeblazen’, </w:t>
      </w:r>
      <w:r w:rsidRPr="00184605">
        <w:rPr>
          <w:rFonts w:cs="Times New Roman"/>
          <w:i/>
          <w:iCs/>
        </w:rPr>
        <w:t>Expertise en Recht</w:t>
      </w:r>
      <w:r w:rsidRPr="00184605">
        <w:rPr>
          <w:rFonts w:cs="Times New Roman"/>
        </w:rPr>
        <w:t xml:space="preserve"> 2023-4, p. 121-122.</w:t>
      </w:r>
    </w:p>
    <w:p w14:paraId="5E29667E" w14:textId="77777777" w:rsidR="00EB0B3C" w:rsidRPr="00184605" w:rsidRDefault="00EB0B3C" w:rsidP="00184605">
      <w:pPr>
        <w:rPr>
          <w:rFonts w:cs="Times New Roman"/>
        </w:rPr>
      </w:pPr>
    </w:p>
    <w:p w14:paraId="754DDBE4" w14:textId="77777777" w:rsidR="00EB0B3C" w:rsidRPr="00184605" w:rsidRDefault="00EB0B3C" w:rsidP="00184605">
      <w:pPr>
        <w:rPr>
          <w:rFonts w:cs="Times New Roman"/>
        </w:rPr>
      </w:pPr>
      <w:r w:rsidRPr="00184605">
        <w:rPr>
          <w:rFonts w:cs="Times New Roman"/>
          <w:b/>
          <w:bCs/>
        </w:rPr>
        <w:t>Adams 2021</w:t>
      </w:r>
    </w:p>
    <w:p w14:paraId="46F9BE27" w14:textId="77777777" w:rsidR="00EB0B3C" w:rsidRPr="00184605" w:rsidRDefault="00EB0B3C" w:rsidP="00184605">
      <w:pPr>
        <w:rPr>
          <w:rFonts w:cs="Times New Roman"/>
        </w:rPr>
      </w:pPr>
      <w:r w:rsidRPr="00184605">
        <w:rPr>
          <w:rFonts w:cs="Times New Roman"/>
        </w:rPr>
        <w:t xml:space="preserve">S.G.A.M. Adams, ‘Vertrouwen is goed, maar controle is beter. De interpretatie van het interstatelijk vertrouwensbeginsel door Nederlandse feitenrechter bij samenwerking tussen EVRM-lidstaten in het kader van internationale digitale rechtshulp in strafzaken en het beginsel van equality of arms’, </w:t>
      </w:r>
      <w:r w:rsidRPr="00184605">
        <w:rPr>
          <w:rFonts w:cs="Times New Roman"/>
          <w:i/>
          <w:iCs/>
        </w:rPr>
        <w:t>DD</w:t>
      </w:r>
      <w:r w:rsidRPr="00184605">
        <w:rPr>
          <w:rFonts w:cs="Times New Roman"/>
        </w:rPr>
        <w:t xml:space="preserve"> 2021/74, afl. 10, p. 959-981.</w:t>
      </w:r>
    </w:p>
    <w:p w14:paraId="7600AF9D" w14:textId="77777777" w:rsidR="00EB0B3C" w:rsidRPr="00184605" w:rsidRDefault="00EB0B3C" w:rsidP="00184605">
      <w:pPr>
        <w:rPr>
          <w:rFonts w:cs="Times New Roman"/>
        </w:rPr>
      </w:pPr>
    </w:p>
    <w:p w14:paraId="135E04E3" w14:textId="77777777" w:rsidR="00EB0B3C" w:rsidRPr="00221A33" w:rsidRDefault="00EB0B3C" w:rsidP="00184605">
      <w:pPr>
        <w:rPr>
          <w:rFonts w:cs="Times New Roman"/>
          <w:lang w:val="en-US"/>
        </w:rPr>
      </w:pPr>
      <w:r w:rsidRPr="00221A33">
        <w:rPr>
          <w:rFonts w:cs="Times New Roman"/>
          <w:b/>
          <w:bCs/>
          <w:lang w:val="en-US"/>
        </w:rPr>
        <w:t>Ashworth 2010</w:t>
      </w:r>
    </w:p>
    <w:p w14:paraId="18EE2CD8" w14:textId="77777777" w:rsidR="00EB0B3C" w:rsidRPr="00221A33" w:rsidRDefault="00EB0B3C" w:rsidP="00184605">
      <w:pPr>
        <w:rPr>
          <w:rFonts w:cs="Times New Roman"/>
          <w:lang w:val="en-US"/>
        </w:rPr>
      </w:pPr>
      <w:r w:rsidRPr="00221A33">
        <w:rPr>
          <w:rFonts w:cs="Times New Roman"/>
          <w:lang w:val="en-US"/>
        </w:rPr>
        <w:t xml:space="preserve">A. Ashworth, </w:t>
      </w:r>
      <w:r w:rsidRPr="00221A33">
        <w:rPr>
          <w:rFonts w:cs="Times New Roman"/>
          <w:i/>
          <w:iCs/>
          <w:lang w:val="en-US"/>
        </w:rPr>
        <w:t xml:space="preserve">Sentencing and Criminal Justice </w:t>
      </w:r>
      <w:r w:rsidRPr="00221A33">
        <w:rPr>
          <w:rFonts w:cs="Times New Roman"/>
          <w:lang w:val="en-US"/>
        </w:rPr>
        <w:t>(5th Edition), Cambridge: Cambridge University Press 2010.</w:t>
      </w:r>
    </w:p>
    <w:p w14:paraId="043B0CAD" w14:textId="77777777" w:rsidR="00EB0B3C" w:rsidRPr="00221A33" w:rsidRDefault="00EB0B3C" w:rsidP="00184605">
      <w:pPr>
        <w:rPr>
          <w:rFonts w:cs="Times New Roman"/>
          <w:lang w:val="en-US"/>
        </w:rPr>
      </w:pPr>
    </w:p>
    <w:p w14:paraId="6861F0C8" w14:textId="77777777" w:rsidR="00EB0B3C" w:rsidRPr="00221A33" w:rsidRDefault="00EB0B3C" w:rsidP="00184605">
      <w:pPr>
        <w:rPr>
          <w:rFonts w:cs="Times New Roman"/>
          <w:lang w:val="en-US"/>
        </w:rPr>
      </w:pPr>
      <w:r w:rsidRPr="00221A33">
        <w:rPr>
          <w:rFonts w:cs="Times New Roman"/>
          <w:b/>
          <w:bCs/>
          <w:lang w:val="en-US"/>
        </w:rPr>
        <w:t>Ashworth &amp; Horder 2013</w:t>
      </w:r>
    </w:p>
    <w:p w14:paraId="105F21BE" w14:textId="77777777" w:rsidR="00EB0B3C" w:rsidRPr="00221A33" w:rsidRDefault="00EB0B3C" w:rsidP="00184605">
      <w:pPr>
        <w:rPr>
          <w:rFonts w:cs="Times New Roman"/>
          <w:lang w:val="en-US"/>
        </w:rPr>
      </w:pPr>
      <w:r w:rsidRPr="00221A33">
        <w:rPr>
          <w:rFonts w:cs="Times New Roman"/>
          <w:lang w:val="en-US"/>
        </w:rPr>
        <w:t xml:space="preserve">A. Ashworth &amp; J. Horder, </w:t>
      </w:r>
      <w:r w:rsidRPr="00221A33">
        <w:rPr>
          <w:rFonts w:cs="Times New Roman"/>
          <w:i/>
          <w:iCs/>
          <w:lang w:val="en-US"/>
        </w:rPr>
        <w:t xml:space="preserve">Principles of Criminal Law </w:t>
      </w:r>
      <w:r w:rsidRPr="00221A33">
        <w:rPr>
          <w:rFonts w:cs="Times New Roman"/>
          <w:lang w:val="en-US"/>
        </w:rPr>
        <w:t>(7th Edition), Oxford: Oxford University Press 2013.</w:t>
      </w:r>
    </w:p>
    <w:p w14:paraId="2C9E3DE2" w14:textId="77777777" w:rsidR="00EB0B3C" w:rsidRPr="00221A33" w:rsidRDefault="00EB0B3C" w:rsidP="00184605">
      <w:pPr>
        <w:rPr>
          <w:rFonts w:cs="Times New Roman"/>
          <w:lang w:val="en-US"/>
        </w:rPr>
      </w:pPr>
    </w:p>
    <w:p w14:paraId="4DB8C1FF" w14:textId="77777777" w:rsidR="00EB0B3C" w:rsidRPr="00221A33" w:rsidRDefault="00EB0B3C" w:rsidP="00184605">
      <w:pPr>
        <w:rPr>
          <w:rFonts w:cs="Times New Roman"/>
          <w:lang w:val="en-US"/>
        </w:rPr>
      </w:pPr>
      <w:r w:rsidRPr="00221A33">
        <w:rPr>
          <w:rFonts w:cs="Times New Roman"/>
          <w:b/>
          <w:bCs/>
          <w:lang w:val="en-US"/>
        </w:rPr>
        <w:t>Ashworth &amp; Redmayne 2010</w:t>
      </w:r>
    </w:p>
    <w:p w14:paraId="43F724A2" w14:textId="77777777" w:rsidR="00EB0B3C" w:rsidRPr="00221A33" w:rsidRDefault="00EB0B3C" w:rsidP="00184605">
      <w:pPr>
        <w:rPr>
          <w:rFonts w:cs="Times New Roman"/>
          <w:lang w:val="en-US"/>
        </w:rPr>
      </w:pPr>
      <w:r w:rsidRPr="00221A33">
        <w:rPr>
          <w:rFonts w:cs="Times New Roman"/>
          <w:lang w:val="en-US"/>
        </w:rPr>
        <w:t xml:space="preserve">A. Ashworth &amp; M. Redmayne, </w:t>
      </w:r>
      <w:r w:rsidRPr="00221A33">
        <w:rPr>
          <w:rFonts w:cs="Times New Roman"/>
          <w:i/>
          <w:iCs/>
          <w:lang w:val="en-US"/>
        </w:rPr>
        <w:t xml:space="preserve">The Criminal Process </w:t>
      </w:r>
      <w:r w:rsidRPr="00221A33">
        <w:rPr>
          <w:rFonts w:cs="Times New Roman"/>
          <w:lang w:val="en-US"/>
        </w:rPr>
        <w:t>(4th Edition), Oxford: Oxford University Press 2010.</w:t>
      </w:r>
    </w:p>
    <w:p w14:paraId="7B454240" w14:textId="77777777" w:rsidR="00EB0B3C" w:rsidRPr="00221A33" w:rsidRDefault="00EB0B3C" w:rsidP="00184605">
      <w:pPr>
        <w:rPr>
          <w:rFonts w:cs="Times New Roman"/>
          <w:lang w:val="en-US"/>
        </w:rPr>
      </w:pPr>
    </w:p>
    <w:p w14:paraId="2B0B8491" w14:textId="77777777" w:rsidR="00EB0B3C" w:rsidRPr="00221A33" w:rsidRDefault="00EB0B3C" w:rsidP="00184605">
      <w:pPr>
        <w:rPr>
          <w:rFonts w:cs="Times New Roman"/>
          <w:lang w:val="en-US"/>
        </w:rPr>
      </w:pPr>
      <w:r w:rsidRPr="00221A33">
        <w:rPr>
          <w:rFonts w:cs="Times New Roman"/>
          <w:b/>
          <w:bCs/>
          <w:lang w:val="en-US"/>
        </w:rPr>
        <w:t>Auld 2001</w:t>
      </w:r>
    </w:p>
    <w:p w14:paraId="73E97721" w14:textId="77777777" w:rsidR="00EB0B3C" w:rsidRPr="00221A33" w:rsidRDefault="00EB0B3C" w:rsidP="00184605">
      <w:pPr>
        <w:rPr>
          <w:rFonts w:cs="Times New Roman"/>
          <w:lang w:val="en-US"/>
        </w:rPr>
      </w:pPr>
      <w:r w:rsidRPr="00221A33">
        <w:rPr>
          <w:rFonts w:cs="Times New Roman"/>
          <w:lang w:val="en-US"/>
        </w:rPr>
        <w:t xml:space="preserve">R.E. Auld, </w:t>
      </w:r>
      <w:r w:rsidRPr="00221A33">
        <w:rPr>
          <w:rFonts w:cs="Times New Roman"/>
          <w:i/>
          <w:iCs/>
          <w:lang w:val="en-US"/>
        </w:rPr>
        <w:t>Review of the Criminal Courts of England and Wales</w:t>
      </w:r>
      <w:r w:rsidRPr="00221A33">
        <w:rPr>
          <w:rFonts w:cs="Times New Roman"/>
          <w:lang w:val="en-US"/>
        </w:rPr>
        <w:t xml:space="preserve">, Londen: Stationery Office 2001. </w:t>
      </w:r>
    </w:p>
    <w:p w14:paraId="5E8C1FA1" w14:textId="77777777" w:rsidR="00EB0B3C" w:rsidRPr="00221A33" w:rsidRDefault="00EB0B3C" w:rsidP="00184605">
      <w:pPr>
        <w:rPr>
          <w:rFonts w:cs="Times New Roman"/>
          <w:lang w:val="en-US"/>
        </w:rPr>
      </w:pPr>
    </w:p>
    <w:p w14:paraId="40A63A08" w14:textId="77777777" w:rsidR="00EB0B3C" w:rsidRPr="00221A33" w:rsidRDefault="00EB0B3C" w:rsidP="00184605">
      <w:pPr>
        <w:rPr>
          <w:rFonts w:cs="Times New Roman"/>
          <w:lang w:val="en-US"/>
        </w:rPr>
      </w:pPr>
      <w:r w:rsidRPr="00221A33">
        <w:rPr>
          <w:rFonts w:cs="Times New Roman"/>
          <w:b/>
          <w:bCs/>
          <w:lang w:val="en-US"/>
        </w:rPr>
        <w:t>Bertrand 1973</w:t>
      </w:r>
    </w:p>
    <w:p w14:paraId="440D16E1" w14:textId="77777777" w:rsidR="00EB0B3C" w:rsidRPr="00221A33" w:rsidRDefault="00EB0B3C" w:rsidP="00184605">
      <w:pPr>
        <w:rPr>
          <w:rFonts w:cs="Times New Roman"/>
          <w:lang w:val="en-US"/>
        </w:rPr>
      </w:pPr>
      <w:r w:rsidRPr="00221A33">
        <w:rPr>
          <w:rFonts w:cs="Times New Roman"/>
          <w:lang w:val="en-US"/>
        </w:rPr>
        <w:t xml:space="preserve">G. Bertrand, </w:t>
      </w:r>
      <w:r w:rsidRPr="00221A33">
        <w:rPr>
          <w:rFonts w:cs="Times New Roman"/>
          <w:i/>
          <w:iCs/>
          <w:lang w:val="en-US"/>
        </w:rPr>
        <w:t>Enigma ou la plus grande énigme de la Guerre 1939 – 1945</w:t>
      </w:r>
      <w:r w:rsidRPr="00221A33">
        <w:rPr>
          <w:rFonts w:cs="Times New Roman"/>
          <w:lang w:val="en-US"/>
        </w:rPr>
        <w:t>, Parijs: Librairie Plon 1973.</w:t>
      </w:r>
    </w:p>
    <w:p w14:paraId="453384A3" w14:textId="77777777" w:rsidR="00EB0B3C" w:rsidRPr="00221A33" w:rsidRDefault="00EB0B3C" w:rsidP="00184605">
      <w:pPr>
        <w:rPr>
          <w:rFonts w:cs="Times New Roman"/>
          <w:lang w:val="en-US"/>
        </w:rPr>
      </w:pPr>
    </w:p>
    <w:p w14:paraId="64744551" w14:textId="77777777" w:rsidR="00EB0B3C" w:rsidRPr="00221A33" w:rsidRDefault="00EB0B3C" w:rsidP="00184605">
      <w:pPr>
        <w:rPr>
          <w:rFonts w:cs="Times New Roman"/>
          <w:b/>
          <w:bCs/>
          <w:lang w:val="en-US"/>
        </w:rPr>
      </w:pPr>
      <w:r w:rsidRPr="00221A33">
        <w:rPr>
          <w:rFonts w:cs="Times New Roman"/>
          <w:b/>
          <w:bCs/>
          <w:lang w:val="en-US"/>
        </w:rPr>
        <w:t xml:space="preserve">Boksem, in: </w:t>
      </w:r>
      <w:r w:rsidRPr="00221A33">
        <w:rPr>
          <w:rFonts w:cs="Times New Roman"/>
          <w:b/>
          <w:bCs/>
          <w:i/>
          <w:iCs/>
          <w:lang w:val="en-US"/>
        </w:rPr>
        <w:t>T&amp;C Strafvordering 2023</w:t>
      </w:r>
    </w:p>
    <w:p w14:paraId="5B94280A" w14:textId="77777777" w:rsidR="00EB0B3C" w:rsidRPr="00184605" w:rsidRDefault="00EB0B3C" w:rsidP="00184605">
      <w:pPr>
        <w:rPr>
          <w:rFonts w:cs="Times New Roman"/>
        </w:rPr>
      </w:pPr>
      <w:r w:rsidRPr="00184605">
        <w:rPr>
          <w:rFonts w:cs="Times New Roman"/>
        </w:rPr>
        <w:t xml:space="preserve">J. Boksem, ‘Commentaar op art. 34 Sv’, in: C.P.M. Cleiren e.a. (red.), </w:t>
      </w:r>
      <w:r w:rsidRPr="00184605">
        <w:rPr>
          <w:rFonts w:cs="Times New Roman"/>
          <w:i/>
          <w:iCs/>
        </w:rPr>
        <w:t>Tekst en Commentaar Strafvordering</w:t>
      </w:r>
      <w:r w:rsidRPr="00184605">
        <w:rPr>
          <w:rFonts w:cs="Times New Roman"/>
        </w:rPr>
        <w:t>, Deventer: Wolters Kluwer 2023.</w:t>
      </w:r>
    </w:p>
    <w:p w14:paraId="5DD0EBE3" w14:textId="77777777" w:rsidR="00EB0B3C" w:rsidRPr="00184605" w:rsidRDefault="00EB0B3C" w:rsidP="00184605">
      <w:pPr>
        <w:rPr>
          <w:rFonts w:cs="Times New Roman"/>
        </w:rPr>
      </w:pPr>
    </w:p>
    <w:p w14:paraId="32F63EA7" w14:textId="77777777" w:rsidR="00EB0B3C" w:rsidRPr="00184605" w:rsidRDefault="00EB0B3C" w:rsidP="00184605">
      <w:pPr>
        <w:rPr>
          <w:rFonts w:cs="Times New Roman"/>
        </w:rPr>
      </w:pPr>
      <w:r w:rsidRPr="00184605">
        <w:rPr>
          <w:rFonts w:cs="Times New Roman"/>
          <w:b/>
          <w:bCs/>
        </w:rPr>
        <w:t>Brants 2008</w:t>
      </w:r>
    </w:p>
    <w:p w14:paraId="2BCE68AE" w14:textId="77777777" w:rsidR="00EB0B3C" w:rsidRPr="00184605" w:rsidRDefault="00EB0B3C" w:rsidP="00184605">
      <w:pPr>
        <w:rPr>
          <w:rFonts w:cs="Times New Roman"/>
        </w:rPr>
      </w:pPr>
      <w:r w:rsidRPr="00184605">
        <w:rPr>
          <w:rFonts w:cs="Times New Roman"/>
        </w:rPr>
        <w:t xml:space="preserve">C.H. Brants, ‘Strafrechtsvergelijking’, </w:t>
      </w:r>
      <w:r w:rsidRPr="00184605">
        <w:rPr>
          <w:rFonts w:cs="Times New Roman"/>
          <w:i/>
          <w:iCs/>
        </w:rPr>
        <w:t xml:space="preserve">DD </w:t>
      </w:r>
      <w:r w:rsidRPr="00184605">
        <w:rPr>
          <w:rFonts w:cs="Times New Roman"/>
        </w:rPr>
        <w:t>2008/16, p. 214-242.</w:t>
      </w:r>
    </w:p>
    <w:p w14:paraId="2892B726" w14:textId="77777777" w:rsidR="00EB0B3C" w:rsidRPr="00184605" w:rsidRDefault="00EB0B3C" w:rsidP="00184605">
      <w:pPr>
        <w:rPr>
          <w:rFonts w:cs="Times New Roman"/>
        </w:rPr>
      </w:pPr>
    </w:p>
    <w:p w14:paraId="1F8901C7" w14:textId="77777777" w:rsidR="00EB0B3C" w:rsidRPr="00221A33" w:rsidRDefault="00EB0B3C" w:rsidP="00184605">
      <w:pPr>
        <w:rPr>
          <w:rFonts w:cs="Times New Roman"/>
          <w:lang w:val="en-US"/>
        </w:rPr>
      </w:pPr>
      <w:r w:rsidRPr="00221A33">
        <w:rPr>
          <w:rFonts w:cs="Times New Roman"/>
          <w:b/>
          <w:bCs/>
          <w:lang w:val="en-US"/>
        </w:rPr>
        <w:lastRenderedPageBreak/>
        <w:t>Brants &amp; Ringnalda 2011</w:t>
      </w:r>
    </w:p>
    <w:p w14:paraId="6615E204" w14:textId="77777777" w:rsidR="00EB0B3C" w:rsidRPr="00221A33" w:rsidRDefault="00EB0B3C" w:rsidP="00184605">
      <w:pPr>
        <w:rPr>
          <w:rFonts w:cs="Times New Roman"/>
          <w:lang w:val="en-US"/>
        </w:rPr>
      </w:pPr>
      <w:r w:rsidRPr="00221A33">
        <w:rPr>
          <w:rFonts w:cs="Times New Roman"/>
          <w:lang w:val="en-US"/>
        </w:rPr>
        <w:t xml:space="preserve">C.H. Brants &amp; A. Ringnalda, </w:t>
      </w:r>
      <w:r w:rsidRPr="00221A33">
        <w:rPr>
          <w:rFonts w:cs="Times New Roman"/>
          <w:i/>
          <w:iCs/>
          <w:lang w:val="en-US"/>
        </w:rPr>
        <w:t>Issues of Convergence</w:t>
      </w:r>
      <w:r w:rsidRPr="00221A33">
        <w:rPr>
          <w:rFonts w:cs="Times New Roman"/>
          <w:lang w:val="en-US"/>
        </w:rPr>
        <w:t>, Nijmegen: Wolf Legal Publishers 2011.</w:t>
      </w:r>
    </w:p>
    <w:p w14:paraId="708CB287" w14:textId="77777777" w:rsidR="00EB0B3C" w:rsidRPr="00221A33" w:rsidRDefault="00EB0B3C" w:rsidP="00184605">
      <w:pPr>
        <w:rPr>
          <w:rFonts w:cs="Times New Roman"/>
          <w:lang w:val="en-US"/>
        </w:rPr>
      </w:pPr>
    </w:p>
    <w:p w14:paraId="60A9E7A4" w14:textId="77777777" w:rsidR="00EB0B3C" w:rsidRPr="00184605" w:rsidRDefault="00EB0B3C" w:rsidP="00184605">
      <w:pPr>
        <w:rPr>
          <w:rFonts w:cs="Times New Roman"/>
          <w:lang w:val="en-US"/>
        </w:rPr>
      </w:pPr>
      <w:r w:rsidRPr="00184605">
        <w:rPr>
          <w:rFonts w:cs="Times New Roman"/>
          <w:b/>
          <w:bCs/>
          <w:lang w:val="en-US"/>
        </w:rPr>
        <w:t>Corker &amp; Parkinson 2009</w:t>
      </w:r>
    </w:p>
    <w:p w14:paraId="71286F7E" w14:textId="77777777" w:rsidR="00EB0B3C" w:rsidRPr="00184605" w:rsidRDefault="00EB0B3C" w:rsidP="00184605">
      <w:pPr>
        <w:rPr>
          <w:rFonts w:cs="Times New Roman"/>
          <w:lang w:val="en-US"/>
        </w:rPr>
      </w:pPr>
      <w:r w:rsidRPr="00184605">
        <w:rPr>
          <w:rFonts w:cs="Times New Roman"/>
          <w:lang w:val="en-US"/>
        </w:rPr>
        <w:t xml:space="preserve">D. Corker &amp; S. Parkinson, </w:t>
      </w:r>
      <w:r w:rsidRPr="00184605">
        <w:rPr>
          <w:rFonts w:cs="Times New Roman"/>
          <w:i/>
          <w:iCs/>
          <w:lang w:val="en-US"/>
        </w:rPr>
        <w:t>Disclosure in Criminal Proceedings</w:t>
      </w:r>
      <w:r w:rsidRPr="00184605">
        <w:rPr>
          <w:rFonts w:cs="Times New Roman"/>
          <w:lang w:val="en-US"/>
        </w:rPr>
        <w:t>, Oxford: Oxford University Press 2009.</w:t>
      </w:r>
    </w:p>
    <w:p w14:paraId="374A2AB6" w14:textId="77777777" w:rsidR="00EB0B3C" w:rsidRPr="00184605" w:rsidRDefault="00EB0B3C" w:rsidP="00184605">
      <w:pPr>
        <w:rPr>
          <w:rFonts w:cs="Times New Roman"/>
          <w:lang w:val="en-US"/>
        </w:rPr>
      </w:pPr>
    </w:p>
    <w:p w14:paraId="33555E5C" w14:textId="77777777" w:rsidR="00EB0B3C" w:rsidRPr="00184605" w:rsidRDefault="00EB0B3C" w:rsidP="00184605">
      <w:pPr>
        <w:rPr>
          <w:rFonts w:cs="Times New Roman"/>
        </w:rPr>
      </w:pPr>
      <w:r w:rsidRPr="00184605">
        <w:rPr>
          <w:rFonts w:cs="Times New Roman"/>
          <w:b/>
          <w:bCs/>
        </w:rPr>
        <w:t>Corstens 2008</w:t>
      </w:r>
    </w:p>
    <w:p w14:paraId="6D11CBE2" w14:textId="77777777" w:rsidR="00EB0B3C" w:rsidRPr="00184605" w:rsidRDefault="00EB0B3C" w:rsidP="00184605">
      <w:pPr>
        <w:rPr>
          <w:rFonts w:cs="Times New Roman"/>
        </w:rPr>
      </w:pPr>
      <w:r w:rsidRPr="00184605">
        <w:rPr>
          <w:rFonts w:cs="Times New Roman"/>
        </w:rPr>
        <w:t xml:space="preserve">G. Corstens, </w:t>
      </w:r>
      <w:r w:rsidRPr="00184605">
        <w:rPr>
          <w:rFonts w:cs="Times New Roman"/>
          <w:i/>
          <w:iCs/>
        </w:rPr>
        <w:t>Het Nederlands strafprocesrecht</w:t>
      </w:r>
      <w:r w:rsidRPr="00184605">
        <w:rPr>
          <w:rFonts w:cs="Times New Roman"/>
        </w:rPr>
        <w:t>, Deventer: Wolters Kluwer 2008.</w:t>
      </w:r>
    </w:p>
    <w:p w14:paraId="5EC77C7C" w14:textId="77777777" w:rsidR="00EB0B3C" w:rsidRPr="00184605" w:rsidRDefault="00EB0B3C" w:rsidP="00184605">
      <w:pPr>
        <w:rPr>
          <w:rFonts w:cs="Times New Roman"/>
        </w:rPr>
      </w:pPr>
    </w:p>
    <w:p w14:paraId="25FF83BB" w14:textId="44A5B658" w:rsidR="00EB0B3C" w:rsidRPr="00184605" w:rsidRDefault="00EB0B3C" w:rsidP="00184605">
      <w:pPr>
        <w:rPr>
          <w:rFonts w:cs="Times New Roman"/>
        </w:rPr>
      </w:pPr>
      <w:r w:rsidRPr="00184605">
        <w:rPr>
          <w:rFonts w:cs="Times New Roman"/>
          <w:b/>
          <w:bCs/>
        </w:rPr>
        <w:t>Drenth 193</w:t>
      </w:r>
      <w:r w:rsidR="002324A5">
        <w:rPr>
          <w:rFonts w:cs="Times New Roman"/>
          <w:b/>
          <w:bCs/>
        </w:rPr>
        <w:t>9</w:t>
      </w:r>
    </w:p>
    <w:p w14:paraId="566D58E0" w14:textId="6871C6BA" w:rsidR="00EB0B3C" w:rsidRPr="00184605" w:rsidRDefault="00EB0B3C" w:rsidP="00184605">
      <w:pPr>
        <w:rPr>
          <w:rFonts w:cs="Times New Roman"/>
        </w:rPr>
      </w:pPr>
      <w:r w:rsidRPr="00184605">
        <w:rPr>
          <w:rFonts w:cs="Times New Roman"/>
        </w:rPr>
        <w:t xml:space="preserve">J.H. Drenth, </w:t>
      </w:r>
      <w:r w:rsidRPr="00184605">
        <w:rPr>
          <w:rFonts w:cs="Times New Roman"/>
          <w:i/>
          <w:iCs/>
        </w:rPr>
        <w:t>Bijdrage tot de kennis der historische ontwikkeling van het accusatoire tot het inquisitoire strafproces</w:t>
      </w:r>
      <w:r w:rsidRPr="00184605">
        <w:rPr>
          <w:rFonts w:cs="Times New Roman"/>
        </w:rPr>
        <w:t xml:space="preserve"> (diss. Amsterdam VU), Amsterdam: Noord-Hollandsche Uitgevers Maatschappij 193</w:t>
      </w:r>
      <w:r w:rsidR="002324A5">
        <w:rPr>
          <w:rFonts w:cs="Times New Roman"/>
        </w:rPr>
        <w:t>9</w:t>
      </w:r>
      <w:r w:rsidRPr="00184605">
        <w:rPr>
          <w:rFonts w:cs="Times New Roman"/>
        </w:rPr>
        <w:t>.</w:t>
      </w:r>
    </w:p>
    <w:p w14:paraId="3BF76F34" w14:textId="77777777" w:rsidR="00EB0B3C" w:rsidRPr="00184605" w:rsidRDefault="00EB0B3C" w:rsidP="00184605">
      <w:pPr>
        <w:rPr>
          <w:rFonts w:cs="Times New Roman"/>
        </w:rPr>
      </w:pPr>
    </w:p>
    <w:p w14:paraId="1E71F1F6" w14:textId="77777777" w:rsidR="00EB0B3C" w:rsidRPr="00184605" w:rsidRDefault="00EB0B3C" w:rsidP="00184605">
      <w:pPr>
        <w:rPr>
          <w:rFonts w:cs="Times New Roman"/>
        </w:rPr>
      </w:pPr>
      <w:r w:rsidRPr="00184605">
        <w:rPr>
          <w:rFonts w:cs="Times New Roman"/>
          <w:b/>
          <w:bCs/>
        </w:rPr>
        <w:t>Egberts 2022</w:t>
      </w:r>
    </w:p>
    <w:p w14:paraId="145C3C91" w14:textId="77777777" w:rsidR="00EB0B3C" w:rsidRPr="00184605" w:rsidRDefault="00EB0B3C" w:rsidP="00184605">
      <w:pPr>
        <w:rPr>
          <w:rFonts w:cs="Times New Roman"/>
        </w:rPr>
      </w:pPr>
      <w:r w:rsidRPr="00184605">
        <w:rPr>
          <w:rFonts w:cs="Times New Roman"/>
        </w:rPr>
        <w:t xml:space="preserve">M.M. Egberts, ‘De reikwijdte van het inzagerecht en ‘equality of arms’ in het licht van grote datasets, Hansken en toekomstige ontwikkelingen’, </w:t>
      </w:r>
      <w:r w:rsidRPr="00184605">
        <w:rPr>
          <w:rFonts w:cs="Times New Roman"/>
          <w:i/>
          <w:iCs/>
        </w:rPr>
        <w:t>TBS&amp;H</w:t>
      </w:r>
      <w:r w:rsidRPr="00184605">
        <w:rPr>
          <w:rFonts w:cs="Times New Roman"/>
        </w:rPr>
        <w:t xml:space="preserve"> 2022, afl.2, p. 119-129.</w:t>
      </w:r>
    </w:p>
    <w:p w14:paraId="318C441E" w14:textId="77777777" w:rsidR="00EB0B3C" w:rsidRPr="00184605" w:rsidRDefault="00EB0B3C" w:rsidP="00184605">
      <w:pPr>
        <w:rPr>
          <w:rFonts w:cs="Times New Roman"/>
        </w:rPr>
      </w:pPr>
    </w:p>
    <w:p w14:paraId="6D1E0AA3" w14:textId="77777777" w:rsidR="00EB0B3C" w:rsidRPr="00165D40" w:rsidRDefault="1E6D4AB4" w:rsidP="41859A08">
      <w:pPr>
        <w:rPr>
          <w:rFonts w:cs="Times New Roman"/>
          <w:lang w:val="en-US"/>
        </w:rPr>
      </w:pPr>
      <w:r w:rsidRPr="41859A08">
        <w:rPr>
          <w:rFonts w:cs="Times New Roman"/>
          <w:b/>
          <w:bCs/>
          <w:lang w:val="en-US"/>
        </w:rPr>
        <w:t>Fiori 2015</w:t>
      </w:r>
    </w:p>
    <w:p w14:paraId="348B03F4" w14:textId="77777777" w:rsidR="00EB0B3C" w:rsidRPr="00221A33" w:rsidRDefault="1E6D4AB4" w:rsidP="00184605">
      <w:pPr>
        <w:rPr>
          <w:rFonts w:cs="Times New Roman"/>
        </w:rPr>
      </w:pPr>
      <w:r w:rsidRPr="41859A08">
        <w:rPr>
          <w:rFonts w:cs="Times New Roman"/>
          <w:lang w:val="en-US"/>
        </w:rPr>
        <w:t xml:space="preserve">B.M. Fiori, </w:t>
      </w:r>
      <w:r w:rsidRPr="41859A08">
        <w:rPr>
          <w:rFonts w:cs="Times New Roman"/>
          <w:i/>
          <w:iCs/>
          <w:lang w:val="en-US"/>
        </w:rPr>
        <w:t>Disclosure of Information in Criminal Proceedings. A comparative analysis of national and international criminal procedural systems and human rights law</w:t>
      </w:r>
      <w:r w:rsidRPr="41859A08">
        <w:rPr>
          <w:rFonts w:cs="Times New Roman"/>
          <w:lang w:val="en-US"/>
        </w:rPr>
        <w:t xml:space="preserve"> (diss. </w:t>
      </w:r>
      <w:r w:rsidRPr="41859A08">
        <w:rPr>
          <w:rFonts w:cs="Times New Roman"/>
        </w:rPr>
        <w:t>Groningen), Oisterwijk: Wolf Legal Publishers 2015.</w:t>
      </w:r>
    </w:p>
    <w:p w14:paraId="5423817B" w14:textId="77777777" w:rsidR="00EB0B3C" w:rsidRPr="00221A33" w:rsidRDefault="00EB0B3C" w:rsidP="00184605">
      <w:pPr>
        <w:rPr>
          <w:rFonts w:cs="Times New Roman"/>
        </w:rPr>
      </w:pPr>
    </w:p>
    <w:p w14:paraId="712B1D5A" w14:textId="77777777" w:rsidR="00EB0B3C" w:rsidRPr="00221A33" w:rsidRDefault="00EB0B3C" w:rsidP="00184605">
      <w:pPr>
        <w:rPr>
          <w:rFonts w:cs="Times New Roman"/>
        </w:rPr>
      </w:pPr>
      <w:r w:rsidRPr="00221A33">
        <w:rPr>
          <w:rFonts w:cs="Times New Roman"/>
          <w:b/>
          <w:bCs/>
        </w:rPr>
        <w:t>Franken 2022</w:t>
      </w:r>
    </w:p>
    <w:p w14:paraId="1E120573" w14:textId="77777777" w:rsidR="00EB0B3C" w:rsidRPr="00184605" w:rsidRDefault="00EB0B3C" w:rsidP="00184605">
      <w:pPr>
        <w:rPr>
          <w:rFonts w:cs="Times New Roman"/>
        </w:rPr>
      </w:pPr>
      <w:r w:rsidRPr="00184605">
        <w:rPr>
          <w:rFonts w:cs="Times New Roman"/>
        </w:rPr>
        <w:t xml:space="preserve">A.A. Franken, ‘De kloof’, </w:t>
      </w:r>
      <w:r w:rsidRPr="00184605">
        <w:rPr>
          <w:rFonts w:cs="Times New Roman"/>
          <w:i/>
          <w:iCs/>
        </w:rPr>
        <w:t>BSb</w:t>
      </w:r>
      <w:r w:rsidRPr="00184605">
        <w:rPr>
          <w:rFonts w:cs="Times New Roman"/>
        </w:rPr>
        <w:t xml:space="preserve"> 2022, afl. 4, p. 123-130.</w:t>
      </w:r>
    </w:p>
    <w:p w14:paraId="3467DB14" w14:textId="77777777" w:rsidR="00EB0B3C" w:rsidRPr="00184605" w:rsidRDefault="00EB0B3C" w:rsidP="00184605">
      <w:pPr>
        <w:rPr>
          <w:rFonts w:cs="Times New Roman"/>
        </w:rPr>
      </w:pPr>
    </w:p>
    <w:p w14:paraId="0F4C60FD" w14:textId="77777777" w:rsidR="00EB0B3C" w:rsidRPr="00184605" w:rsidRDefault="00EB0B3C" w:rsidP="00184605">
      <w:pPr>
        <w:rPr>
          <w:rFonts w:cs="Times New Roman"/>
          <w:b/>
          <w:bCs/>
        </w:rPr>
      </w:pPr>
      <w:bookmarkStart w:id="15" w:name="_Hlk157699113"/>
      <w:r w:rsidRPr="00184605">
        <w:rPr>
          <w:rFonts w:cs="Times New Roman"/>
          <w:b/>
          <w:bCs/>
        </w:rPr>
        <w:t>Galič</w:t>
      </w:r>
      <w:bookmarkEnd w:id="15"/>
      <w:r w:rsidRPr="00184605">
        <w:rPr>
          <w:rFonts w:cs="Times New Roman"/>
          <w:b/>
          <w:bCs/>
        </w:rPr>
        <w:t xml:space="preserve"> 2021</w:t>
      </w:r>
    </w:p>
    <w:p w14:paraId="003191C5" w14:textId="77777777" w:rsidR="00EB0B3C" w:rsidRPr="00184605" w:rsidRDefault="00EB0B3C" w:rsidP="00184605">
      <w:pPr>
        <w:rPr>
          <w:rFonts w:cs="Times New Roman"/>
        </w:rPr>
      </w:pPr>
      <w:r w:rsidRPr="00184605">
        <w:rPr>
          <w:rFonts w:cs="Times New Roman"/>
        </w:rPr>
        <w:t xml:space="preserve">M. Galič, ‘De rechten van de verdediging in de context van omvangrijke datasets en geavanceerde zoekmachines in strafzaken: een suggestie voor uitbreiding’, </w:t>
      </w:r>
      <w:r w:rsidRPr="00184605">
        <w:rPr>
          <w:rFonts w:cs="Times New Roman"/>
          <w:i/>
          <w:iCs/>
        </w:rPr>
        <w:t>BSb</w:t>
      </w:r>
      <w:r w:rsidRPr="00184605">
        <w:rPr>
          <w:rFonts w:cs="Times New Roman"/>
        </w:rPr>
        <w:t xml:space="preserve"> 2021, afl. 2, p. 41-49.</w:t>
      </w:r>
    </w:p>
    <w:p w14:paraId="08B1ED77" w14:textId="77777777" w:rsidR="00EB0B3C" w:rsidRDefault="00EB0B3C" w:rsidP="00184605">
      <w:pPr>
        <w:rPr>
          <w:rFonts w:cs="Times New Roman"/>
        </w:rPr>
      </w:pPr>
    </w:p>
    <w:p w14:paraId="203EE2D3" w14:textId="7310F90F" w:rsidR="00126D66" w:rsidRPr="00046845" w:rsidRDefault="00126D66" w:rsidP="00184605">
      <w:pPr>
        <w:rPr>
          <w:rFonts w:cs="Times New Roman"/>
          <w:lang w:val="en-US"/>
        </w:rPr>
      </w:pPr>
      <w:r w:rsidRPr="00046845">
        <w:rPr>
          <w:rFonts w:cs="Times New Roman"/>
          <w:b/>
          <w:bCs/>
          <w:lang w:val="en-US"/>
        </w:rPr>
        <w:t xml:space="preserve">Gorlé e.a. </w:t>
      </w:r>
      <w:r w:rsidR="00487DA4" w:rsidRPr="00046845">
        <w:rPr>
          <w:rFonts w:cs="Times New Roman"/>
          <w:b/>
          <w:bCs/>
          <w:lang w:val="en-US"/>
        </w:rPr>
        <w:t>1991</w:t>
      </w:r>
    </w:p>
    <w:p w14:paraId="55B170E4" w14:textId="23CFBF33" w:rsidR="00B022D7" w:rsidRPr="00046845" w:rsidRDefault="00B022D7" w:rsidP="00184605">
      <w:pPr>
        <w:rPr>
          <w:rFonts w:cs="Times New Roman"/>
          <w:lang w:val="en-US"/>
        </w:rPr>
      </w:pPr>
      <w:r w:rsidRPr="00046845">
        <w:rPr>
          <w:rFonts w:cs="Times New Roman"/>
          <w:lang w:val="en-US"/>
        </w:rPr>
        <w:t xml:space="preserve">F. Gorlé e.a., </w:t>
      </w:r>
      <w:r w:rsidRPr="00046845">
        <w:rPr>
          <w:rFonts w:cs="Times New Roman"/>
          <w:i/>
          <w:iCs/>
          <w:lang w:val="en-US"/>
        </w:rPr>
        <w:t>Rechtsvergelijking</w:t>
      </w:r>
      <w:r w:rsidRPr="00046845">
        <w:rPr>
          <w:rFonts w:cs="Times New Roman"/>
          <w:lang w:val="en-US"/>
        </w:rPr>
        <w:t xml:space="preserve">, Brussel: </w:t>
      </w:r>
      <w:r w:rsidR="00320E4C" w:rsidRPr="00046845">
        <w:rPr>
          <w:rFonts w:cs="Times New Roman"/>
          <w:lang w:val="en-US"/>
        </w:rPr>
        <w:t xml:space="preserve">E. </w:t>
      </w:r>
      <w:r w:rsidRPr="00046845">
        <w:rPr>
          <w:rFonts w:cs="Times New Roman"/>
          <w:lang w:val="en-US"/>
        </w:rPr>
        <w:t xml:space="preserve">Story-Scientia </w:t>
      </w:r>
      <w:r w:rsidR="0019528C" w:rsidRPr="00046845">
        <w:rPr>
          <w:rFonts w:cs="Times New Roman"/>
          <w:lang w:val="en-US"/>
        </w:rPr>
        <w:t>1991</w:t>
      </w:r>
      <w:r w:rsidRPr="00046845">
        <w:rPr>
          <w:rFonts w:cs="Times New Roman"/>
          <w:lang w:val="en-US"/>
        </w:rPr>
        <w:t>.</w:t>
      </w:r>
    </w:p>
    <w:p w14:paraId="6D348144" w14:textId="77777777" w:rsidR="00126D66" w:rsidRPr="00046845" w:rsidRDefault="00126D66" w:rsidP="00184605">
      <w:pPr>
        <w:rPr>
          <w:rFonts w:cs="Times New Roman"/>
          <w:lang w:val="en-US"/>
        </w:rPr>
      </w:pPr>
    </w:p>
    <w:p w14:paraId="4DBFFB63" w14:textId="6CF10712" w:rsidR="002E2B9A" w:rsidRPr="00221A33" w:rsidRDefault="002E2B9A" w:rsidP="00184605">
      <w:pPr>
        <w:rPr>
          <w:rFonts w:cs="Times New Roman"/>
          <w:lang w:val="en-US"/>
        </w:rPr>
      </w:pPr>
      <w:r w:rsidRPr="00221A33">
        <w:rPr>
          <w:rFonts w:cs="Times New Roman"/>
          <w:b/>
          <w:bCs/>
          <w:lang w:val="en-US"/>
        </w:rPr>
        <w:t>Griffiths 2022</w:t>
      </w:r>
    </w:p>
    <w:p w14:paraId="2C6D1937" w14:textId="7E3C87EA" w:rsidR="00FB2965" w:rsidRPr="00221A33" w:rsidRDefault="002E2B9A" w:rsidP="00184605">
      <w:pPr>
        <w:rPr>
          <w:rFonts w:cs="Times New Roman"/>
          <w:lang w:val="en-US"/>
        </w:rPr>
      </w:pPr>
      <w:r w:rsidRPr="00221A33">
        <w:rPr>
          <w:rFonts w:cs="Times New Roman"/>
          <w:lang w:val="en-US"/>
        </w:rPr>
        <w:t xml:space="preserve">C. Griffiths, </w:t>
      </w:r>
      <w:r w:rsidRPr="006B564A">
        <w:rPr>
          <w:rFonts w:cs="Times New Roman"/>
          <w:lang w:val="en-GB"/>
        </w:rPr>
        <w:t>‘Getting people thinking and talking: an exploration of the Attorney General’s 2020 guidelines on disclosure’</w:t>
      </w:r>
      <w:r w:rsidRPr="00221A33">
        <w:rPr>
          <w:rFonts w:cs="Times New Roman"/>
          <w:lang w:val="en-US"/>
        </w:rPr>
        <w:t xml:space="preserve">, </w:t>
      </w:r>
      <w:r w:rsidRPr="00221A33">
        <w:rPr>
          <w:rFonts w:cs="Times New Roman"/>
          <w:i/>
          <w:iCs/>
          <w:lang w:val="en-US"/>
        </w:rPr>
        <w:t>International Journal of Evidence &amp; Proof</w:t>
      </w:r>
      <w:r w:rsidRPr="00221A33">
        <w:rPr>
          <w:rFonts w:cs="Times New Roman"/>
          <w:lang w:val="en-US"/>
        </w:rPr>
        <w:t xml:space="preserve"> 2022/26, afl. 4, p. 359-380.</w:t>
      </w:r>
    </w:p>
    <w:p w14:paraId="37936AD6" w14:textId="77777777" w:rsidR="001A3DB4" w:rsidRDefault="001A3DB4" w:rsidP="00184605">
      <w:pPr>
        <w:rPr>
          <w:rFonts w:cs="Times New Roman"/>
          <w:lang w:val="en-US"/>
        </w:rPr>
      </w:pPr>
    </w:p>
    <w:p w14:paraId="2CEF98DE" w14:textId="559E5E45" w:rsidR="00EB0B3C" w:rsidRPr="00221A33" w:rsidRDefault="00EB0B3C" w:rsidP="00184605">
      <w:pPr>
        <w:rPr>
          <w:rFonts w:cs="Times New Roman"/>
          <w:lang w:val="en-US"/>
        </w:rPr>
      </w:pPr>
      <w:r w:rsidRPr="00221A33">
        <w:rPr>
          <w:rFonts w:cs="Times New Roman"/>
          <w:b/>
          <w:bCs/>
          <w:lang w:val="en-US"/>
        </w:rPr>
        <w:lastRenderedPageBreak/>
        <w:t>Griffiths &amp; Jackson 2022</w:t>
      </w:r>
    </w:p>
    <w:p w14:paraId="7EC84C0F" w14:textId="429113F8" w:rsidR="00EB0B3C" w:rsidRPr="00221A33" w:rsidRDefault="00EB0B3C" w:rsidP="00184605">
      <w:pPr>
        <w:rPr>
          <w:rFonts w:cs="Times New Roman"/>
          <w:lang w:val="en-US"/>
        </w:rPr>
      </w:pPr>
      <w:r w:rsidRPr="00221A33">
        <w:rPr>
          <w:rFonts w:cs="Times New Roman"/>
          <w:lang w:val="en-US"/>
        </w:rPr>
        <w:t>C. Griffiths &amp; A. Jackson, ‘</w:t>
      </w:r>
      <w:r w:rsidRPr="00184605">
        <w:rPr>
          <w:rFonts w:cs="Times New Roman"/>
          <w:lang w:val="en-GB"/>
        </w:rPr>
        <w:t>Intercepted communications as evidence: the admissibility of material obtained from the encrypted messaging service EncroChat’</w:t>
      </w:r>
      <w:r w:rsidR="00B42AF9">
        <w:rPr>
          <w:rFonts w:cs="Times New Roman"/>
          <w:lang w:val="en-GB"/>
        </w:rPr>
        <w:t>,</w:t>
      </w:r>
      <w:r w:rsidRPr="00184605">
        <w:rPr>
          <w:rFonts w:cs="Times New Roman"/>
          <w:lang w:val="en-GB"/>
        </w:rPr>
        <w:t xml:space="preserve"> </w:t>
      </w:r>
      <w:r w:rsidRPr="00184605">
        <w:rPr>
          <w:rFonts w:cs="Times New Roman"/>
          <w:i/>
          <w:iCs/>
          <w:lang w:val="en-GB"/>
        </w:rPr>
        <w:t>Journal of Criminal Law</w:t>
      </w:r>
      <w:r w:rsidRPr="00184605">
        <w:rPr>
          <w:rFonts w:cs="Times New Roman"/>
          <w:lang w:val="en-GB"/>
        </w:rPr>
        <w:t xml:space="preserve"> 2022/86, afl. 4, p. 271-276.</w:t>
      </w:r>
    </w:p>
    <w:p w14:paraId="6BA0BB00" w14:textId="77777777" w:rsidR="00EB0B3C" w:rsidRPr="00221A33" w:rsidRDefault="00EB0B3C" w:rsidP="00184605">
      <w:pPr>
        <w:rPr>
          <w:rFonts w:cs="Times New Roman"/>
          <w:lang w:val="en-US"/>
        </w:rPr>
      </w:pPr>
    </w:p>
    <w:p w14:paraId="1032E983" w14:textId="77777777" w:rsidR="00EB0B3C" w:rsidRPr="00184605" w:rsidRDefault="00EB0B3C" w:rsidP="00184605">
      <w:pPr>
        <w:rPr>
          <w:rFonts w:cs="Times New Roman"/>
          <w:b/>
          <w:bCs/>
        </w:rPr>
      </w:pPr>
      <w:r w:rsidRPr="00184605">
        <w:rPr>
          <w:rFonts w:cs="Times New Roman"/>
          <w:b/>
          <w:bCs/>
        </w:rPr>
        <w:t>De Groot 2000</w:t>
      </w:r>
    </w:p>
    <w:p w14:paraId="0C34F978" w14:textId="77777777" w:rsidR="00EB0B3C" w:rsidRPr="00184605" w:rsidRDefault="00EB0B3C" w:rsidP="00184605">
      <w:pPr>
        <w:rPr>
          <w:rFonts w:cs="Times New Roman"/>
        </w:rPr>
      </w:pPr>
      <w:r w:rsidRPr="00184605">
        <w:rPr>
          <w:rFonts w:cs="Times New Roman"/>
        </w:rPr>
        <w:t xml:space="preserve">S.K. de Groot, </w:t>
      </w:r>
      <w:r w:rsidRPr="00184605">
        <w:rPr>
          <w:rFonts w:cs="Times New Roman"/>
          <w:i/>
          <w:iCs/>
        </w:rPr>
        <w:t>Internationale bewijsgaring in strafzaken. Nederland, Engeland &amp; Wales</w:t>
      </w:r>
      <w:r w:rsidRPr="00184605">
        <w:rPr>
          <w:rFonts w:cs="Times New Roman"/>
        </w:rPr>
        <w:t>, Deventer: Gouda Quint 2000.</w:t>
      </w:r>
    </w:p>
    <w:p w14:paraId="675330E1" w14:textId="77777777" w:rsidR="00EB0B3C" w:rsidRPr="00184605" w:rsidRDefault="00EB0B3C" w:rsidP="00184605">
      <w:pPr>
        <w:rPr>
          <w:rFonts w:cs="Times New Roman"/>
        </w:rPr>
      </w:pPr>
    </w:p>
    <w:p w14:paraId="7D872218" w14:textId="77777777" w:rsidR="00EB0B3C" w:rsidRPr="00221A33" w:rsidRDefault="00EB0B3C" w:rsidP="00184605">
      <w:pPr>
        <w:rPr>
          <w:rFonts w:cs="Times New Roman"/>
          <w:lang w:val="en-US"/>
        </w:rPr>
      </w:pPr>
      <w:r w:rsidRPr="00221A33">
        <w:rPr>
          <w:rFonts w:cs="Times New Roman"/>
          <w:b/>
          <w:bCs/>
          <w:lang w:val="en-US"/>
        </w:rPr>
        <w:t>Gyorfi 2017</w:t>
      </w:r>
    </w:p>
    <w:p w14:paraId="4433E44F" w14:textId="77777777" w:rsidR="00EB0B3C" w:rsidRPr="00221A33" w:rsidRDefault="00EB0B3C" w:rsidP="00184605">
      <w:pPr>
        <w:rPr>
          <w:rFonts w:cs="Times New Roman"/>
          <w:lang w:val="en-US"/>
        </w:rPr>
      </w:pPr>
      <w:r w:rsidRPr="00221A33">
        <w:rPr>
          <w:rFonts w:cs="Times New Roman"/>
          <w:lang w:val="en-US"/>
        </w:rPr>
        <w:t xml:space="preserve">T. Gyorfi, ‘The Supreme Court (House of Lords) of the United Kingdom’ in: A. Jakab, A. Dyevre &amp; G. Itzcovich (red.), </w:t>
      </w:r>
      <w:r w:rsidRPr="00221A33">
        <w:rPr>
          <w:rFonts w:cs="Times New Roman"/>
          <w:i/>
          <w:iCs/>
          <w:lang w:val="en-US"/>
        </w:rPr>
        <w:t>Comparative Constitutional Reasoning</w:t>
      </w:r>
      <w:r w:rsidRPr="00221A33">
        <w:rPr>
          <w:rFonts w:cs="Times New Roman"/>
          <w:lang w:val="en-US"/>
        </w:rPr>
        <w:t>, Cambridge: Cambridge University Press 2017, p. 679-722.</w:t>
      </w:r>
    </w:p>
    <w:p w14:paraId="15CA92A1" w14:textId="77777777" w:rsidR="00EB0B3C" w:rsidRPr="00221A33" w:rsidRDefault="00EB0B3C" w:rsidP="00184605">
      <w:pPr>
        <w:rPr>
          <w:rFonts w:cs="Times New Roman"/>
          <w:lang w:val="en-US"/>
        </w:rPr>
      </w:pPr>
    </w:p>
    <w:p w14:paraId="1767DB7F" w14:textId="77777777" w:rsidR="00EB0B3C" w:rsidRPr="00184605" w:rsidRDefault="00EB0B3C" w:rsidP="00184605">
      <w:pPr>
        <w:rPr>
          <w:rFonts w:cs="Times New Roman"/>
        </w:rPr>
      </w:pPr>
      <w:r w:rsidRPr="00184605">
        <w:rPr>
          <w:rFonts w:cs="Times New Roman"/>
          <w:b/>
          <w:bCs/>
        </w:rPr>
        <w:t>De Hert &amp; Decaigny 2013</w:t>
      </w:r>
    </w:p>
    <w:p w14:paraId="065C42AD" w14:textId="77777777" w:rsidR="00EB0B3C" w:rsidRPr="00184605" w:rsidRDefault="00EB0B3C" w:rsidP="00184605">
      <w:pPr>
        <w:rPr>
          <w:rFonts w:cs="Times New Roman"/>
        </w:rPr>
      </w:pPr>
      <w:r w:rsidRPr="00184605">
        <w:rPr>
          <w:rFonts w:cs="Times New Roman"/>
        </w:rPr>
        <w:t xml:space="preserve">P. de Hert &amp; T. Decaigny, ‘Evolueren het Nederlandse en het Belgische strafproces naar adversaire systemen?’, </w:t>
      </w:r>
      <w:r w:rsidRPr="00184605">
        <w:rPr>
          <w:rFonts w:cs="Times New Roman"/>
          <w:i/>
          <w:iCs/>
        </w:rPr>
        <w:t>Strafblad</w:t>
      </w:r>
      <w:r w:rsidRPr="00184605">
        <w:rPr>
          <w:rFonts w:cs="Times New Roman"/>
        </w:rPr>
        <w:t xml:space="preserve"> 2013, p. 54-66.</w:t>
      </w:r>
    </w:p>
    <w:p w14:paraId="1C76886B" w14:textId="77777777" w:rsidR="00EB0B3C" w:rsidRDefault="00EB0B3C" w:rsidP="00184605">
      <w:pPr>
        <w:rPr>
          <w:rFonts w:cs="Times New Roman"/>
        </w:rPr>
      </w:pPr>
    </w:p>
    <w:p w14:paraId="59A50DB4" w14:textId="6DB277FF" w:rsidR="003F0DAC" w:rsidRDefault="003F0DAC" w:rsidP="00184605">
      <w:pPr>
        <w:rPr>
          <w:rFonts w:cs="Times New Roman"/>
        </w:rPr>
      </w:pPr>
      <w:r>
        <w:rPr>
          <w:rFonts w:cs="Times New Roman"/>
          <w:b/>
          <w:bCs/>
        </w:rPr>
        <w:t>Hirsch Ballin 2021</w:t>
      </w:r>
    </w:p>
    <w:p w14:paraId="3EAFE5B0" w14:textId="77777777" w:rsidR="000848B4" w:rsidRPr="000848B4" w:rsidRDefault="003F0DAC" w:rsidP="000848B4">
      <w:pPr>
        <w:rPr>
          <w:rFonts w:cs="Times New Roman"/>
        </w:rPr>
      </w:pPr>
      <w:r>
        <w:rPr>
          <w:rFonts w:cs="Times New Roman"/>
        </w:rPr>
        <w:t>M.F.H. Hirsch Ballin, ‘</w:t>
      </w:r>
      <w:r w:rsidR="000848B4" w:rsidRPr="000848B4">
        <w:rPr>
          <w:rFonts w:cs="Times New Roman"/>
        </w:rPr>
        <w:t>Het Openbaar Ministerie in het krachtenveld van democratie en</w:t>
      </w:r>
    </w:p>
    <w:p w14:paraId="42479C8B" w14:textId="2CFE55FA" w:rsidR="003F0DAC" w:rsidRPr="0037437B" w:rsidRDefault="000848B4" w:rsidP="000848B4">
      <w:pPr>
        <w:rPr>
          <w:rFonts w:cs="Times New Roman"/>
          <w:lang w:val="en-US"/>
        </w:rPr>
      </w:pPr>
      <w:r w:rsidRPr="000848B4">
        <w:rPr>
          <w:rFonts w:cs="Times New Roman"/>
        </w:rPr>
        <w:t>rechtsstaat: deel II</w:t>
      </w:r>
      <w:r w:rsidR="003F0DAC">
        <w:rPr>
          <w:rFonts w:cs="Times New Roman"/>
        </w:rPr>
        <w:t>’</w:t>
      </w:r>
      <w:r>
        <w:rPr>
          <w:rFonts w:cs="Times New Roman"/>
        </w:rPr>
        <w:t xml:space="preserve">, in: Kooijmans e.a. (red.), </w:t>
      </w:r>
      <w:r>
        <w:rPr>
          <w:rFonts w:cs="Times New Roman"/>
          <w:i/>
          <w:iCs/>
        </w:rPr>
        <w:t>Op zoek naar evenwicht</w:t>
      </w:r>
      <w:r w:rsidR="00C1297A">
        <w:rPr>
          <w:rFonts w:cs="Times New Roman"/>
          <w:i/>
          <w:iCs/>
        </w:rPr>
        <w:t xml:space="preserve">. </w:t>
      </w:r>
      <w:r w:rsidR="00C1297A" w:rsidRPr="0037437B">
        <w:rPr>
          <w:rFonts w:cs="Times New Roman"/>
          <w:i/>
          <w:iCs/>
          <w:lang w:val="en-US"/>
        </w:rPr>
        <w:t>Liber amicorum Marc Groenhuijsen</w:t>
      </w:r>
      <w:r w:rsidR="00C1297A" w:rsidRPr="0037437B">
        <w:rPr>
          <w:rFonts w:cs="Times New Roman"/>
          <w:lang w:val="en-US"/>
        </w:rPr>
        <w:t>, Deventer: Wolters Kluwer 2021, p. 323-338.</w:t>
      </w:r>
    </w:p>
    <w:p w14:paraId="54EF63FF" w14:textId="77777777" w:rsidR="003F0DAC" w:rsidRPr="0037437B" w:rsidRDefault="003F0DAC" w:rsidP="00184605">
      <w:pPr>
        <w:rPr>
          <w:rFonts w:cs="Times New Roman"/>
          <w:lang w:val="en-US"/>
        </w:rPr>
      </w:pPr>
    </w:p>
    <w:p w14:paraId="04E1C653" w14:textId="709460E3" w:rsidR="00BA39E9" w:rsidRPr="00221A33" w:rsidRDefault="00BA39E9" w:rsidP="00184605">
      <w:pPr>
        <w:rPr>
          <w:rFonts w:cs="Times New Roman"/>
          <w:lang w:val="en-US"/>
        </w:rPr>
      </w:pPr>
      <w:r w:rsidRPr="00221A33">
        <w:rPr>
          <w:rFonts w:cs="Times New Roman"/>
          <w:b/>
          <w:bCs/>
          <w:lang w:val="en-US"/>
        </w:rPr>
        <w:t>Hodgson 2020</w:t>
      </w:r>
    </w:p>
    <w:p w14:paraId="03E1F514" w14:textId="04A82BF8" w:rsidR="00BA39E9" w:rsidRPr="00221A33" w:rsidRDefault="00BA39E9" w:rsidP="00184605">
      <w:pPr>
        <w:rPr>
          <w:rFonts w:cs="Times New Roman"/>
          <w:lang w:val="en-US"/>
        </w:rPr>
      </w:pPr>
      <w:r w:rsidRPr="00221A33">
        <w:rPr>
          <w:rFonts w:cs="Times New Roman"/>
          <w:lang w:val="en-US"/>
        </w:rPr>
        <w:t xml:space="preserve">J.S. Hodgson, </w:t>
      </w:r>
      <w:r w:rsidRPr="00221A33">
        <w:rPr>
          <w:rFonts w:cs="Times New Roman"/>
          <w:i/>
          <w:iCs/>
          <w:lang w:val="en-US"/>
        </w:rPr>
        <w:t>The Metamorphosis of Criminal Justice</w:t>
      </w:r>
      <w:r w:rsidRPr="00221A33">
        <w:rPr>
          <w:rFonts w:cs="Times New Roman"/>
          <w:lang w:val="en-US"/>
        </w:rPr>
        <w:t>, Oxford: Oxford University Press 2020.</w:t>
      </w:r>
    </w:p>
    <w:p w14:paraId="6EA2EB5F" w14:textId="77777777" w:rsidR="00BA39E9" w:rsidRPr="00221A33" w:rsidRDefault="00BA39E9" w:rsidP="00184605">
      <w:pPr>
        <w:rPr>
          <w:rFonts w:cs="Times New Roman"/>
          <w:lang w:val="en-US"/>
        </w:rPr>
      </w:pPr>
    </w:p>
    <w:p w14:paraId="0A5C32BD" w14:textId="77777777" w:rsidR="00EB0B3C" w:rsidRPr="00184605" w:rsidRDefault="00EB0B3C" w:rsidP="00184605">
      <w:pPr>
        <w:rPr>
          <w:rFonts w:cs="Times New Roman"/>
          <w:b/>
          <w:bCs/>
        </w:rPr>
      </w:pPr>
      <w:r w:rsidRPr="00184605">
        <w:rPr>
          <w:rFonts w:cs="Times New Roman"/>
          <w:b/>
          <w:bCs/>
        </w:rPr>
        <w:t xml:space="preserve">Van Hoorn, in: </w:t>
      </w:r>
      <w:r w:rsidRPr="00184605">
        <w:rPr>
          <w:rFonts w:cs="Times New Roman"/>
          <w:b/>
          <w:bCs/>
          <w:i/>
          <w:iCs/>
        </w:rPr>
        <w:t>T&amp;C Strafvordering 2023</w:t>
      </w:r>
    </w:p>
    <w:p w14:paraId="0E13232D" w14:textId="77777777" w:rsidR="00EB0B3C" w:rsidRPr="00184605" w:rsidRDefault="00EB0B3C" w:rsidP="00184605">
      <w:pPr>
        <w:rPr>
          <w:rFonts w:cs="Times New Roman"/>
        </w:rPr>
      </w:pPr>
      <w:r w:rsidRPr="00184605">
        <w:rPr>
          <w:rFonts w:cs="Times New Roman"/>
        </w:rPr>
        <w:t xml:space="preserve">A.M. van Hoorn, ‘Commentaar op art. 149b Sv’, in: C.P.M. Cleiren e.a. (red.), </w:t>
      </w:r>
      <w:r w:rsidRPr="00184605">
        <w:rPr>
          <w:rFonts w:cs="Times New Roman"/>
          <w:i/>
          <w:iCs/>
        </w:rPr>
        <w:t>Tekst en Commentaar Strafvordering</w:t>
      </w:r>
      <w:r w:rsidRPr="00184605">
        <w:rPr>
          <w:rFonts w:cs="Times New Roman"/>
        </w:rPr>
        <w:t>, Deventer: Wolters Kluwer 2023.</w:t>
      </w:r>
    </w:p>
    <w:p w14:paraId="0F3936C3" w14:textId="77777777" w:rsidR="00EB0B3C" w:rsidRPr="00184605" w:rsidRDefault="00EB0B3C" w:rsidP="00184605">
      <w:pPr>
        <w:rPr>
          <w:rFonts w:cs="Times New Roman"/>
        </w:rPr>
      </w:pPr>
    </w:p>
    <w:p w14:paraId="20F6A046" w14:textId="77777777" w:rsidR="00EB0B3C" w:rsidRPr="00221A33" w:rsidRDefault="00EB0B3C" w:rsidP="00184605">
      <w:pPr>
        <w:rPr>
          <w:rFonts w:cs="Times New Roman"/>
          <w:lang w:val="en-US"/>
        </w:rPr>
      </w:pPr>
      <w:r w:rsidRPr="00221A33">
        <w:rPr>
          <w:rFonts w:cs="Times New Roman"/>
          <w:b/>
          <w:bCs/>
          <w:lang w:val="en-US"/>
        </w:rPr>
        <w:t>Horsman 2020</w:t>
      </w:r>
    </w:p>
    <w:p w14:paraId="306F5135" w14:textId="68F02833" w:rsidR="00EB0B3C" w:rsidRPr="00221A33" w:rsidRDefault="00EB0B3C" w:rsidP="00184605">
      <w:pPr>
        <w:rPr>
          <w:rFonts w:cs="Times New Roman"/>
          <w:i/>
          <w:iCs/>
          <w:lang w:val="en-US"/>
        </w:rPr>
      </w:pPr>
      <w:r w:rsidRPr="00221A33">
        <w:rPr>
          <w:rFonts w:cs="Times New Roman"/>
          <w:lang w:val="en-US"/>
        </w:rPr>
        <w:t xml:space="preserve">G. Horsman, ‘ACPO principles for digital evidence: Time for an update?’, </w:t>
      </w:r>
      <w:r w:rsidRPr="00221A33">
        <w:rPr>
          <w:rFonts w:cs="Times New Roman"/>
          <w:i/>
          <w:iCs/>
          <w:lang w:val="en-US"/>
        </w:rPr>
        <w:t>Forensic Science International: Reports</w:t>
      </w:r>
      <w:r w:rsidRPr="00221A33">
        <w:rPr>
          <w:rFonts w:cs="Times New Roman"/>
          <w:lang w:val="en-US"/>
        </w:rPr>
        <w:t> </w:t>
      </w:r>
      <w:r w:rsidR="00896E21" w:rsidRPr="00221A33">
        <w:rPr>
          <w:rFonts w:cs="Times New Roman"/>
          <w:lang w:val="en-US"/>
        </w:rPr>
        <w:t>2020/2</w:t>
      </w:r>
      <w:r w:rsidRPr="00221A33">
        <w:rPr>
          <w:rFonts w:cs="Times New Roman"/>
          <w:lang w:val="en-US"/>
        </w:rPr>
        <w:t>, p. 1-6.</w:t>
      </w:r>
    </w:p>
    <w:p w14:paraId="398B2570" w14:textId="77777777" w:rsidR="00EB0B3C" w:rsidRPr="00221A33" w:rsidRDefault="00EB0B3C" w:rsidP="00184605">
      <w:pPr>
        <w:rPr>
          <w:rFonts w:cs="Times New Roman"/>
          <w:lang w:val="en-US"/>
        </w:rPr>
      </w:pPr>
    </w:p>
    <w:p w14:paraId="2A280298" w14:textId="77777777" w:rsidR="00EB0B3C" w:rsidRPr="00221A33" w:rsidRDefault="00EB0B3C" w:rsidP="00184605">
      <w:pPr>
        <w:rPr>
          <w:rFonts w:cs="Times New Roman"/>
          <w:lang w:val="en-US"/>
        </w:rPr>
      </w:pPr>
      <w:r w:rsidRPr="00221A33">
        <w:rPr>
          <w:rFonts w:cs="Times New Roman"/>
          <w:b/>
          <w:bCs/>
          <w:lang w:val="en-US"/>
        </w:rPr>
        <w:t>Hungerford-Welch 2019</w:t>
      </w:r>
    </w:p>
    <w:p w14:paraId="5BF850F1" w14:textId="77777777" w:rsidR="00EB0B3C" w:rsidRPr="00221A33" w:rsidRDefault="00EB0B3C" w:rsidP="00184605">
      <w:pPr>
        <w:rPr>
          <w:rFonts w:cs="Times New Roman"/>
          <w:lang w:val="en-US"/>
        </w:rPr>
      </w:pPr>
      <w:r w:rsidRPr="00221A33">
        <w:rPr>
          <w:rFonts w:cs="Times New Roman"/>
          <w:lang w:val="en-US"/>
        </w:rPr>
        <w:t xml:space="preserve">P. Hungerford-Welch, </w:t>
      </w:r>
      <w:r w:rsidRPr="00221A33">
        <w:rPr>
          <w:rFonts w:cs="Times New Roman"/>
          <w:i/>
          <w:iCs/>
          <w:lang w:val="en-US"/>
        </w:rPr>
        <w:t>Criminal Procedure and Sentencing</w:t>
      </w:r>
      <w:r w:rsidRPr="00221A33">
        <w:rPr>
          <w:rFonts w:cs="Times New Roman"/>
          <w:lang w:val="en-US"/>
        </w:rPr>
        <w:t xml:space="preserve"> (9th Edition), Milton Park: Routledge 2019.</w:t>
      </w:r>
    </w:p>
    <w:p w14:paraId="30D60CE1" w14:textId="77777777" w:rsidR="00EA5E81" w:rsidRPr="00221A33" w:rsidRDefault="00EA5E81" w:rsidP="002A20E2">
      <w:pPr>
        <w:rPr>
          <w:rFonts w:cs="Times New Roman"/>
          <w:lang w:val="en-US"/>
        </w:rPr>
      </w:pPr>
    </w:p>
    <w:p w14:paraId="7B1D4769" w14:textId="77777777" w:rsidR="00EB0B3C" w:rsidRPr="00184605" w:rsidRDefault="00EB0B3C" w:rsidP="00184605">
      <w:pPr>
        <w:rPr>
          <w:rFonts w:cs="Times New Roman"/>
        </w:rPr>
      </w:pPr>
      <w:r w:rsidRPr="00184605">
        <w:rPr>
          <w:rFonts w:cs="Times New Roman"/>
          <w:b/>
          <w:bCs/>
        </w:rPr>
        <w:lastRenderedPageBreak/>
        <w:t>De Jonge &amp; Janssen 2021</w:t>
      </w:r>
    </w:p>
    <w:p w14:paraId="75481C34" w14:textId="7FCFE9C2" w:rsidR="00EB0B3C" w:rsidRDefault="00EB0B3C" w:rsidP="00184605">
      <w:pPr>
        <w:rPr>
          <w:rFonts w:cs="Times New Roman"/>
        </w:rPr>
      </w:pPr>
      <w:r w:rsidRPr="00184605">
        <w:rPr>
          <w:rFonts w:cs="Times New Roman"/>
        </w:rPr>
        <w:t xml:space="preserve">D.N. de Jonge &amp; S.L.J. Janssen, ‘Eindelijk toegang tot datasets. (Erg) langzaam maar zeker naar een nieuw normaal’, </w:t>
      </w:r>
      <w:r w:rsidRPr="00184605">
        <w:rPr>
          <w:rFonts w:cs="Times New Roman"/>
          <w:i/>
          <w:iCs/>
        </w:rPr>
        <w:t>NJB</w:t>
      </w:r>
      <w:r w:rsidRPr="00184605">
        <w:rPr>
          <w:rFonts w:cs="Times New Roman"/>
        </w:rPr>
        <w:t xml:space="preserve"> 2021/2532, afl. 34, p. 2793-2799.</w:t>
      </w:r>
    </w:p>
    <w:p w14:paraId="6F7A7673" w14:textId="77777777" w:rsidR="002034C6" w:rsidRPr="00184605" w:rsidRDefault="002034C6" w:rsidP="00184605">
      <w:pPr>
        <w:rPr>
          <w:rFonts w:cs="Times New Roman"/>
        </w:rPr>
      </w:pPr>
    </w:p>
    <w:p w14:paraId="6A6EDD64" w14:textId="77777777" w:rsidR="00EB0B3C" w:rsidRPr="00D40004" w:rsidRDefault="00EB0B3C" w:rsidP="00184605">
      <w:pPr>
        <w:rPr>
          <w:rFonts w:cs="Times New Roman"/>
          <w:lang w:val="en-GB"/>
        </w:rPr>
      </w:pPr>
      <w:r w:rsidRPr="00D40004">
        <w:rPr>
          <w:rFonts w:cs="Times New Roman"/>
          <w:b/>
          <w:bCs/>
          <w:lang w:val="en-GB"/>
        </w:rPr>
        <w:t>Jörg, Field &amp; Brants 1995</w:t>
      </w:r>
    </w:p>
    <w:p w14:paraId="3A3031C0" w14:textId="77777777" w:rsidR="00EB0B3C" w:rsidRPr="00D40004" w:rsidRDefault="00EB0B3C" w:rsidP="00184605">
      <w:pPr>
        <w:rPr>
          <w:rFonts w:cs="Times New Roman"/>
          <w:lang w:val="en-GB"/>
        </w:rPr>
      </w:pPr>
      <w:r w:rsidRPr="00D40004">
        <w:rPr>
          <w:rFonts w:cs="Times New Roman"/>
          <w:lang w:val="en-GB"/>
        </w:rPr>
        <w:t xml:space="preserve">N. Jörg, S. Field &amp; C. Brants, ‘Are Inquisitorial and Adversarial Systems Converging?’, in: P. Fennell e.a., </w:t>
      </w:r>
      <w:r w:rsidRPr="00D40004">
        <w:rPr>
          <w:rFonts w:cs="Times New Roman"/>
          <w:i/>
          <w:iCs/>
          <w:lang w:val="en-GB"/>
        </w:rPr>
        <w:t>Criminal Justice in Europe: A Comparative Study</w:t>
      </w:r>
      <w:r w:rsidRPr="00D40004">
        <w:rPr>
          <w:rFonts w:cs="Times New Roman"/>
          <w:lang w:val="en-GB"/>
        </w:rPr>
        <w:t>, Oxford: Clarendon 1995, p. 41-56.</w:t>
      </w:r>
    </w:p>
    <w:p w14:paraId="65F16638" w14:textId="77777777" w:rsidR="00EB0B3C" w:rsidRPr="00221A33" w:rsidRDefault="00EB0B3C" w:rsidP="00184605">
      <w:pPr>
        <w:rPr>
          <w:rFonts w:cs="Times New Roman"/>
          <w:lang w:val="en-US"/>
        </w:rPr>
      </w:pPr>
    </w:p>
    <w:p w14:paraId="78EB5984" w14:textId="77777777" w:rsidR="00EB0B3C" w:rsidRPr="00184605" w:rsidRDefault="00EB0B3C" w:rsidP="00184605">
      <w:pPr>
        <w:rPr>
          <w:rFonts w:cs="Times New Roman"/>
        </w:rPr>
      </w:pPr>
      <w:r w:rsidRPr="00184605">
        <w:rPr>
          <w:rFonts w:cs="Times New Roman"/>
          <w:b/>
          <w:bCs/>
        </w:rPr>
        <w:t>Lochs 2019</w:t>
      </w:r>
    </w:p>
    <w:p w14:paraId="77D621B9" w14:textId="77777777" w:rsidR="00EB0B3C" w:rsidRPr="00184605" w:rsidRDefault="00EB0B3C" w:rsidP="00184605">
      <w:pPr>
        <w:rPr>
          <w:rFonts w:cs="Times New Roman"/>
          <w:i/>
          <w:iCs/>
        </w:rPr>
      </w:pPr>
      <w:r w:rsidRPr="00184605">
        <w:rPr>
          <w:rFonts w:cs="Times New Roman"/>
        </w:rPr>
        <w:t xml:space="preserve">M. Lochs, </w:t>
      </w:r>
      <w:r w:rsidRPr="00184605">
        <w:rPr>
          <w:rFonts w:cs="Times New Roman"/>
          <w:i/>
          <w:iCs/>
        </w:rPr>
        <w:t>Contempt of court: Een meerwaarde voor de goede strafrechtspleging in Nederland?</w:t>
      </w:r>
      <w:r w:rsidRPr="00184605">
        <w:rPr>
          <w:rFonts w:cs="Times New Roman"/>
        </w:rPr>
        <w:t xml:space="preserve"> (diss. Leiden), Den Haag: Boom juridisch 2019.</w:t>
      </w:r>
    </w:p>
    <w:p w14:paraId="501734AF" w14:textId="77777777" w:rsidR="00EB0B3C" w:rsidRPr="00184605" w:rsidRDefault="00EB0B3C" w:rsidP="00184605">
      <w:pPr>
        <w:rPr>
          <w:rFonts w:cs="Times New Roman"/>
        </w:rPr>
      </w:pPr>
    </w:p>
    <w:p w14:paraId="254D09B3" w14:textId="77777777" w:rsidR="00EB0B3C" w:rsidRPr="00184605" w:rsidRDefault="00EB0B3C" w:rsidP="00184605">
      <w:pPr>
        <w:rPr>
          <w:rFonts w:cs="Times New Roman"/>
        </w:rPr>
      </w:pPr>
      <w:r w:rsidRPr="00184605">
        <w:rPr>
          <w:rFonts w:cs="Times New Roman"/>
          <w:b/>
          <w:bCs/>
        </w:rPr>
        <w:t>Lochs 2021</w:t>
      </w:r>
    </w:p>
    <w:p w14:paraId="1779CFA0" w14:textId="77777777" w:rsidR="00EB0B3C" w:rsidRDefault="00EB0B3C" w:rsidP="00184605">
      <w:pPr>
        <w:rPr>
          <w:rFonts w:cs="Times New Roman"/>
        </w:rPr>
      </w:pPr>
      <w:r w:rsidRPr="00184605">
        <w:rPr>
          <w:rFonts w:cs="Times New Roman"/>
        </w:rPr>
        <w:t xml:space="preserve">M. Lochs, ‘Een publieke verantwoordelijkheid voor de verdediging?’, in: J. Altena e.a. (red.), </w:t>
      </w:r>
      <w:r w:rsidRPr="00184605">
        <w:rPr>
          <w:rFonts w:cs="Times New Roman"/>
          <w:i/>
          <w:iCs/>
        </w:rPr>
        <w:t>In onderlinge samenhang. Liber Amicorum Tineke Cleiren</w:t>
      </w:r>
      <w:r w:rsidRPr="00184605">
        <w:rPr>
          <w:rFonts w:cs="Times New Roman"/>
        </w:rPr>
        <w:t>, Den Haag: Boom juridisch 2021, p. 545-556.</w:t>
      </w:r>
    </w:p>
    <w:p w14:paraId="4A3605C4" w14:textId="77777777" w:rsidR="00A976FC" w:rsidRDefault="00A976FC" w:rsidP="00184605">
      <w:pPr>
        <w:rPr>
          <w:rFonts w:cs="Times New Roman"/>
        </w:rPr>
      </w:pPr>
    </w:p>
    <w:p w14:paraId="1E831ED8" w14:textId="03CDE181" w:rsidR="00A976FC" w:rsidRDefault="00A976FC" w:rsidP="00184605">
      <w:pPr>
        <w:rPr>
          <w:rFonts w:cs="Times New Roman"/>
        </w:rPr>
      </w:pPr>
      <w:r>
        <w:rPr>
          <w:rFonts w:cs="Times New Roman"/>
          <w:b/>
          <w:bCs/>
        </w:rPr>
        <w:t>Lochs 2024</w:t>
      </w:r>
    </w:p>
    <w:p w14:paraId="10539BEE" w14:textId="42F1AAB4" w:rsidR="00A976FC" w:rsidRPr="00F73192" w:rsidRDefault="009B559B" w:rsidP="00184605">
      <w:pPr>
        <w:rPr>
          <w:rFonts w:cs="Times New Roman"/>
        </w:rPr>
      </w:pPr>
      <w:r>
        <w:rPr>
          <w:rFonts w:cs="Times New Roman"/>
        </w:rPr>
        <w:t>M. Lochs, ‘Achter de feiten aan. De mogelijkheden van de verdediging om bij te dragen aan de feitenvaststelling</w:t>
      </w:r>
      <w:r w:rsidR="00035585">
        <w:rPr>
          <w:rFonts w:cs="Times New Roman"/>
        </w:rPr>
        <w:t xml:space="preserve"> in strafzaken</w:t>
      </w:r>
      <w:r>
        <w:rPr>
          <w:rFonts w:cs="Times New Roman"/>
        </w:rPr>
        <w:t>’</w:t>
      </w:r>
      <w:r w:rsidR="00F73192">
        <w:rPr>
          <w:rFonts w:cs="Times New Roman"/>
        </w:rPr>
        <w:t xml:space="preserve">, </w:t>
      </w:r>
      <w:r w:rsidR="00F73192">
        <w:rPr>
          <w:rFonts w:cs="Times New Roman"/>
          <w:i/>
          <w:iCs/>
        </w:rPr>
        <w:t>PMSv</w:t>
      </w:r>
      <w:r w:rsidR="00F73192">
        <w:rPr>
          <w:rFonts w:cs="Times New Roman"/>
        </w:rPr>
        <w:t xml:space="preserve"> 2024</w:t>
      </w:r>
      <w:r w:rsidR="00295CE5">
        <w:rPr>
          <w:rFonts w:cs="Times New Roman"/>
        </w:rPr>
        <w:t>, p. 1-11.</w:t>
      </w:r>
    </w:p>
    <w:p w14:paraId="371EFE6C" w14:textId="77777777" w:rsidR="00EB0B3C" w:rsidRPr="00184605" w:rsidRDefault="00EB0B3C" w:rsidP="00184605">
      <w:pPr>
        <w:rPr>
          <w:rFonts w:cs="Times New Roman"/>
        </w:rPr>
      </w:pPr>
    </w:p>
    <w:p w14:paraId="3B135225" w14:textId="77777777" w:rsidR="00EB0B3C" w:rsidRPr="00184605" w:rsidRDefault="00EB0B3C" w:rsidP="00184605">
      <w:pPr>
        <w:rPr>
          <w:rFonts w:cs="Times New Roman"/>
        </w:rPr>
      </w:pPr>
      <w:r w:rsidRPr="00184605">
        <w:rPr>
          <w:rFonts w:cs="Times New Roman"/>
          <w:b/>
          <w:bCs/>
        </w:rPr>
        <w:t>Lochs &amp; Iqbal 2023</w:t>
      </w:r>
    </w:p>
    <w:p w14:paraId="6F433845" w14:textId="77777777" w:rsidR="00EB0B3C" w:rsidRPr="00184605" w:rsidRDefault="00EB0B3C" w:rsidP="00184605">
      <w:pPr>
        <w:rPr>
          <w:rFonts w:cs="Times New Roman"/>
        </w:rPr>
      </w:pPr>
      <w:r w:rsidRPr="00184605">
        <w:rPr>
          <w:rFonts w:cs="Times New Roman"/>
        </w:rPr>
        <w:t xml:space="preserve">M. Lochs &amp; S.E. Iqbal, ‘Tegenspraak in strafzaken: essentieel voor de waarheidsvinding in het contradictoire proces?’, </w:t>
      </w:r>
      <w:r w:rsidRPr="00184605">
        <w:rPr>
          <w:rFonts w:cs="Times New Roman"/>
          <w:i/>
          <w:iCs/>
        </w:rPr>
        <w:t xml:space="preserve">RMThemis </w:t>
      </w:r>
      <w:r w:rsidRPr="00184605">
        <w:rPr>
          <w:rFonts w:cs="Times New Roman"/>
        </w:rPr>
        <w:t>2023, afl. 2, p. 96-108.</w:t>
      </w:r>
    </w:p>
    <w:p w14:paraId="00D29F50" w14:textId="77777777" w:rsidR="00EB0B3C" w:rsidRPr="00184605" w:rsidRDefault="00EB0B3C" w:rsidP="00184605">
      <w:pPr>
        <w:rPr>
          <w:rFonts w:cs="Times New Roman"/>
          <w:b/>
          <w:bCs/>
        </w:rPr>
      </w:pPr>
    </w:p>
    <w:p w14:paraId="2B367770" w14:textId="77777777" w:rsidR="00EB0B3C" w:rsidRPr="00221A33" w:rsidRDefault="00EB0B3C" w:rsidP="00184605">
      <w:pPr>
        <w:rPr>
          <w:rFonts w:cs="Times New Roman"/>
          <w:lang w:val="en-US"/>
        </w:rPr>
      </w:pPr>
      <w:r w:rsidRPr="00221A33">
        <w:rPr>
          <w:rFonts w:cs="Times New Roman"/>
          <w:b/>
          <w:bCs/>
          <w:lang w:val="en-US"/>
        </w:rPr>
        <w:t>Mason 2007</w:t>
      </w:r>
    </w:p>
    <w:p w14:paraId="6390C014" w14:textId="77777777" w:rsidR="00EB0B3C" w:rsidRPr="00221A33" w:rsidRDefault="00EB0B3C" w:rsidP="00184605">
      <w:pPr>
        <w:rPr>
          <w:rFonts w:cs="Times New Roman"/>
          <w:lang w:val="en-US"/>
        </w:rPr>
      </w:pPr>
      <w:r w:rsidRPr="00221A33">
        <w:rPr>
          <w:rFonts w:cs="Times New Roman"/>
          <w:lang w:val="en-US"/>
        </w:rPr>
        <w:t xml:space="preserve">S. Mason, </w:t>
      </w:r>
      <w:r w:rsidRPr="00221A33">
        <w:rPr>
          <w:rFonts w:cs="Times New Roman"/>
          <w:i/>
          <w:iCs/>
          <w:lang w:val="en-US"/>
        </w:rPr>
        <w:t xml:space="preserve">Electronic </w:t>
      </w:r>
      <w:r w:rsidRPr="000704DE">
        <w:rPr>
          <w:rFonts w:cs="Times New Roman"/>
          <w:i/>
          <w:iCs/>
          <w:lang w:val="en-GB"/>
        </w:rPr>
        <w:t>Evidence: Disclosure, Discoverability and Admissibility</w:t>
      </w:r>
      <w:r w:rsidRPr="000704DE">
        <w:rPr>
          <w:rFonts w:cs="Times New Roman"/>
          <w:lang w:val="en-GB"/>
        </w:rPr>
        <w:t>, Londen: LexisNexis Butterworth</w:t>
      </w:r>
      <w:r w:rsidRPr="00221A33">
        <w:rPr>
          <w:rFonts w:cs="Times New Roman"/>
          <w:lang w:val="en-US"/>
        </w:rPr>
        <w:t>s 2007.</w:t>
      </w:r>
    </w:p>
    <w:p w14:paraId="3CBB5927" w14:textId="77777777" w:rsidR="00F81389" w:rsidRPr="00221A33" w:rsidRDefault="00F81389" w:rsidP="00184605">
      <w:pPr>
        <w:rPr>
          <w:rFonts w:cs="Times New Roman"/>
          <w:lang w:val="en-US"/>
        </w:rPr>
      </w:pPr>
    </w:p>
    <w:p w14:paraId="1878D407" w14:textId="77777777" w:rsidR="00EB0B3C" w:rsidRPr="00184605" w:rsidRDefault="00EB0B3C" w:rsidP="00184605">
      <w:pPr>
        <w:rPr>
          <w:rFonts w:cs="Times New Roman"/>
          <w:b/>
          <w:bCs/>
        </w:rPr>
      </w:pPr>
      <w:r w:rsidRPr="00184605">
        <w:rPr>
          <w:rFonts w:cs="Times New Roman"/>
          <w:b/>
          <w:bCs/>
        </w:rPr>
        <w:t>Oerlemans &amp; Schermer 2023</w:t>
      </w:r>
    </w:p>
    <w:p w14:paraId="6E6AD5B3" w14:textId="77777777" w:rsidR="00EB0B3C" w:rsidRPr="00184605" w:rsidRDefault="00EB0B3C" w:rsidP="00184605">
      <w:pPr>
        <w:rPr>
          <w:rFonts w:cs="Times New Roman"/>
        </w:rPr>
      </w:pPr>
      <w:r w:rsidRPr="00184605">
        <w:rPr>
          <w:rFonts w:cs="Times New Roman"/>
        </w:rPr>
        <w:t xml:space="preserve">J.J. Oerlemans &amp; B. Schermer, ‘Antwoorden op prejudiciële vragen in de EncroChat- en SkyECC-zaken’, </w:t>
      </w:r>
      <w:r w:rsidRPr="00184605">
        <w:rPr>
          <w:rFonts w:cs="Times New Roman"/>
          <w:i/>
          <w:iCs/>
        </w:rPr>
        <w:t>NJB</w:t>
      </w:r>
      <w:r w:rsidRPr="00184605">
        <w:rPr>
          <w:rFonts w:cs="Times New Roman"/>
        </w:rPr>
        <w:t xml:space="preserve"> 2023/2244, afl. 31, p. 2610-2618.</w:t>
      </w:r>
    </w:p>
    <w:p w14:paraId="139526F8" w14:textId="77777777" w:rsidR="00EB0B3C" w:rsidRPr="00184605" w:rsidRDefault="00EB0B3C" w:rsidP="00184605">
      <w:pPr>
        <w:rPr>
          <w:rFonts w:cs="Times New Roman"/>
        </w:rPr>
      </w:pPr>
    </w:p>
    <w:p w14:paraId="5C04C425" w14:textId="77777777" w:rsidR="00EB0B3C" w:rsidRPr="00184605" w:rsidRDefault="00EB0B3C" w:rsidP="00184605">
      <w:pPr>
        <w:rPr>
          <w:rFonts w:cs="Times New Roman"/>
          <w:b/>
          <w:bCs/>
        </w:rPr>
      </w:pPr>
      <w:r w:rsidRPr="00184605">
        <w:rPr>
          <w:rFonts w:cs="Times New Roman"/>
          <w:b/>
          <w:bCs/>
        </w:rPr>
        <w:t>Ten Voorde 2012</w:t>
      </w:r>
    </w:p>
    <w:p w14:paraId="3DE5A74B" w14:textId="77777777" w:rsidR="00EB0B3C" w:rsidRPr="00184605" w:rsidRDefault="00EB0B3C" w:rsidP="00184605">
      <w:pPr>
        <w:rPr>
          <w:rFonts w:cs="Times New Roman"/>
        </w:rPr>
      </w:pPr>
      <w:r w:rsidRPr="00184605">
        <w:rPr>
          <w:rFonts w:cs="Times New Roman"/>
        </w:rPr>
        <w:t xml:space="preserve">J.M. Ten Voorde, ‘“Het rechtskarakter van het strafrecht”. De oratie van A.A.G. Peters (Utrecht, 1972)’, </w:t>
      </w:r>
      <w:r w:rsidRPr="00184605">
        <w:rPr>
          <w:rFonts w:cs="Times New Roman"/>
          <w:i/>
          <w:iCs/>
        </w:rPr>
        <w:t>Strafblad</w:t>
      </w:r>
      <w:r w:rsidRPr="00184605">
        <w:rPr>
          <w:rFonts w:cs="Times New Roman"/>
        </w:rPr>
        <w:t xml:space="preserve"> 2012, afl. 6, p. 441-449.</w:t>
      </w:r>
    </w:p>
    <w:p w14:paraId="3BB56242" w14:textId="77777777" w:rsidR="001A3DB4" w:rsidRDefault="001A3DB4" w:rsidP="00184605">
      <w:pPr>
        <w:rPr>
          <w:rFonts w:cs="Times New Roman"/>
          <w:b/>
          <w:bCs/>
        </w:rPr>
      </w:pPr>
    </w:p>
    <w:p w14:paraId="14ECBCDB" w14:textId="77777777" w:rsidR="0024631D" w:rsidRDefault="0024631D" w:rsidP="00184605">
      <w:pPr>
        <w:rPr>
          <w:rFonts w:cs="Times New Roman"/>
          <w:b/>
          <w:bCs/>
        </w:rPr>
      </w:pPr>
    </w:p>
    <w:p w14:paraId="436B67F6" w14:textId="76768410" w:rsidR="00EB0B3C" w:rsidRPr="00184605" w:rsidRDefault="00EB0B3C" w:rsidP="00184605">
      <w:pPr>
        <w:rPr>
          <w:rFonts w:cs="Times New Roman"/>
        </w:rPr>
      </w:pPr>
      <w:r w:rsidRPr="00184605">
        <w:rPr>
          <w:rFonts w:cs="Times New Roman"/>
          <w:b/>
          <w:bCs/>
        </w:rPr>
        <w:lastRenderedPageBreak/>
        <w:t>Van Kampen 2017</w:t>
      </w:r>
    </w:p>
    <w:p w14:paraId="668861B4" w14:textId="688C75F9" w:rsidR="008E05C9" w:rsidRDefault="00EB0B3C" w:rsidP="00184605">
      <w:pPr>
        <w:rPr>
          <w:rFonts w:cs="Times New Roman"/>
        </w:rPr>
      </w:pPr>
      <w:r w:rsidRPr="00184605">
        <w:rPr>
          <w:rFonts w:cs="Times New Roman"/>
        </w:rPr>
        <w:t xml:space="preserve">P.T.C. van Kampen, ‘Verdediging 2.0’, </w:t>
      </w:r>
      <w:r w:rsidRPr="00184605">
        <w:rPr>
          <w:rFonts w:cs="Times New Roman"/>
          <w:i/>
          <w:iCs/>
        </w:rPr>
        <w:t xml:space="preserve">RMThemis </w:t>
      </w:r>
      <w:r w:rsidRPr="00184605">
        <w:rPr>
          <w:rFonts w:cs="Times New Roman"/>
        </w:rPr>
        <w:t>2017, afl. 6, p. 313-322.</w:t>
      </w:r>
    </w:p>
    <w:p w14:paraId="2DA14894" w14:textId="77777777" w:rsidR="00705804" w:rsidRPr="00184605" w:rsidRDefault="00705804" w:rsidP="00184605">
      <w:pPr>
        <w:rPr>
          <w:rFonts w:cs="Times New Roman"/>
        </w:rPr>
      </w:pPr>
    </w:p>
    <w:p w14:paraId="211E9C2B" w14:textId="77777777" w:rsidR="00EB0B3C" w:rsidRPr="00184605" w:rsidRDefault="00EB0B3C" w:rsidP="00184605">
      <w:pPr>
        <w:rPr>
          <w:rFonts w:cs="Times New Roman"/>
        </w:rPr>
      </w:pPr>
      <w:r w:rsidRPr="00184605">
        <w:rPr>
          <w:rFonts w:cs="Times New Roman"/>
          <w:b/>
          <w:bCs/>
        </w:rPr>
        <w:t>Van Kampen e.a. 2018</w:t>
      </w:r>
    </w:p>
    <w:p w14:paraId="488928CE" w14:textId="6647C34A" w:rsidR="00EB0B3C" w:rsidRDefault="00EB0B3C" w:rsidP="00184605">
      <w:pPr>
        <w:rPr>
          <w:rFonts w:cs="Times New Roman"/>
        </w:rPr>
      </w:pPr>
      <w:r w:rsidRPr="00184605">
        <w:rPr>
          <w:rFonts w:cs="Times New Roman"/>
        </w:rPr>
        <w:t xml:space="preserve">P.T.C. van Kampen e.a., </w:t>
      </w:r>
      <w:r w:rsidRPr="00184605">
        <w:rPr>
          <w:rFonts w:cs="Times New Roman"/>
          <w:i/>
          <w:iCs/>
        </w:rPr>
        <w:t>Mind the Gap. Modernisering Wetboek van Strafvordering: consequenties voor de verdediging</w:t>
      </w:r>
      <w:r w:rsidRPr="00184605">
        <w:rPr>
          <w:rFonts w:cs="Times New Roman"/>
        </w:rPr>
        <w:t>, Den Haag: WODC 2018.</w:t>
      </w:r>
    </w:p>
    <w:p w14:paraId="23542228" w14:textId="77777777" w:rsidR="002034C6" w:rsidRPr="00184605" w:rsidRDefault="002034C6" w:rsidP="00184605">
      <w:pPr>
        <w:rPr>
          <w:rFonts w:cs="Times New Roman"/>
        </w:rPr>
      </w:pPr>
    </w:p>
    <w:p w14:paraId="50EF30CA" w14:textId="77777777" w:rsidR="00EB0B3C" w:rsidRPr="00184605" w:rsidRDefault="00EB0B3C" w:rsidP="00184605">
      <w:pPr>
        <w:rPr>
          <w:rFonts w:cs="Times New Roman"/>
        </w:rPr>
      </w:pPr>
      <w:r w:rsidRPr="00184605">
        <w:rPr>
          <w:rFonts w:cs="Times New Roman"/>
          <w:b/>
          <w:bCs/>
        </w:rPr>
        <w:t>Van der Meij 2010</w:t>
      </w:r>
    </w:p>
    <w:p w14:paraId="032F99F1" w14:textId="77777777" w:rsidR="00EB0B3C" w:rsidRPr="00184605" w:rsidRDefault="00EB0B3C" w:rsidP="00184605">
      <w:pPr>
        <w:rPr>
          <w:rFonts w:cs="Times New Roman"/>
        </w:rPr>
      </w:pPr>
      <w:r w:rsidRPr="00184605">
        <w:rPr>
          <w:rFonts w:cs="Times New Roman"/>
        </w:rPr>
        <w:t xml:space="preserve">P.P.J. van der Meij, </w:t>
      </w:r>
      <w:r w:rsidRPr="00184605">
        <w:rPr>
          <w:rFonts w:cs="Times New Roman"/>
          <w:i/>
          <w:iCs/>
        </w:rPr>
        <w:t xml:space="preserve">De driehoeksverhouding in het strafrechtelijk vooronderzoek: een onverminderde zoektocht naar evenwicht in de rolverdeling tussen de rechter-commissaris, de officier van justitie en de verdediging </w:t>
      </w:r>
      <w:r w:rsidRPr="00184605">
        <w:rPr>
          <w:rFonts w:cs="Times New Roman"/>
        </w:rPr>
        <w:t>(diss. Leiden), Deventer: Wolters Kluwer 2010.</w:t>
      </w:r>
    </w:p>
    <w:p w14:paraId="31015D5D" w14:textId="77777777" w:rsidR="00FB2965" w:rsidRPr="00184605" w:rsidRDefault="00FB2965" w:rsidP="00184605">
      <w:pPr>
        <w:rPr>
          <w:rFonts w:cs="Times New Roman"/>
        </w:rPr>
      </w:pPr>
    </w:p>
    <w:p w14:paraId="04C53C00" w14:textId="77777777" w:rsidR="00EB0B3C" w:rsidRPr="00184605" w:rsidRDefault="00EB0B3C" w:rsidP="00184605">
      <w:pPr>
        <w:rPr>
          <w:rFonts w:cs="Times New Roman"/>
        </w:rPr>
      </w:pPr>
      <w:r w:rsidRPr="00184605">
        <w:rPr>
          <w:rFonts w:cs="Times New Roman"/>
          <w:b/>
          <w:bCs/>
        </w:rPr>
        <w:t>Van der Meij 2012</w:t>
      </w:r>
    </w:p>
    <w:p w14:paraId="1D9B73B7" w14:textId="77777777" w:rsidR="00EB0B3C" w:rsidRPr="00184605" w:rsidRDefault="00EB0B3C" w:rsidP="00184605">
      <w:pPr>
        <w:rPr>
          <w:rFonts w:cs="Times New Roman"/>
        </w:rPr>
      </w:pPr>
      <w:r w:rsidRPr="00184605">
        <w:rPr>
          <w:rFonts w:cs="Times New Roman"/>
        </w:rPr>
        <w:t xml:space="preserve">P.P.J. van der Meij, ‘Een accusatoir vooronderzoek onder constructie? Een decennium aan wijzigingen in wetgeving, beleid en praktijk’, </w:t>
      </w:r>
      <w:r w:rsidRPr="00184605">
        <w:rPr>
          <w:rFonts w:cs="Times New Roman"/>
          <w:i/>
          <w:iCs/>
        </w:rPr>
        <w:t>Strafblad</w:t>
      </w:r>
      <w:r w:rsidRPr="00184605">
        <w:rPr>
          <w:rFonts w:cs="Times New Roman"/>
        </w:rPr>
        <w:t xml:space="preserve"> 2012, p. 54-61.</w:t>
      </w:r>
    </w:p>
    <w:p w14:paraId="3EDFC4D4" w14:textId="77777777" w:rsidR="00EB0B3C" w:rsidRDefault="00EB0B3C" w:rsidP="00184605">
      <w:pPr>
        <w:rPr>
          <w:rFonts w:cs="Times New Roman"/>
        </w:rPr>
      </w:pPr>
    </w:p>
    <w:p w14:paraId="17993A69" w14:textId="697DC7DC" w:rsidR="00825A2C" w:rsidRPr="00184605" w:rsidRDefault="00825A2C" w:rsidP="00825A2C">
      <w:pPr>
        <w:rPr>
          <w:rFonts w:cs="Times New Roman"/>
        </w:rPr>
      </w:pPr>
      <w:r w:rsidRPr="00184605">
        <w:rPr>
          <w:rFonts w:cs="Times New Roman"/>
          <w:b/>
          <w:bCs/>
        </w:rPr>
        <w:t>Van der Meij 20</w:t>
      </w:r>
      <w:r>
        <w:rPr>
          <w:rFonts w:cs="Times New Roman"/>
          <w:b/>
          <w:bCs/>
        </w:rPr>
        <w:t>24</w:t>
      </w:r>
    </w:p>
    <w:p w14:paraId="5C71A061" w14:textId="207A778C" w:rsidR="00825A2C" w:rsidRDefault="00825A2C" w:rsidP="00184605">
      <w:pPr>
        <w:rPr>
          <w:rFonts w:cs="Times New Roman"/>
        </w:rPr>
      </w:pPr>
      <w:r w:rsidRPr="00184605">
        <w:rPr>
          <w:rFonts w:cs="Times New Roman"/>
        </w:rPr>
        <w:t>P.P.J. van der Meij, ‘</w:t>
      </w:r>
      <w:r>
        <w:rPr>
          <w:rFonts w:cs="Times New Roman"/>
        </w:rPr>
        <w:t>Een gebrek aan beweging voor de beweging naar voren. Hoe de strafrechtspleging een modern Wetboek van Strafvordering zou kunnen faciliteren… en andersom</w:t>
      </w:r>
      <w:r w:rsidR="005B778B">
        <w:rPr>
          <w:rFonts w:cs="Times New Roman"/>
        </w:rPr>
        <w:t>’</w:t>
      </w:r>
      <w:r w:rsidRPr="00184605">
        <w:rPr>
          <w:rFonts w:cs="Times New Roman"/>
        </w:rPr>
        <w:t xml:space="preserve">, </w:t>
      </w:r>
      <w:r w:rsidR="005B778B">
        <w:rPr>
          <w:rFonts w:cs="Times New Roman"/>
          <w:i/>
          <w:iCs/>
        </w:rPr>
        <w:t>BSb</w:t>
      </w:r>
      <w:r w:rsidR="00B9206E">
        <w:rPr>
          <w:rFonts w:cs="Times New Roman"/>
          <w:i/>
          <w:iCs/>
        </w:rPr>
        <w:t xml:space="preserve"> </w:t>
      </w:r>
      <w:r w:rsidR="00B9206E">
        <w:rPr>
          <w:rFonts w:cs="Times New Roman"/>
        </w:rPr>
        <w:t>2024</w:t>
      </w:r>
      <w:r w:rsidRPr="00184605">
        <w:rPr>
          <w:rFonts w:cs="Times New Roman"/>
        </w:rPr>
        <w:t>,</w:t>
      </w:r>
      <w:r w:rsidR="00B9206E">
        <w:rPr>
          <w:rFonts w:cs="Times New Roman"/>
        </w:rPr>
        <w:t xml:space="preserve"> nr. 1,</w:t>
      </w:r>
      <w:r w:rsidRPr="00184605">
        <w:rPr>
          <w:rFonts w:cs="Times New Roman"/>
        </w:rPr>
        <w:t xml:space="preserve"> p. </w:t>
      </w:r>
      <w:r w:rsidR="00E91EF6">
        <w:rPr>
          <w:rFonts w:cs="Times New Roman"/>
        </w:rPr>
        <w:t>32-43</w:t>
      </w:r>
      <w:r w:rsidRPr="00184605">
        <w:rPr>
          <w:rFonts w:cs="Times New Roman"/>
        </w:rPr>
        <w:t>.</w:t>
      </w:r>
    </w:p>
    <w:p w14:paraId="5D5EC430" w14:textId="77777777" w:rsidR="00825A2C" w:rsidRPr="00184605" w:rsidRDefault="00825A2C" w:rsidP="00184605">
      <w:pPr>
        <w:rPr>
          <w:rFonts w:cs="Times New Roman"/>
        </w:rPr>
      </w:pPr>
    </w:p>
    <w:p w14:paraId="298ED926" w14:textId="0F435CAB" w:rsidR="00EB0B3C" w:rsidRPr="00221A33" w:rsidRDefault="00EB0B3C" w:rsidP="00184605">
      <w:pPr>
        <w:rPr>
          <w:rFonts w:cs="Times New Roman"/>
          <w:lang w:val="en-US"/>
        </w:rPr>
      </w:pPr>
      <w:r w:rsidRPr="00221A33">
        <w:rPr>
          <w:rFonts w:cs="Times New Roman"/>
          <w:b/>
          <w:bCs/>
          <w:lang w:val="en-US"/>
        </w:rPr>
        <w:t>Ormerod, Murphy &amp; Phi</w:t>
      </w:r>
      <w:r w:rsidR="00AC2A0C">
        <w:rPr>
          <w:rFonts w:cs="Times New Roman"/>
          <w:b/>
          <w:bCs/>
          <w:lang w:val="en-US"/>
        </w:rPr>
        <w:t>l</w:t>
      </w:r>
      <w:r w:rsidRPr="00221A33">
        <w:rPr>
          <w:rFonts w:cs="Times New Roman"/>
          <w:b/>
          <w:bCs/>
          <w:lang w:val="en-US"/>
        </w:rPr>
        <w:t>lips 2015</w:t>
      </w:r>
    </w:p>
    <w:p w14:paraId="682D625D" w14:textId="77777777" w:rsidR="00EB0B3C" w:rsidRPr="00221A33" w:rsidRDefault="00EB0B3C" w:rsidP="00184605">
      <w:pPr>
        <w:rPr>
          <w:rFonts w:cs="Times New Roman"/>
          <w:lang w:val="en-US"/>
        </w:rPr>
      </w:pPr>
      <w:r w:rsidRPr="00221A33">
        <w:rPr>
          <w:rFonts w:cs="Times New Roman"/>
          <w:lang w:val="en-US"/>
        </w:rPr>
        <w:t xml:space="preserve">D. Ormerod, P. Murphy &amp; J. Phillips, </w:t>
      </w:r>
      <w:r w:rsidRPr="00221A33">
        <w:rPr>
          <w:rFonts w:cs="Times New Roman"/>
          <w:i/>
          <w:iCs/>
          <w:lang w:val="en-US"/>
        </w:rPr>
        <w:t>Blackstone’s Criminal Practice</w:t>
      </w:r>
      <w:r w:rsidRPr="00221A33">
        <w:rPr>
          <w:rFonts w:cs="Times New Roman"/>
          <w:lang w:val="en-US"/>
        </w:rPr>
        <w:t>, Oxford: Oxford University Press 2015.</w:t>
      </w:r>
    </w:p>
    <w:p w14:paraId="302388A4" w14:textId="77777777" w:rsidR="00EB0B3C" w:rsidRPr="00221A33" w:rsidRDefault="00EB0B3C" w:rsidP="00184605">
      <w:pPr>
        <w:rPr>
          <w:rFonts w:cs="Times New Roman"/>
          <w:lang w:val="en-US"/>
        </w:rPr>
      </w:pPr>
    </w:p>
    <w:p w14:paraId="5E3DC2E9" w14:textId="77777777" w:rsidR="00EB0B3C" w:rsidRPr="00184605" w:rsidRDefault="00EB0B3C" w:rsidP="00184605">
      <w:pPr>
        <w:rPr>
          <w:rFonts w:cs="Times New Roman"/>
          <w:b/>
          <w:bCs/>
        </w:rPr>
      </w:pPr>
      <w:r w:rsidRPr="00184605">
        <w:rPr>
          <w:rFonts w:cs="Times New Roman"/>
          <w:b/>
          <w:bCs/>
        </w:rPr>
        <w:t>Van der Pijll 2022</w:t>
      </w:r>
    </w:p>
    <w:p w14:paraId="026B3B7E" w14:textId="77777777" w:rsidR="00EB0B3C" w:rsidRPr="00184605" w:rsidRDefault="00EB0B3C" w:rsidP="00184605">
      <w:pPr>
        <w:rPr>
          <w:rFonts w:cs="Times New Roman"/>
        </w:rPr>
      </w:pPr>
      <w:r w:rsidRPr="00184605">
        <w:rPr>
          <w:rFonts w:cs="Times New Roman"/>
        </w:rPr>
        <w:t xml:space="preserve">J. van der Pijll, ‘De dataset langs de meetlat van artikel 6 EVRM’, </w:t>
      </w:r>
      <w:r w:rsidRPr="00184605">
        <w:rPr>
          <w:rFonts w:cs="Times New Roman"/>
          <w:i/>
          <w:iCs/>
        </w:rPr>
        <w:t>NJB</w:t>
      </w:r>
      <w:r w:rsidRPr="00184605">
        <w:rPr>
          <w:rFonts w:cs="Times New Roman"/>
        </w:rPr>
        <w:t xml:space="preserve"> 2022/291, afl. 5, p. 346-351.</w:t>
      </w:r>
    </w:p>
    <w:p w14:paraId="66D5F1E4" w14:textId="77777777" w:rsidR="00EB0B3C" w:rsidRDefault="00EB0B3C" w:rsidP="00184605">
      <w:pPr>
        <w:rPr>
          <w:rFonts w:cs="Times New Roman"/>
        </w:rPr>
      </w:pPr>
    </w:p>
    <w:p w14:paraId="52206219" w14:textId="1F6FEEB6" w:rsidR="00937D85" w:rsidRDefault="00937D85" w:rsidP="00184605">
      <w:pPr>
        <w:rPr>
          <w:rFonts w:cs="Times New Roman"/>
        </w:rPr>
      </w:pPr>
      <w:r>
        <w:rPr>
          <w:rFonts w:cs="Times New Roman"/>
          <w:b/>
          <w:bCs/>
        </w:rPr>
        <w:t>Reijntjes 2020</w:t>
      </w:r>
    </w:p>
    <w:p w14:paraId="4B7BE8C9" w14:textId="07F1DDD8" w:rsidR="00937D85" w:rsidRPr="00F66B5A" w:rsidRDefault="00937D85" w:rsidP="00184605">
      <w:pPr>
        <w:rPr>
          <w:rFonts w:cs="Times New Roman"/>
        </w:rPr>
      </w:pPr>
      <w:r>
        <w:rPr>
          <w:rFonts w:cs="Times New Roman"/>
        </w:rPr>
        <w:t>J.M. Reijntjes, ‘</w:t>
      </w:r>
      <w:r w:rsidR="00F66B5A">
        <w:rPr>
          <w:rFonts w:cs="Times New Roman"/>
        </w:rPr>
        <w:t>De procesinleiding. Het goede moment voor regie</w:t>
      </w:r>
      <w:r>
        <w:rPr>
          <w:rFonts w:cs="Times New Roman"/>
        </w:rPr>
        <w:t>’</w:t>
      </w:r>
      <w:r w:rsidR="00F66B5A">
        <w:rPr>
          <w:rFonts w:cs="Times New Roman"/>
        </w:rPr>
        <w:t xml:space="preserve">, </w:t>
      </w:r>
      <w:r w:rsidR="00F66B5A">
        <w:rPr>
          <w:rFonts w:cs="Times New Roman"/>
          <w:i/>
          <w:iCs/>
        </w:rPr>
        <w:t>TMSv</w:t>
      </w:r>
      <w:r w:rsidR="00F66B5A">
        <w:rPr>
          <w:rFonts w:cs="Times New Roman"/>
        </w:rPr>
        <w:t xml:space="preserve"> 2020, nr. 1, p. 40-</w:t>
      </w:r>
      <w:r w:rsidR="00C35665">
        <w:rPr>
          <w:rFonts w:cs="Times New Roman"/>
        </w:rPr>
        <w:t>48.</w:t>
      </w:r>
    </w:p>
    <w:p w14:paraId="6AECDE1E" w14:textId="77777777" w:rsidR="00937D85" w:rsidRPr="00184605" w:rsidRDefault="00937D85" w:rsidP="00184605">
      <w:pPr>
        <w:rPr>
          <w:rFonts w:cs="Times New Roman"/>
        </w:rPr>
      </w:pPr>
    </w:p>
    <w:p w14:paraId="38AD9C9C" w14:textId="77777777" w:rsidR="00EB0B3C" w:rsidRPr="00221A33" w:rsidRDefault="00EB0B3C" w:rsidP="00184605">
      <w:pPr>
        <w:rPr>
          <w:rFonts w:cs="Times New Roman"/>
          <w:b/>
          <w:bCs/>
          <w:lang w:val="en-US"/>
        </w:rPr>
      </w:pPr>
      <w:r w:rsidRPr="00221A33">
        <w:rPr>
          <w:rFonts w:cs="Times New Roman"/>
          <w:b/>
          <w:bCs/>
          <w:lang w:val="en-US"/>
        </w:rPr>
        <w:t>Roberts &amp; Zuckerman 2022</w:t>
      </w:r>
    </w:p>
    <w:p w14:paraId="40826538" w14:textId="7ACA02D8" w:rsidR="0024631D" w:rsidRDefault="00EB0B3C" w:rsidP="00184605">
      <w:pPr>
        <w:rPr>
          <w:rFonts w:cs="Times New Roman"/>
          <w:lang w:val="en-US"/>
        </w:rPr>
      </w:pPr>
      <w:r w:rsidRPr="00221A33">
        <w:rPr>
          <w:rFonts w:cs="Times New Roman"/>
          <w:lang w:val="en-US"/>
        </w:rPr>
        <w:t xml:space="preserve">P. Roberts &amp; A. Zuckerman, </w:t>
      </w:r>
      <w:r w:rsidRPr="00221A33">
        <w:rPr>
          <w:rFonts w:cs="Times New Roman"/>
          <w:i/>
          <w:iCs/>
          <w:lang w:val="en-US"/>
        </w:rPr>
        <w:t>Roberts &amp; Zuckerman’s Criminal Evidence</w:t>
      </w:r>
      <w:r w:rsidRPr="00221A33">
        <w:rPr>
          <w:rFonts w:cs="Times New Roman"/>
          <w:lang w:val="en-US"/>
        </w:rPr>
        <w:t>, Oxford: Oxford University Press 2022.</w:t>
      </w:r>
    </w:p>
    <w:p w14:paraId="3CEE1B5F" w14:textId="77777777" w:rsidR="0024631D" w:rsidRDefault="0024631D" w:rsidP="00184605">
      <w:pPr>
        <w:rPr>
          <w:rFonts w:cs="Times New Roman"/>
          <w:lang w:val="en-US"/>
        </w:rPr>
      </w:pPr>
    </w:p>
    <w:p w14:paraId="3FCC9738" w14:textId="77777777" w:rsidR="0024631D" w:rsidRDefault="0024631D" w:rsidP="00184605">
      <w:pPr>
        <w:rPr>
          <w:rFonts w:cs="Times New Roman"/>
          <w:lang w:val="en-US"/>
        </w:rPr>
      </w:pPr>
    </w:p>
    <w:p w14:paraId="6661C321" w14:textId="77777777" w:rsidR="0024631D" w:rsidRDefault="0024631D" w:rsidP="00184605">
      <w:pPr>
        <w:rPr>
          <w:rFonts w:cs="Times New Roman"/>
          <w:lang w:val="en-US"/>
        </w:rPr>
      </w:pPr>
    </w:p>
    <w:p w14:paraId="43DFCAF4" w14:textId="263D735A" w:rsidR="00705804" w:rsidRPr="0037437B" w:rsidRDefault="00705804" w:rsidP="00184605">
      <w:pPr>
        <w:rPr>
          <w:rFonts w:cs="Times New Roman"/>
        </w:rPr>
      </w:pPr>
      <w:r w:rsidRPr="0037437B">
        <w:rPr>
          <w:rFonts w:cs="Times New Roman"/>
          <w:b/>
          <w:bCs/>
        </w:rPr>
        <w:lastRenderedPageBreak/>
        <w:t>Scheele 2022</w:t>
      </w:r>
    </w:p>
    <w:p w14:paraId="0BAE78B0" w14:textId="36D375D4" w:rsidR="00705804" w:rsidRPr="00AD4D77" w:rsidRDefault="00705804" w:rsidP="00184605">
      <w:pPr>
        <w:rPr>
          <w:rFonts w:cs="Times New Roman"/>
        </w:rPr>
      </w:pPr>
      <w:r w:rsidRPr="00AD4D77">
        <w:rPr>
          <w:rFonts w:cs="Times New Roman"/>
        </w:rPr>
        <w:t xml:space="preserve">C.P.J. Scheele, ‘Het recht betreffende de (proces)stukken. Modernisering </w:t>
      </w:r>
      <w:r w:rsidR="00AD4D77">
        <w:rPr>
          <w:rFonts w:cs="Times New Roman"/>
        </w:rPr>
        <w:t>strafvordering biedt geen bevredigende oplossing voor lang bestaande knelpunten</w:t>
      </w:r>
      <w:r w:rsidRPr="00AD4D77">
        <w:rPr>
          <w:rFonts w:cs="Times New Roman"/>
        </w:rPr>
        <w:t>’</w:t>
      </w:r>
      <w:r w:rsidR="00AD4D77">
        <w:rPr>
          <w:rFonts w:cs="Times New Roman"/>
        </w:rPr>
        <w:t xml:space="preserve">, </w:t>
      </w:r>
      <w:r w:rsidR="00AD4D77">
        <w:rPr>
          <w:rFonts w:cs="Times New Roman"/>
          <w:i/>
          <w:iCs/>
        </w:rPr>
        <w:t>NTS</w:t>
      </w:r>
      <w:r w:rsidR="00AD4D77">
        <w:rPr>
          <w:rFonts w:cs="Times New Roman"/>
        </w:rPr>
        <w:t xml:space="preserve"> 2022, nr. 4, p. 228-</w:t>
      </w:r>
      <w:r w:rsidR="00A012C4">
        <w:rPr>
          <w:rFonts w:cs="Times New Roman"/>
        </w:rPr>
        <w:t>242.</w:t>
      </w:r>
    </w:p>
    <w:p w14:paraId="4536F331" w14:textId="77777777" w:rsidR="0081728D" w:rsidRPr="0037437B" w:rsidRDefault="0081728D" w:rsidP="00184605">
      <w:pPr>
        <w:rPr>
          <w:rFonts w:cs="Times New Roman"/>
        </w:rPr>
      </w:pPr>
    </w:p>
    <w:p w14:paraId="3F466621" w14:textId="77777777" w:rsidR="00EB0B3C" w:rsidRPr="00184605" w:rsidRDefault="00EB0B3C" w:rsidP="00184605">
      <w:pPr>
        <w:rPr>
          <w:rFonts w:cs="Times New Roman"/>
          <w:b/>
          <w:bCs/>
        </w:rPr>
      </w:pPr>
      <w:r w:rsidRPr="00184605">
        <w:rPr>
          <w:rFonts w:cs="Times New Roman"/>
          <w:b/>
          <w:bCs/>
        </w:rPr>
        <w:t>Schermer &amp; Oerlemans 2020</w:t>
      </w:r>
    </w:p>
    <w:p w14:paraId="0AC8CA2C" w14:textId="77777777" w:rsidR="00EB0B3C" w:rsidRPr="00184605" w:rsidRDefault="00EB0B3C" w:rsidP="00184605">
      <w:pPr>
        <w:rPr>
          <w:rFonts w:cs="Times New Roman"/>
        </w:rPr>
      </w:pPr>
      <w:r w:rsidRPr="00184605">
        <w:rPr>
          <w:rFonts w:cs="Times New Roman"/>
        </w:rPr>
        <w:t xml:space="preserve">B.W. Schermer &amp; J.J. Oerlemans, ‘AI, strafrecht en het recht op een eerlijk proces’, </w:t>
      </w:r>
      <w:r w:rsidRPr="00184605">
        <w:rPr>
          <w:rFonts w:cs="Times New Roman"/>
          <w:i/>
          <w:iCs/>
        </w:rPr>
        <w:t>Computerrecht</w:t>
      </w:r>
      <w:r w:rsidRPr="00184605">
        <w:rPr>
          <w:rFonts w:cs="Times New Roman"/>
        </w:rPr>
        <w:t xml:space="preserve"> 2020/3, afl. 1, p. 14-21.</w:t>
      </w:r>
    </w:p>
    <w:p w14:paraId="5400A6B7" w14:textId="77777777" w:rsidR="00EB0B3C" w:rsidRPr="00184605" w:rsidRDefault="00EB0B3C" w:rsidP="00184605">
      <w:pPr>
        <w:rPr>
          <w:rFonts w:cs="Times New Roman"/>
        </w:rPr>
      </w:pPr>
    </w:p>
    <w:p w14:paraId="3808A52E" w14:textId="77777777" w:rsidR="00EB0B3C" w:rsidRPr="00221A33" w:rsidRDefault="00EB0B3C" w:rsidP="00184605">
      <w:pPr>
        <w:rPr>
          <w:rFonts w:cs="Times New Roman"/>
          <w:lang w:val="en-US"/>
        </w:rPr>
      </w:pPr>
      <w:r w:rsidRPr="00221A33">
        <w:rPr>
          <w:rFonts w:cs="Times New Roman"/>
          <w:b/>
          <w:bCs/>
          <w:lang w:val="en-US"/>
        </w:rPr>
        <w:t>Spencer 2002</w:t>
      </w:r>
    </w:p>
    <w:p w14:paraId="3EB5A25D" w14:textId="77777777" w:rsidR="00EB0B3C" w:rsidRPr="00221A33" w:rsidRDefault="00EB0B3C" w:rsidP="00184605">
      <w:pPr>
        <w:rPr>
          <w:rFonts w:cs="Times New Roman"/>
          <w:lang w:val="en-US"/>
        </w:rPr>
      </w:pPr>
      <w:r w:rsidRPr="00221A33">
        <w:rPr>
          <w:rFonts w:cs="Times New Roman"/>
          <w:lang w:val="en-US"/>
        </w:rPr>
        <w:t xml:space="preserve">J.R. Spencer, ‘The English System’, in: M. Delmas-Marty &amp; J.R Spencer (red.), </w:t>
      </w:r>
      <w:r w:rsidRPr="00221A33">
        <w:rPr>
          <w:rFonts w:cs="Times New Roman"/>
          <w:i/>
          <w:iCs/>
          <w:lang w:val="en-US"/>
        </w:rPr>
        <w:t>European Criminal Procedures</w:t>
      </w:r>
      <w:r w:rsidRPr="00221A33">
        <w:rPr>
          <w:rFonts w:cs="Times New Roman"/>
          <w:lang w:val="en-US"/>
        </w:rPr>
        <w:t xml:space="preserve">, Cambridge: Cambridge University Press 2002. </w:t>
      </w:r>
    </w:p>
    <w:p w14:paraId="59229CA8" w14:textId="77777777" w:rsidR="00EB0B3C" w:rsidRPr="00221A33" w:rsidRDefault="00EB0B3C" w:rsidP="00184605">
      <w:pPr>
        <w:rPr>
          <w:rFonts w:cs="Times New Roman"/>
          <w:lang w:val="en-US"/>
        </w:rPr>
      </w:pPr>
    </w:p>
    <w:p w14:paraId="1FE0AED4" w14:textId="77777777" w:rsidR="00EB0B3C" w:rsidRPr="00221A33" w:rsidRDefault="00EB0B3C" w:rsidP="00184605">
      <w:pPr>
        <w:rPr>
          <w:rFonts w:cs="Times New Roman"/>
          <w:lang w:val="en-US"/>
        </w:rPr>
      </w:pPr>
      <w:r w:rsidRPr="00221A33">
        <w:rPr>
          <w:rFonts w:cs="Times New Roman"/>
          <w:b/>
          <w:bCs/>
          <w:lang w:val="en-US"/>
        </w:rPr>
        <w:t>Sprack 2000</w:t>
      </w:r>
    </w:p>
    <w:p w14:paraId="73A0A061" w14:textId="77777777" w:rsidR="00903F5B" w:rsidRDefault="00EB0B3C" w:rsidP="00184605">
      <w:pPr>
        <w:rPr>
          <w:rFonts w:cs="Times New Roman"/>
          <w:lang w:val="en-US"/>
        </w:rPr>
      </w:pPr>
      <w:r w:rsidRPr="00221A33">
        <w:rPr>
          <w:rFonts w:cs="Times New Roman"/>
          <w:lang w:val="en-US"/>
        </w:rPr>
        <w:t xml:space="preserve">J. Sprack, </w:t>
      </w:r>
      <w:r w:rsidRPr="00221A33">
        <w:rPr>
          <w:rFonts w:cs="Times New Roman"/>
          <w:i/>
          <w:iCs/>
          <w:lang w:val="en-US"/>
        </w:rPr>
        <w:t>Emmins on Criminal Procedure</w:t>
      </w:r>
      <w:r w:rsidRPr="00221A33">
        <w:rPr>
          <w:rFonts w:cs="Times New Roman"/>
          <w:lang w:val="en-US"/>
        </w:rPr>
        <w:t xml:space="preserve"> (8th Edition), Londen: Blackstone Press 2000.</w:t>
      </w:r>
    </w:p>
    <w:p w14:paraId="6FD115DF" w14:textId="77777777" w:rsidR="002034C6" w:rsidRPr="00221A33" w:rsidRDefault="002034C6" w:rsidP="00184605">
      <w:pPr>
        <w:rPr>
          <w:rFonts w:cs="Times New Roman"/>
          <w:lang w:val="en-US"/>
        </w:rPr>
      </w:pPr>
    </w:p>
    <w:p w14:paraId="31030702" w14:textId="07FF9916" w:rsidR="00EB0B3C" w:rsidRPr="00221A33" w:rsidRDefault="00EB0B3C" w:rsidP="00184605">
      <w:pPr>
        <w:rPr>
          <w:rFonts w:cs="Times New Roman"/>
          <w:lang w:val="en-US"/>
        </w:rPr>
      </w:pPr>
      <w:r w:rsidRPr="00221A33">
        <w:rPr>
          <w:rFonts w:cs="Times New Roman"/>
          <w:b/>
          <w:bCs/>
          <w:lang w:val="en-US"/>
        </w:rPr>
        <w:t>Sprack &amp; Engelhardt-Sprack 2019</w:t>
      </w:r>
    </w:p>
    <w:p w14:paraId="5C30A1D4" w14:textId="77777777" w:rsidR="00EB0B3C" w:rsidRPr="00221A33" w:rsidRDefault="00EB0B3C" w:rsidP="00184605">
      <w:pPr>
        <w:rPr>
          <w:rFonts w:cs="Times New Roman"/>
          <w:lang w:val="en-US"/>
        </w:rPr>
      </w:pPr>
      <w:r w:rsidRPr="00221A33">
        <w:rPr>
          <w:rFonts w:cs="Times New Roman"/>
          <w:lang w:val="en-US"/>
        </w:rPr>
        <w:t xml:space="preserve">J. Sprack &amp; M. Engelhardt-Sprack, </w:t>
      </w:r>
      <w:r w:rsidRPr="00221A33">
        <w:rPr>
          <w:rFonts w:cs="Times New Roman"/>
          <w:i/>
          <w:iCs/>
          <w:lang w:val="en-US"/>
        </w:rPr>
        <w:t>A Practical Approach to Criminal Procedure</w:t>
      </w:r>
      <w:r w:rsidRPr="00221A33">
        <w:rPr>
          <w:rFonts w:cs="Times New Roman"/>
          <w:lang w:val="en-US"/>
        </w:rPr>
        <w:t xml:space="preserve">, Oxford: Oxford University Press 2019. </w:t>
      </w:r>
    </w:p>
    <w:p w14:paraId="50BD3481" w14:textId="77777777" w:rsidR="00EB0B3C" w:rsidRPr="00221A33" w:rsidRDefault="00EB0B3C" w:rsidP="00184605">
      <w:pPr>
        <w:rPr>
          <w:rFonts w:cs="Times New Roman"/>
          <w:lang w:val="en-US"/>
        </w:rPr>
      </w:pPr>
    </w:p>
    <w:p w14:paraId="059427B0" w14:textId="77777777" w:rsidR="00EB0B3C" w:rsidRPr="00184605" w:rsidRDefault="00EB0B3C" w:rsidP="00184605">
      <w:pPr>
        <w:rPr>
          <w:rFonts w:cs="Times New Roman"/>
          <w:lang w:val="en-US"/>
        </w:rPr>
      </w:pPr>
      <w:r w:rsidRPr="00184605">
        <w:rPr>
          <w:rFonts w:cs="Times New Roman"/>
          <w:b/>
          <w:bCs/>
          <w:lang w:val="en-US"/>
        </w:rPr>
        <w:t>Winterbotham 1974</w:t>
      </w:r>
    </w:p>
    <w:p w14:paraId="1681F1E5" w14:textId="7D282411" w:rsidR="00EB0B3C" w:rsidRPr="000A1919" w:rsidRDefault="00EB0B3C" w:rsidP="00184605">
      <w:pPr>
        <w:rPr>
          <w:rFonts w:cs="Times New Roman"/>
          <w:lang w:val="en-US"/>
        </w:rPr>
      </w:pPr>
      <w:r w:rsidRPr="00184605">
        <w:rPr>
          <w:rFonts w:cs="Times New Roman"/>
          <w:lang w:val="en-US"/>
        </w:rPr>
        <w:t xml:space="preserve">F.W. Winterbotham, </w:t>
      </w:r>
      <w:r w:rsidRPr="00184605">
        <w:rPr>
          <w:rFonts w:cs="Times New Roman"/>
          <w:i/>
          <w:iCs/>
          <w:lang w:val="en-US"/>
        </w:rPr>
        <w:t>The Ultra Secret</w:t>
      </w:r>
      <w:r w:rsidRPr="00184605">
        <w:rPr>
          <w:rFonts w:cs="Times New Roman"/>
          <w:lang w:val="en-US"/>
        </w:rPr>
        <w:t>, Londen: Weidenfeld and Nicolson 1974.</w:t>
      </w:r>
      <w:r w:rsidRPr="00221A33">
        <w:rPr>
          <w:rFonts w:cs="Times New Roman"/>
          <w:lang w:val="en-US"/>
        </w:rPr>
        <w:br w:type="page"/>
      </w:r>
    </w:p>
    <w:p w14:paraId="12298EF9" w14:textId="77777777" w:rsidR="00EB0B3C" w:rsidRPr="00184605" w:rsidRDefault="00EB0B3C" w:rsidP="00184605">
      <w:pPr>
        <w:rPr>
          <w:rFonts w:cs="Times New Roman"/>
        </w:rPr>
      </w:pPr>
      <w:r w:rsidRPr="00184605">
        <w:rPr>
          <w:rFonts w:cs="Times New Roman"/>
          <w:b/>
          <w:bCs/>
        </w:rPr>
        <w:lastRenderedPageBreak/>
        <w:t>Jurisprudentie</w:t>
      </w:r>
    </w:p>
    <w:p w14:paraId="5F5EA372" w14:textId="77777777" w:rsidR="00EB0B3C" w:rsidRPr="00184605" w:rsidRDefault="00EB0B3C" w:rsidP="00184605">
      <w:pPr>
        <w:rPr>
          <w:rFonts w:cs="Times New Roman"/>
        </w:rPr>
      </w:pPr>
    </w:p>
    <w:p w14:paraId="4CB14712" w14:textId="77777777" w:rsidR="00EB0B3C" w:rsidRPr="00184605" w:rsidRDefault="00EB0B3C" w:rsidP="00184605">
      <w:pPr>
        <w:pStyle w:val="Lijstalinea"/>
        <w:numPr>
          <w:ilvl w:val="0"/>
          <w:numId w:val="4"/>
        </w:numPr>
        <w:rPr>
          <w:rFonts w:cs="Times New Roman"/>
        </w:rPr>
      </w:pPr>
      <w:r w:rsidRPr="00184605">
        <w:rPr>
          <w:rFonts w:cs="Times New Roman"/>
        </w:rPr>
        <w:t>Europese jurisprudentie</w:t>
      </w:r>
    </w:p>
    <w:p w14:paraId="480064A4" w14:textId="77777777" w:rsidR="00EB0B3C" w:rsidRPr="00184605" w:rsidRDefault="00EB0B3C" w:rsidP="00184605">
      <w:pPr>
        <w:rPr>
          <w:rFonts w:cs="Times New Roman"/>
        </w:rPr>
      </w:pPr>
    </w:p>
    <w:p w14:paraId="5221BF05" w14:textId="77777777" w:rsidR="00EB0B3C" w:rsidRPr="00184605" w:rsidRDefault="00EB0B3C" w:rsidP="00184605">
      <w:pPr>
        <w:rPr>
          <w:rFonts w:cs="Times New Roman"/>
          <w:u w:val="single"/>
        </w:rPr>
      </w:pPr>
      <w:r w:rsidRPr="00184605">
        <w:rPr>
          <w:rFonts w:cs="Times New Roman"/>
          <w:u w:val="single"/>
        </w:rPr>
        <w:t>Europees Hof voor de Rechten van de Mens</w:t>
      </w:r>
    </w:p>
    <w:p w14:paraId="73A9FBAE" w14:textId="77777777" w:rsidR="00EB0B3C" w:rsidRPr="00184605" w:rsidRDefault="00EB0B3C" w:rsidP="00184605">
      <w:pPr>
        <w:rPr>
          <w:rFonts w:cs="Times New Roman"/>
          <w:u w:val="single"/>
        </w:rPr>
      </w:pPr>
    </w:p>
    <w:p w14:paraId="5B292C62" w14:textId="77777777" w:rsidR="00EB0B3C" w:rsidRPr="00184605" w:rsidRDefault="00EB0B3C" w:rsidP="00184605">
      <w:pPr>
        <w:rPr>
          <w:rFonts w:cs="Times New Roman"/>
        </w:rPr>
      </w:pPr>
      <w:r w:rsidRPr="00184605">
        <w:rPr>
          <w:rFonts w:cs="Times New Roman"/>
        </w:rPr>
        <w:t>EHRM 28 augustus 1991, ECLI:CE:ECHR:1991:0828JUD001117084 (</w:t>
      </w:r>
      <w:r w:rsidRPr="00184605">
        <w:rPr>
          <w:rFonts w:cs="Times New Roman"/>
          <w:i/>
          <w:iCs/>
        </w:rPr>
        <w:t>Brandstetter/Oostenrijk</w:t>
      </w:r>
      <w:r w:rsidRPr="00184605">
        <w:rPr>
          <w:rFonts w:cs="Times New Roman"/>
        </w:rPr>
        <w:t>).</w:t>
      </w:r>
    </w:p>
    <w:p w14:paraId="55989447" w14:textId="77777777" w:rsidR="00EB0B3C" w:rsidRPr="00184605" w:rsidRDefault="00EB0B3C" w:rsidP="00184605">
      <w:pPr>
        <w:rPr>
          <w:rFonts w:cs="Times New Roman"/>
        </w:rPr>
      </w:pPr>
      <w:r w:rsidRPr="00184605">
        <w:rPr>
          <w:rFonts w:cs="Times New Roman"/>
        </w:rPr>
        <w:t>EHRM 16 februari 2000, ECLI:CE:ECHR:2000:0216JUD002890195 (</w:t>
      </w:r>
      <w:r w:rsidRPr="00184605">
        <w:rPr>
          <w:rFonts w:cs="Times New Roman"/>
          <w:i/>
          <w:iCs/>
        </w:rPr>
        <w:t>Rowe en Davis/Verenigd Koninkrijk</w:t>
      </w:r>
      <w:r w:rsidRPr="00184605">
        <w:rPr>
          <w:rFonts w:cs="Times New Roman"/>
        </w:rPr>
        <w:t>).</w:t>
      </w:r>
    </w:p>
    <w:p w14:paraId="597D381D" w14:textId="77777777" w:rsidR="00EB0B3C" w:rsidRPr="00184605" w:rsidRDefault="00EB0B3C" w:rsidP="00184605">
      <w:pPr>
        <w:rPr>
          <w:rFonts w:cs="Times New Roman"/>
        </w:rPr>
      </w:pPr>
      <w:r w:rsidRPr="00184605">
        <w:rPr>
          <w:rFonts w:cs="Times New Roman"/>
        </w:rPr>
        <w:t>EHRM 27 oktober 2004, ECLI:CE:ECHR:2004:1027JUD003964798 (</w:t>
      </w:r>
      <w:r w:rsidRPr="00184605">
        <w:rPr>
          <w:rFonts w:cs="Times New Roman"/>
          <w:i/>
          <w:iCs/>
        </w:rPr>
        <w:t>Edwards en Lewis/Verenigd Koninkrijk</w:t>
      </w:r>
      <w:r w:rsidRPr="00184605">
        <w:rPr>
          <w:rFonts w:cs="Times New Roman"/>
        </w:rPr>
        <w:t>).</w:t>
      </w:r>
    </w:p>
    <w:p w14:paraId="33DEA5F3" w14:textId="77777777" w:rsidR="00EB0B3C" w:rsidRPr="00184605" w:rsidRDefault="00EB0B3C" w:rsidP="00184605">
      <w:pPr>
        <w:rPr>
          <w:rFonts w:cs="Times New Roman"/>
        </w:rPr>
      </w:pPr>
      <w:r w:rsidRPr="00184605">
        <w:rPr>
          <w:rFonts w:cs="Times New Roman"/>
        </w:rPr>
        <w:t>EHRM 31 maart 2009, ECLI:CE:ECHR:2009:0331JUD002102204 (</w:t>
      </w:r>
      <w:r w:rsidRPr="00184605">
        <w:rPr>
          <w:rFonts w:cs="Times New Roman"/>
          <w:i/>
          <w:iCs/>
        </w:rPr>
        <w:t>Natunen/Finland</w:t>
      </w:r>
      <w:r w:rsidRPr="00184605">
        <w:rPr>
          <w:rFonts w:cs="Times New Roman"/>
        </w:rPr>
        <w:t>).</w:t>
      </w:r>
    </w:p>
    <w:p w14:paraId="7F9126F4" w14:textId="77777777" w:rsidR="00EB0B3C" w:rsidRPr="00184605" w:rsidRDefault="00EB0B3C" w:rsidP="00184605">
      <w:pPr>
        <w:rPr>
          <w:rFonts w:cs="Times New Roman"/>
        </w:rPr>
      </w:pPr>
      <w:r w:rsidRPr="00184605">
        <w:rPr>
          <w:rFonts w:cs="Times New Roman"/>
        </w:rPr>
        <w:t>EHRM 4 juni 2019, ECLI:CE:ECHR:2019:0604JUD003975715 (</w:t>
      </w:r>
      <w:r w:rsidRPr="00184605">
        <w:rPr>
          <w:rFonts w:cs="Times New Roman"/>
          <w:i/>
          <w:iCs/>
        </w:rPr>
        <w:t>Sigurður Einarsson/IJsland</w:t>
      </w:r>
      <w:r w:rsidRPr="00184605">
        <w:rPr>
          <w:rFonts w:cs="Times New Roman"/>
        </w:rPr>
        <w:t>).</w:t>
      </w:r>
    </w:p>
    <w:p w14:paraId="7E904A02" w14:textId="77777777" w:rsidR="00EB0B3C" w:rsidRPr="00184605" w:rsidRDefault="00EB0B3C" w:rsidP="00184605">
      <w:pPr>
        <w:rPr>
          <w:rFonts w:cs="Times New Roman"/>
        </w:rPr>
      </w:pPr>
      <w:r w:rsidRPr="00184605">
        <w:rPr>
          <w:rFonts w:cs="Times New Roman"/>
        </w:rPr>
        <w:t>EHRM 25 juli 2019, ECLI:CE:ECHR:2019:0725JUD000158615 (</w:t>
      </w:r>
      <w:r w:rsidRPr="00184605">
        <w:rPr>
          <w:rFonts w:cs="Times New Roman"/>
          <w:i/>
          <w:iCs/>
        </w:rPr>
        <w:t>Rook/Duitsland</w:t>
      </w:r>
      <w:r w:rsidRPr="00184605">
        <w:rPr>
          <w:rFonts w:cs="Times New Roman"/>
        </w:rPr>
        <w:t>).</w:t>
      </w:r>
    </w:p>
    <w:p w14:paraId="00743A2C" w14:textId="77777777" w:rsidR="00EB0B3C" w:rsidRPr="00184605" w:rsidRDefault="00EB0B3C" w:rsidP="00184605">
      <w:pPr>
        <w:rPr>
          <w:rFonts w:cs="Times New Roman"/>
        </w:rPr>
      </w:pPr>
    </w:p>
    <w:p w14:paraId="05E85ED0" w14:textId="77777777" w:rsidR="00EB0B3C" w:rsidRPr="00184605" w:rsidRDefault="00EB0B3C" w:rsidP="00184605">
      <w:pPr>
        <w:rPr>
          <w:rFonts w:cs="Times New Roman"/>
          <w:u w:val="single"/>
        </w:rPr>
      </w:pPr>
      <w:r w:rsidRPr="00184605">
        <w:rPr>
          <w:rFonts w:cs="Times New Roman"/>
          <w:u w:val="single"/>
        </w:rPr>
        <w:t>Europese Commissie voor de Rechten van de Mens</w:t>
      </w:r>
    </w:p>
    <w:p w14:paraId="3E8A0736" w14:textId="77777777" w:rsidR="00EB0B3C" w:rsidRPr="00184605" w:rsidRDefault="00EB0B3C" w:rsidP="00184605">
      <w:pPr>
        <w:rPr>
          <w:rFonts w:cs="Times New Roman"/>
        </w:rPr>
      </w:pPr>
    </w:p>
    <w:p w14:paraId="50438A0D" w14:textId="5C78D1BA" w:rsidR="00EB0B3C" w:rsidRPr="00184605" w:rsidRDefault="00EB0B3C" w:rsidP="00184605">
      <w:pPr>
        <w:rPr>
          <w:rFonts w:cs="Times New Roman"/>
        </w:rPr>
      </w:pPr>
      <w:r w:rsidRPr="00184605">
        <w:rPr>
          <w:rFonts w:cs="Times New Roman"/>
        </w:rPr>
        <w:t>EC</w:t>
      </w:r>
      <w:r w:rsidR="00C967F4">
        <w:rPr>
          <w:rFonts w:cs="Times New Roman"/>
        </w:rPr>
        <w:t>RM</w:t>
      </w:r>
      <w:r w:rsidRPr="00184605">
        <w:rPr>
          <w:rFonts w:cs="Times New Roman"/>
        </w:rPr>
        <w:t xml:space="preserve"> 14 december 1981, ECLI:CE:ECHR:1981:1214REP000840378 (</w:t>
      </w:r>
      <w:r w:rsidRPr="00184605">
        <w:rPr>
          <w:rFonts w:cs="Times New Roman"/>
          <w:i/>
          <w:iCs/>
        </w:rPr>
        <w:t>Jespers/België</w:t>
      </w:r>
      <w:r w:rsidRPr="00184605">
        <w:rPr>
          <w:rFonts w:cs="Times New Roman"/>
        </w:rPr>
        <w:t>).</w:t>
      </w:r>
    </w:p>
    <w:p w14:paraId="4A13F0BC" w14:textId="77777777" w:rsidR="00EB0B3C" w:rsidRPr="00184605" w:rsidRDefault="00EB0B3C" w:rsidP="00184605">
      <w:pPr>
        <w:rPr>
          <w:rFonts w:cs="Times New Roman"/>
        </w:rPr>
      </w:pPr>
    </w:p>
    <w:p w14:paraId="7A07383B" w14:textId="77777777" w:rsidR="00EB0B3C" w:rsidRPr="00184605" w:rsidRDefault="00EB0B3C" w:rsidP="00184605">
      <w:pPr>
        <w:pStyle w:val="Lijstalinea"/>
        <w:numPr>
          <w:ilvl w:val="0"/>
          <w:numId w:val="4"/>
        </w:numPr>
        <w:rPr>
          <w:rFonts w:cs="Times New Roman"/>
        </w:rPr>
      </w:pPr>
      <w:r w:rsidRPr="00184605">
        <w:rPr>
          <w:rFonts w:cs="Times New Roman"/>
        </w:rPr>
        <w:t>Jurisprudentie uit Engeland &amp; Wales</w:t>
      </w:r>
    </w:p>
    <w:p w14:paraId="02052AC5" w14:textId="77777777" w:rsidR="00EB0B3C" w:rsidRPr="00184605" w:rsidRDefault="00EB0B3C" w:rsidP="00184605">
      <w:pPr>
        <w:rPr>
          <w:rFonts w:cs="Times New Roman"/>
        </w:rPr>
      </w:pPr>
    </w:p>
    <w:p w14:paraId="1B467A72" w14:textId="77777777" w:rsidR="00EB0B3C" w:rsidRPr="00184605" w:rsidRDefault="00EB0B3C" w:rsidP="00184605">
      <w:pPr>
        <w:rPr>
          <w:rFonts w:cs="Times New Roman"/>
          <w:lang w:val="en-US"/>
        </w:rPr>
      </w:pPr>
      <w:r w:rsidRPr="00184605">
        <w:rPr>
          <w:rFonts w:cs="Times New Roman"/>
          <w:u w:val="single"/>
          <w:lang w:val="en-US"/>
        </w:rPr>
        <w:t>Privy Council of the United Kingdom</w:t>
      </w:r>
    </w:p>
    <w:p w14:paraId="79D427B4" w14:textId="77777777" w:rsidR="00EB0B3C" w:rsidRPr="00184605" w:rsidRDefault="00EB0B3C" w:rsidP="00184605">
      <w:pPr>
        <w:rPr>
          <w:rFonts w:cs="Times New Roman"/>
          <w:lang w:val="en-US"/>
        </w:rPr>
      </w:pPr>
    </w:p>
    <w:p w14:paraId="5B040F63" w14:textId="77777777" w:rsidR="00EB0B3C" w:rsidRPr="00184605" w:rsidRDefault="00EB0B3C" w:rsidP="00184605">
      <w:pPr>
        <w:rPr>
          <w:rFonts w:cs="Times New Roman"/>
          <w:lang w:val="en-US"/>
        </w:rPr>
      </w:pPr>
      <w:r w:rsidRPr="00184605">
        <w:rPr>
          <w:rFonts w:cs="Times New Roman"/>
          <w:lang w:val="en-US"/>
        </w:rPr>
        <w:t>Surinder Singh Kanda v The Government of the Federation of Malaya [1962] UKPC 10.</w:t>
      </w:r>
    </w:p>
    <w:p w14:paraId="45CF317D" w14:textId="77777777" w:rsidR="00EB0B3C" w:rsidRPr="00184605" w:rsidRDefault="00EB0B3C" w:rsidP="00184605">
      <w:pPr>
        <w:rPr>
          <w:rFonts w:cs="Times New Roman"/>
          <w:u w:val="single"/>
          <w:lang w:val="en-US"/>
        </w:rPr>
      </w:pPr>
    </w:p>
    <w:p w14:paraId="38AA7129" w14:textId="77777777" w:rsidR="00EB0B3C" w:rsidRPr="00184605" w:rsidRDefault="00EB0B3C" w:rsidP="00184605">
      <w:pPr>
        <w:rPr>
          <w:rFonts w:cs="Times New Roman"/>
          <w:u w:val="single"/>
          <w:lang w:val="en-US"/>
        </w:rPr>
      </w:pPr>
      <w:r w:rsidRPr="00184605">
        <w:rPr>
          <w:rFonts w:cs="Times New Roman"/>
          <w:u w:val="single"/>
          <w:lang w:val="en-US"/>
        </w:rPr>
        <w:t>House of Lords</w:t>
      </w:r>
    </w:p>
    <w:p w14:paraId="7DC4092F" w14:textId="77777777" w:rsidR="00EB0B3C" w:rsidRPr="00184605" w:rsidRDefault="00EB0B3C" w:rsidP="00184605">
      <w:pPr>
        <w:rPr>
          <w:rFonts w:cs="Times New Roman"/>
          <w:lang w:val="en-US"/>
        </w:rPr>
      </w:pPr>
    </w:p>
    <w:p w14:paraId="64A1415D" w14:textId="77777777" w:rsidR="00EB0B3C" w:rsidRPr="00221A33" w:rsidRDefault="00EB0B3C" w:rsidP="00184605">
      <w:pPr>
        <w:rPr>
          <w:rFonts w:cs="Times New Roman"/>
          <w:lang w:val="en-US"/>
        </w:rPr>
      </w:pPr>
      <w:r w:rsidRPr="00221A33">
        <w:rPr>
          <w:rFonts w:cs="Times New Roman"/>
          <w:lang w:val="en-US"/>
        </w:rPr>
        <w:t>R v H &amp; C [2004] UKHL 3.</w:t>
      </w:r>
    </w:p>
    <w:p w14:paraId="19557F34" w14:textId="77777777" w:rsidR="00EB0B3C" w:rsidRPr="00184605" w:rsidRDefault="00EB0B3C" w:rsidP="00184605">
      <w:pPr>
        <w:rPr>
          <w:rFonts w:cs="Times New Roman"/>
          <w:lang w:val="en-US"/>
        </w:rPr>
      </w:pPr>
      <w:r w:rsidRPr="00184605">
        <w:rPr>
          <w:rFonts w:cs="Times New Roman"/>
          <w:lang w:val="en-US"/>
        </w:rPr>
        <w:t>R. v Jones [2006] UKHL 16.</w:t>
      </w:r>
    </w:p>
    <w:p w14:paraId="7FFDAF60" w14:textId="77777777" w:rsidR="00EB0B3C" w:rsidRPr="00221A33" w:rsidRDefault="00EB0B3C" w:rsidP="00184605">
      <w:pPr>
        <w:rPr>
          <w:rFonts w:cs="Times New Roman"/>
          <w:lang w:val="en-US"/>
        </w:rPr>
      </w:pPr>
    </w:p>
    <w:p w14:paraId="423DECA3" w14:textId="77777777" w:rsidR="00EB0B3C" w:rsidRPr="00221A33" w:rsidRDefault="00EB0B3C" w:rsidP="00184605">
      <w:pPr>
        <w:rPr>
          <w:rFonts w:cs="Times New Roman"/>
          <w:u w:val="single"/>
          <w:lang w:val="en-US"/>
        </w:rPr>
      </w:pPr>
      <w:r w:rsidRPr="00221A33">
        <w:rPr>
          <w:rFonts w:cs="Times New Roman"/>
          <w:u w:val="single"/>
          <w:lang w:val="en-US"/>
        </w:rPr>
        <w:t xml:space="preserve">Court of Appeal </w:t>
      </w:r>
    </w:p>
    <w:p w14:paraId="5CABFF4E" w14:textId="77777777" w:rsidR="00EB0B3C" w:rsidRPr="00221A33" w:rsidRDefault="00EB0B3C" w:rsidP="00184605">
      <w:pPr>
        <w:rPr>
          <w:rFonts w:cs="Times New Roman"/>
          <w:u w:val="single"/>
          <w:lang w:val="en-US"/>
        </w:rPr>
      </w:pPr>
    </w:p>
    <w:p w14:paraId="0FB168AC" w14:textId="44FB59EE" w:rsidR="00A97102" w:rsidRPr="00221A33" w:rsidRDefault="00A97102" w:rsidP="00184605">
      <w:pPr>
        <w:rPr>
          <w:rFonts w:cs="Times New Roman"/>
          <w:lang w:val="en-US"/>
        </w:rPr>
      </w:pPr>
      <w:r w:rsidRPr="00221A33">
        <w:rPr>
          <w:rFonts w:cs="Times New Roman"/>
          <w:lang w:val="en-US"/>
        </w:rPr>
        <w:t>R v Michael [2003] EWCA Crim 3764.</w:t>
      </w:r>
    </w:p>
    <w:p w14:paraId="4D6E4839" w14:textId="77777777" w:rsidR="00EB0B3C" w:rsidRPr="00221A33" w:rsidRDefault="00EB0B3C" w:rsidP="00184605">
      <w:pPr>
        <w:rPr>
          <w:rFonts w:cs="Times New Roman"/>
          <w:lang w:val="en-US"/>
        </w:rPr>
      </w:pPr>
      <w:r w:rsidRPr="00221A33">
        <w:rPr>
          <w:rFonts w:cs="Times New Roman"/>
          <w:lang w:val="en-US"/>
        </w:rPr>
        <w:t>R v Alibhai [2004] EWCA Crim 681.</w:t>
      </w:r>
    </w:p>
    <w:p w14:paraId="1AD59A56" w14:textId="77777777" w:rsidR="00EB0B3C" w:rsidRPr="00221A33" w:rsidRDefault="00EB0B3C" w:rsidP="00184605">
      <w:pPr>
        <w:rPr>
          <w:rFonts w:cs="Times New Roman"/>
          <w:lang w:val="en-US"/>
        </w:rPr>
      </w:pPr>
      <w:r w:rsidRPr="00221A33">
        <w:rPr>
          <w:rFonts w:cs="Times New Roman"/>
          <w:lang w:val="en-US"/>
        </w:rPr>
        <w:t>R v Makin [2004] EWCA Crim 1607.</w:t>
      </w:r>
    </w:p>
    <w:p w14:paraId="0F8E90BD" w14:textId="77777777" w:rsidR="00EB0B3C" w:rsidRPr="00221A33" w:rsidRDefault="00EB0B3C" w:rsidP="00184605">
      <w:pPr>
        <w:rPr>
          <w:rFonts w:cs="Times New Roman"/>
          <w:lang w:val="en-US"/>
        </w:rPr>
      </w:pPr>
      <w:r w:rsidRPr="00221A33">
        <w:rPr>
          <w:rFonts w:cs="Times New Roman"/>
          <w:lang w:val="en-US"/>
        </w:rPr>
        <w:t>R v Pearson [2006] EWCA Crim 3366.</w:t>
      </w:r>
    </w:p>
    <w:p w14:paraId="6B535EAD" w14:textId="77777777" w:rsidR="00EB0B3C" w:rsidRPr="00221A33" w:rsidRDefault="00EB0B3C" w:rsidP="00184605">
      <w:pPr>
        <w:rPr>
          <w:rFonts w:cs="Times New Roman"/>
          <w:lang w:val="en-US"/>
        </w:rPr>
      </w:pPr>
      <w:r w:rsidRPr="00221A33">
        <w:rPr>
          <w:rFonts w:cs="Times New Roman"/>
          <w:lang w:val="en-US"/>
        </w:rPr>
        <w:t>R v Flook [2010] 1 CR App R 434.</w:t>
      </w:r>
    </w:p>
    <w:p w14:paraId="7863FFA4" w14:textId="77777777" w:rsidR="00EB0B3C" w:rsidRPr="00184605" w:rsidRDefault="00EB0B3C" w:rsidP="00184605">
      <w:pPr>
        <w:rPr>
          <w:rFonts w:cs="Times New Roman"/>
          <w:lang w:val="en-US"/>
        </w:rPr>
      </w:pPr>
      <w:r w:rsidRPr="00184605">
        <w:rPr>
          <w:rFonts w:cs="Times New Roman"/>
          <w:lang w:val="en-US"/>
        </w:rPr>
        <w:lastRenderedPageBreak/>
        <w:t>R v Olu [2010] EWCA Crim 2975.</w:t>
      </w:r>
    </w:p>
    <w:p w14:paraId="2F532CE4" w14:textId="77777777" w:rsidR="00EB0B3C" w:rsidRPr="00184605" w:rsidRDefault="00EB0B3C" w:rsidP="00184605">
      <w:pPr>
        <w:rPr>
          <w:rFonts w:cs="Times New Roman"/>
          <w:lang w:val="en-US"/>
        </w:rPr>
      </w:pPr>
      <w:r w:rsidRPr="00221A33">
        <w:rPr>
          <w:rFonts w:cs="Times New Roman"/>
          <w:lang w:val="en-US"/>
        </w:rPr>
        <w:t>R v Malook [2011] EWCA Crim 254</w:t>
      </w:r>
    </w:p>
    <w:p w14:paraId="24EDF97A" w14:textId="516BD436" w:rsidR="00EB0B3C" w:rsidRPr="00184605" w:rsidRDefault="00EB0B3C" w:rsidP="00184605">
      <w:pPr>
        <w:rPr>
          <w:rFonts w:cs="Times New Roman"/>
          <w:lang w:val="en-US"/>
        </w:rPr>
      </w:pPr>
      <w:r w:rsidRPr="00184605">
        <w:rPr>
          <w:rFonts w:cs="Times New Roman"/>
          <w:lang w:val="en-US"/>
        </w:rPr>
        <w:t>R v R</w:t>
      </w:r>
      <w:r w:rsidR="00DE12D7">
        <w:rPr>
          <w:rFonts w:cs="Times New Roman"/>
          <w:lang w:val="en-US"/>
        </w:rPr>
        <w:t>ichards</w:t>
      </w:r>
      <w:r w:rsidRPr="00184605">
        <w:rPr>
          <w:rFonts w:cs="Times New Roman"/>
          <w:lang w:val="en-US"/>
        </w:rPr>
        <w:t xml:space="preserve"> [2015] EWCA Crim 1941.</w:t>
      </w:r>
    </w:p>
    <w:p w14:paraId="58887E35" w14:textId="77777777" w:rsidR="00EB0B3C" w:rsidRPr="00184605" w:rsidRDefault="00EB0B3C" w:rsidP="00184605">
      <w:pPr>
        <w:rPr>
          <w:rFonts w:cs="Times New Roman"/>
          <w:lang w:val="en-US"/>
        </w:rPr>
      </w:pPr>
      <w:r w:rsidRPr="00221A33">
        <w:rPr>
          <w:rFonts w:cs="Times New Roman"/>
          <w:lang w:val="en-US"/>
        </w:rPr>
        <w:t>R v Bater-James [2020] EWCA Crim 790.</w:t>
      </w:r>
    </w:p>
    <w:p w14:paraId="075E9CA3" w14:textId="77777777" w:rsidR="00EB0B3C" w:rsidRPr="00184605" w:rsidRDefault="00EB0B3C" w:rsidP="00184605">
      <w:pPr>
        <w:rPr>
          <w:rFonts w:cs="Times New Roman"/>
          <w:lang w:val="en-US"/>
        </w:rPr>
      </w:pPr>
      <w:r w:rsidRPr="00184605">
        <w:rPr>
          <w:rFonts w:cs="Times New Roman"/>
          <w:lang w:val="en-US"/>
        </w:rPr>
        <w:t>R v A [2021] EWCA Crim 128.</w:t>
      </w:r>
    </w:p>
    <w:p w14:paraId="53ABC379" w14:textId="77777777" w:rsidR="00EB0B3C" w:rsidRPr="00184605" w:rsidRDefault="00EB0B3C" w:rsidP="00184605">
      <w:pPr>
        <w:rPr>
          <w:rFonts w:cs="Times New Roman"/>
          <w:lang w:val="en-US"/>
        </w:rPr>
      </w:pPr>
    </w:p>
    <w:p w14:paraId="7F76E3E0" w14:textId="77777777" w:rsidR="00EB0B3C" w:rsidRPr="00221A33" w:rsidRDefault="00EB0B3C" w:rsidP="00184605">
      <w:pPr>
        <w:rPr>
          <w:rFonts w:cs="Times New Roman"/>
          <w:u w:val="single"/>
          <w:lang w:val="en-US"/>
        </w:rPr>
      </w:pPr>
      <w:r w:rsidRPr="00221A33">
        <w:rPr>
          <w:rFonts w:cs="Times New Roman"/>
          <w:u w:val="single"/>
          <w:lang w:val="en-US"/>
        </w:rPr>
        <w:t>High Court of Justice</w:t>
      </w:r>
    </w:p>
    <w:p w14:paraId="0F11104C" w14:textId="77777777" w:rsidR="00EB0B3C" w:rsidRPr="00221A33" w:rsidRDefault="00EB0B3C" w:rsidP="00184605">
      <w:pPr>
        <w:rPr>
          <w:rFonts w:cs="Times New Roman"/>
          <w:u w:val="single"/>
          <w:lang w:val="en-US"/>
        </w:rPr>
      </w:pPr>
    </w:p>
    <w:p w14:paraId="1CAAFA45" w14:textId="77777777" w:rsidR="00EB0B3C" w:rsidRPr="00221A33" w:rsidRDefault="00EB0B3C" w:rsidP="00184605">
      <w:pPr>
        <w:rPr>
          <w:rFonts w:cs="Times New Roman"/>
          <w:lang w:val="en-US"/>
        </w:rPr>
      </w:pPr>
      <w:r w:rsidRPr="00221A33">
        <w:rPr>
          <w:rFonts w:cs="Times New Roman"/>
          <w:lang w:val="en-US"/>
        </w:rPr>
        <w:t>R v Epping and Harlow Justices ex p Massaro [1973] QB 433.</w:t>
      </w:r>
    </w:p>
    <w:p w14:paraId="664FE78E" w14:textId="77777777" w:rsidR="00EB0B3C" w:rsidRPr="00221A33" w:rsidRDefault="00EB0B3C" w:rsidP="00184605">
      <w:pPr>
        <w:rPr>
          <w:rFonts w:cs="Times New Roman"/>
          <w:lang w:val="en-US"/>
        </w:rPr>
      </w:pPr>
      <w:r w:rsidRPr="00221A33">
        <w:rPr>
          <w:rFonts w:cs="Times New Roman"/>
          <w:lang w:val="en-US"/>
        </w:rPr>
        <w:t>R v Her Majesty’s Coroner for Hammersmith ex p Peach [1980] QB 211.</w:t>
      </w:r>
    </w:p>
    <w:p w14:paraId="22731F29" w14:textId="77777777" w:rsidR="00EB0B3C" w:rsidRPr="00221A33" w:rsidRDefault="00EB0B3C" w:rsidP="00184605">
      <w:pPr>
        <w:rPr>
          <w:rFonts w:cs="Times New Roman"/>
          <w:lang w:val="en-US"/>
        </w:rPr>
      </w:pPr>
      <w:r w:rsidRPr="00221A33">
        <w:rPr>
          <w:rFonts w:cs="Times New Roman"/>
          <w:lang w:val="en-US"/>
        </w:rPr>
        <w:t>Wilkinson v Crown Prosecution Service [1998] Crim LR 743.</w:t>
      </w:r>
    </w:p>
    <w:p w14:paraId="357F22F0" w14:textId="77777777" w:rsidR="00EB0B3C" w:rsidRPr="00221A33" w:rsidRDefault="00EB0B3C" w:rsidP="00184605">
      <w:pPr>
        <w:rPr>
          <w:rFonts w:cs="Times New Roman"/>
          <w:lang w:val="en-US"/>
        </w:rPr>
      </w:pPr>
      <w:r w:rsidRPr="00221A33">
        <w:rPr>
          <w:rFonts w:cs="Times New Roman"/>
          <w:lang w:val="en-US"/>
        </w:rPr>
        <w:t>R v Stratford Justices ex p Imbert [1999] 2 Cr APP 276.</w:t>
      </w:r>
    </w:p>
    <w:p w14:paraId="696C301F" w14:textId="77777777" w:rsidR="00EB0B3C" w:rsidRPr="00221A33" w:rsidRDefault="00EB0B3C" w:rsidP="00184605">
      <w:pPr>
        <w:rPr>
          <w:rFonts w:cs="Times New Roman"/>
          <w:lang w:val="en-US"/>
        </w:rPr>
      </w:pPr>
      <w:r w:rsidRPr="00221A33">
        <w:rPr>
          <w:rFonts w:cs="Times New Roman"/>
          <w:lang w:val="en-US"/>
        </w:rPr>
        <w:t>R v DPP ex p Lee [1999] EWHC Admin 242.</w:t>
      </w:r>
    </w:p>
    <w:p w14:paraId="767EF46B" w14:textId="77777777" w:rsidR="00EB0B3C" w:rsidRPr="00221A33" w:rsidRDefault="00EB0B3C" w:rsidP="00184605">
      <w:pPr>
        <w:rPr>
          <w:rFonts w:cs="Times New Roman"/>
          <w:lang w:val="en-US"/>
        </w:rPr>
      </w:pPr>
      <w:r w:rsidRPr="00221A33">
        <w:rPr>
          <w:rFonts w:cs="Times New Roman"/>
          <w:lang w:val="en-US"/>
        </w:rPr>
        <w:t>R (on the application of Cleary) v Highbury Corner Magistrates Court [2006] EWHC 1869.</w:t>
      </w:r>
    </w:p>
    <w:p w14:paraId="7F73A0EE" w14:textId="77777777" w:rsidR="00EB0B3C" w:rsidRPr="00221A33" w:rsidRDefault="00EB0B3C" w:rsidP="00184605">
      <w:pPr>
        <w:rPr>
          <w:rFonts w:cs="Times New Roman"/>
          <w:lang w:val="en-US"/>
        </w:rPr>
      </w:pPr>
    </w:p>
    <w:p w14:paraId="11F1D89A" w14:textId="77777777" w:rsidR="00EB0B3C" w:rsidRPr="00221A33" w:rsidRDefault="00EB0B3C" w:rsidP="00184605">
      <w:pPr>
        <w:rPr>
          <w:rFonts w:cs="Times New Roman"/>
          <w:u w:val="single"/>
          <w:lang w:val="en-US"/>
        </w:rPr>
      </w:pPr>
      <w:r w:rsidRPr="00221A33">
        <w:rPr>
          <w:rFonts w:cs="Times New Roman"/>
          <w:u w:val="single"/>
          <w:lang w:val="en-US"/>
        </w:rPr>
        <w:t>Crown Court</w:t>
      </w:r>
    </w:p>
    <w:p w14:paraId="060F5574" w14:textId="77777777" w:rsidR="00EB0B3C" w:rsidRPr="00221A33" w:rsidRDefault="00EB0B3C" w:rsidP="00184605">
      <w:pPr>
        <w:rPr>
          <w:rFonts w:cs="Times New Roman"/>
          <w:lang w:val="en-US"/>
        </w:rPr>
      </w:pPr>
    </w:p>
    <w:p w14:paraId="154DFDE3" w14:textId="77777777" w:rsidR="00EB0B3C" w:rsidRPr="00221A33" w:rsidRDefault="00EB0B3C" w:rsidP="00184605">
      <w:pPr>
        <w:rPr>
          <w:rFonts w:cs="Times New Roman"/>
          <w:lang w:val="en-US"/>
        </w:rPr>
      </w:pPr>
      <w:r w:rsidRPr="00221A33">
        <w:rPr>
          <w:rFonts w:cs="Times New Roman"/>
          <w:lang w:val="en-US"/>
        </w:rPr>
        <w:t>R v MA [2018] Crown Court (Leeds) 4 WLUK 268.</w:t>
      </w:r>
    </w:p>
    <w:p w14:paraId="6C11B086" w14:textId="77777777" w:rsidR="00EB0B3C" w:rsidRPr="00221A33" w:rsidRDefault="00EB0B3C" w:rsidP="00184605">
      <w:pPr>
        <w:rPr>
          <w:rFonts w:cs="Times New Roman"/>
          <w:lang w:val="en-US"/>
        </w:rPr>
      </w:pPr>
    </w:p>
    <w:p w14:paraId="7DADF452" w14:textId="77777777" w:rsidR="00EB0B3C" w:rsidRPr="00184605" w:rsidRDefault="00EB0B3C" w:rsidP="00184605">
      <w:pPr>
        <w:pStyle w:val="Lijstalinea"/>
        <w:numPr>
          <w:ilvl w:val="0"/>
          <w:numId w:val="4"/>
        </w:numPr>
        <w:rPr>
          <w:rFonts w:cs="Times New Roman"/>
        </w:rPr>
      </w:pPr>
      <w:r w:rsidRPr="00184605">
        <w:rPr>
          <w:rFonts w:cs="Times New Roman"/>
        </w:rPr>
        <w:t>Nederlandse jurisprudentie</w:t>
      </w:r>
    </w:p>
    <w:p w14:paraId="1582E082" w14:textId="77777777" w:rsidR="00EB0B3C" w:rsidRPr="00184605" w:rsidRDefault="00EB0B3C" w:rsidP="00184605">
      <w:pPr>
        <w:rPr>
          <w:rFonts w:cs="Times New Roman"/>
        </w:rPr>
      </w:pPr>
    </w:p>
    <w:p w14:paraId="58EB924C" w14:textId="77777777" w:rsidR="00EB0B3C" w:rsidRPr="00184605" w:rsidRDefault="00EB0B3C" w:rsidP="00184605">
      <w:pPr>
        <w:rPr>
          <w:rFonts w:cs="Times New Roman"/>
          <w:u w:val="single"/>
        </w:rPr>
      </w:pPr>
      <w:r w:rsidRPr="00184605">
        <w:rPr>
          <w:rFonts w:cs="Times New Roman"/>
          <w:u w:val="single"/>
        </w:rPr>
        <w:t>Hoge Raad</w:t>
      </w:r>
    </w:p>
    <w:p w14:paraId="60585ADA" w14:textId="77777777" w:rsidR="00EB0B3C" w:rsidRPr="00184605" w:rsidRDefault="00EB0B3C" w:rsidP="00184605">
      <w:pPr>
        <w:rPr>
          <w:rFonts w:cs="Times New Roman"/>
          <w:i/>
          <w:iCs/>
        </w:rPr>
      </w:pPr>
    </w:p>
    <w:p w14:paraId="38A256F4" w14:textId="4830053F" w:rsidR="00EB0B3C" w:rsidRPr="00184605" w:rsidRDefault="00EB0B3C" w:rsidP="00184605">
      <w:pPr>
        <w:rPr>
          <w:rFonts w:cs="Times New Roman"/>
        </w:rPr>
      </w:pPr>
      <w:bookmarkStart w:id="16" w:name="_Hlk157709679"/>
      <w:r w:rsidRPr="00184605">
        <w:rPr>
          <w:rFonts w:cs="Times New Roman"/>
        </w:rPr>
        <w:t xml:space="preserve">HR 7 mei 1996, </w:t>
      </w:r>
      <w:r w:rsidRPr="00184605">
        <w:rPr>
          <w:rFonts w:cs="Times New Roman"/>
          <w:i/>
          <w:iCs/>
        </w:rPr>
        <w:t>NJ</w:t>
      </w:r>
      <w:r w:rsidRPr="00184605">
        <w:rPr>
          <w:rFonts w:cs="Times New Roman"/>
        </w:rPr>
        <w:t xml:space="preserve"> 1996/687.</w:t>
      </w:r>
    </w:p>
    <w:p w14:paraId="46EEAED9" w14:textId="77777777" w:rsidR="00EB0B3C" w:rsidRPr="00184605" w:rsidRDefault="00EB0B3C" w:rsidP="00184605">
      <w:pPr>
        <w:rPr>
          <w:rFonts w:cs="Times New Roman"/>
        </w:rPr>
      </w:pPr>
      <w:r w:rsidRPr="00184605">
        <w:rPr>
          <w:rFonts w:cs="Times New Roman"/>
        </w:rPr>
        <w:t>HR 5 januari 2016, ECLI:NL:HR:2016:2.</w:t>
      </w:r>
    </w:p>
    <w:p w14:paraId="4DB69D5D" w14:textId="77777777" w:rsidR="00EB0B3C" w:rsidRPr="00184605" w:rsidRDefault="00EB0B3C" w:rsidP="00184605">
      <w:pPr>
        <w:rPr>
          <w:rFonts w:cs="Times New Roman"/>
        </w:rPr>
      </w:pPr>
      <w:r w:rsidRPr="00184605">
        <w:rPr>
          <w:rFonts w:cs="Times New Roman"/>
        </w:rPr>
        <w:t>HR 10 oktober 2017, ECLI:NL:HR:2017:2571.</w:t>
      </w:r>
    </w:p>
    <w:p w14:paraId="71BFCD27" w14:textId="77777777" w:rsidR="00EB0B3C" w:rsidRPr="00184605" w:rsidRDefault="00EB0B3C" w:rsidP="00184605">
      <w:pPr>
        <w:rPr>
          <w:rFonts w:cs="Times New Roman"/>
        </w:rPr>
      </w:pPr>
      <w:r w:rsidRPr="00184605">
        <w:rPr>
          <w:rFonts w:cs="Times New Roman"/>
        </w:rPr>
        <w:t xml:space="preserve">HR 24 september 2019, ECLI:NL:HR:2019:1414, </w:t>
      </w:r>
      <w:r w:rsidRPr="00184605">
        <w:rPr>
          <w:rFonts w:cs="Times New Roman"/>
          <w:i/>
          <w:iCs/>
        </w:rPr>
        <w:t xml:space="preserve">NJ </w:t>
      </w:r>
      <w:r w:rsidRPr="00184605">
        <w:rPr>
          <w:rFonts w:cs="Times New Roman"/>
        </w:rPr>
        <w:t>2019/465, m.nt. Reijntjes.</w:t>
      </w:r>
    </w:p>
    <w:bookmarkEnd w:id="16"/>
    <w:p w14:paraId="662E3F3C" w14:textId="77777777" w:rsidR="00EB0B3C" w:rsidRPr="00184605" w:rsidRDefault="00EB0B3C" w:rsidP="00184605">
      <w:pPr>
        <w:rPr>
          <w:rFonts w:cs="Times New Roman"/>
        </w:rPr>
      </w:pPr>
      <w:r w:rsidRPr="00184605">
        <w:rPr>
          <w:rFonts w:cs="Times New Roman"/>
        </w:rPr>
        <w:t>HR 16 februari 2021, ECLI:NL:HR:2021:218.</w:t>
      </w:r>
    </w:p>
    <w:p w14:paraId="173CDA8F" w14:textId="77777777" w:rsidR="00EB0B3C" w:rsidRPr="00184605" w:rsidRDefault="00EB0B3C" w:rsidP="00184605">
      <w:pPr>
        <w:rPr>
          <w:rFonts w:cs="Times New Roman"/>
        </w:rPr>
      </w:pPr>
      <w:r w:rsidRPr="00184605">
        <w:rPr>
          <w:rFonts w:cs="Times New Roman"/>
        </w:rPr>
        <w:t xml:space="preserve">HR 28 juni 2022, ECLI:NL:HR:2022:900, </w:t>
      </w:r>
      <w:r w:rsidRPr="00184605">
        <w:rPr>
          <w:rFonts w:cs="Times New Roman"/>
          <w:i/>
          <w:iCs/>
        </w:rPr>
        <w:t>NJ</w:t>
      </w:r>
      <w:r w:rsidRPr="00184605">
        <w:rPr>
          <w:rFonts w:cs="Times New Roman"/>
        </w:rPr>
        <w:t xml:space="preserve"> 2022/295.</w:t>
      </w:r>
    </w:p>
    <w:p w14:paraId="149959CC" w14:textId="77777777" w:rsidR="00EB0B3C" w:rsidRPr="00184605" w:rsidRDefault="00EB0B3C" w:rsidP="00184605">
      <w:pPr>
        <w:rPr>
          <w:rFonts w:cs="Times New Roman"/>
        </w:rPr>
      </w:pPr>
    </w:p>
    <w:p w14:paraId="5A16A347" w14:textId="77777777" w:rsidR="00EB0B3C" w:rsidRPr="00184605" w:rsidRDefault="00EB0B3C" w:rsidP="00184605">
      <w:pPr>
        <w:rPr>
          <w:rFonts w:cs="Times New Roman"/>
        </w:rPr>
      </w:pPr>
      <w:r w:rsidRPr="00184605">
        <w:rPr>
          <w:rFonts w:cs="Times New Roman"/>
        </w:rPr>
        <w:t>Concl. A-G Hartevelt 8 maart 2022, ECLI:NL:PHR:2022:219.</w:t>
      </w:r>
    </w:p>
    <w:p w14:paraId="3182AF2A" w14:textId="77777777" w:rsidR="00EB0B3C" w:rsidRPr="00184605" w:rsidRDefault="00EB0B3C" w:rsidP="00184605">
      <w:pPr>
        <w:rPr>
          <w:rFonts w:cs="Times New Roman"/>
        </w:rPr>
      </w:pPr>
      <w:r w:rsidRPr="00184605">
        <w:rPr>
          <w:rFonts w:cs="Times New Roman"/>
        </w:rPr>
        <w:t>Concl. A-G Hartevelt 28 maart 2023, ECLI:NL:PHR:2023:351.</w:t>
      </w:r>
    </w:p>
    <w:p w14:paraId="7D86A5F6" w14:textId="77777777" w:rsidR="00EB0B3C" w:rsidRPr="00184605" w:rsidRDefault="00EB0B3C" w:rsidP="00184605">
      <w:pPr>
        <w:rPr>
          <w:rFonts w:cs="Times New Roman"/>
        </w:rPr>
      </w:pPr>
    </w:p>
    <w:p w14:paraId="3199C80D" w14:textId="77777777" w:rsidR="00EB0B3C" w:rsidRPr="00184605" w:rsidRDefault="00EB0B3C" w:rsidP="00184605">
      <w:pPr>
        <w:rPr>
          <w:rFonts w:cs="Times New Roman"/>
        </w:rPr>
      </w:pPr>
      <w:r w:rsidRPr="00184605">
        <w:rPr>
          <w:rFonts w:cs="Times New Roman"/>
          <w:u w:val="single"/>
        </w:rPr>
        <w:t>Gerechtshoven</w:t>
      </w:r>
    </w:p>
    <w:p w14:paraId="739C73F6" w14:textId="77777777" w:rsidR="00EB0B3C" w:rsidRPr="00184605" w:rsidRDefault="00EB0B3C" w:rsidP="00184605">
      <w:pPr>
        <w:rPr>
          <w:rFonts w:cs="Times New Roman"/>
        </w:rPr>
      </w:pPr>
    </w:p>
    <w:p w14:paraId="54198B05" w14:textId="77777777" w:rsidR="00EB0B3C" w:rsidRPr="00184605" w:rsidRDefault="00EB0B3C" w:rsidP="00184605">
      <w:pPr>
        <w:rPr>
          <w:rFonts w:cs="Times New Roman"/>
        </w:rPr>
      </w:pPr>
      <w:r w:rsidRPr="00184605">
        <w:rPr>
          <w:rFonts w:cs="Times New Roman"/>
        </w:rPr>
        <w:t>Hof Amsterdam 31 januari 2013, ECLI:NL:GHAMS:2013:BZ0228.</w:t>
      </w:r>
    </w:p>
    <w:p w14:paraId="0B9F4089" w14:textId="09CC61E8" w:rsidR="00EB0B3C" w:rsidRPr="00184605" w:rsidRDefault="00EB0B3C" w:rsidP="00184605">
      <w:pPr>
        <w:rPr>
          <w:rFonts w:cs="Times New Roman"/>
        </w:rPr>
      </w:pPr>
      <w:r w:rsidRPr="00184605">
        <w:rPr>
          <w:rFonts w:cs="Times New Roman"/>
        </w:rPr>
        <w:t>Hof Arnhem-Leeuwarden 23 december 2021, ECLI:NL:GHARL:2021:11610.</w:t>
      </w:r>
    </w:p>
    <w:p w14:paraId="777B813D" w14:textId="77777777" w:rsidR="00EB0B3C" w:rsidRPr="00184605" w:rsidRDefault="00EB0B3C" w:rsidP="00184605">
      <w:pPr>
        <w:rPr>
          <w:rFonts w:cs="Times New Roman"/>
          <w:u w:val="single"/>
        </w:rPr>
      </w:pPr>
      <w:r w:rsidRPr="00184605">
        <w:rPr>
          <w:rFonts w:cs="Times New Roman"/>
          <w:u w:val="single"/>
        </w:rPr>
        <w:lastRenderedPageBreak/>
        <w:t>Rechtbanken</w:t>
      </w:r>
    </w:p>
    <w:p w14:paraId="5819E736" w14:textId="77777777" w:rsidR="00EB0B3C" w:rsidRPr="00184605" w:rsidRDefault="00EB0B3C" w:rsidP="00184605">
      <w:pPr>
        <w:rPr>
          <w:rFonts w:cs="Times New Roman"/>
          <w:u w:val="single"/>
        </w:rPr>
      </w:pPr>
    </w:p>
    <w:p w14:paraId="74C7EBBD" w14:textId="77777777" w:rsidR="00EB0B3C" w:rsidRPr="00184605" w:rsidRDefault="00EB0B3C" w:rsidP="00184605">
      <w:pPr>
        <w:rPr>
          <w:rFonts w:cs="Times New Roman"/>
        </w:rPr>
      </w:pPr>
      <w:r w:rsidRPr="00184605">
        <w:rPr>
          <w:rFonts w:cs="Times New Roman"/>
        </w:rPr>
        <w:t>Rb. Amsterdam 29 januari 2013, ECLI:NL:RBAMS:2013:1296.</w:t>
      </w:r>
    </w:p>
    <w:p w14:paraId="34ABABCB" w14:textId="77777777" w:rsidR="00EB0B3C" w:rsidRPr="00184605" w:rsidRDefault="00EB0B3C" w:rsidP="00184605">
      <w:pPr>
        <w:rPr>
          <w:rFonts w:cs="Times New Roman"/>
        </w:rPr>
      </w:pPr>
      <w:r w:rsidRPr="00184605">
        <w:rPr>
          <w:rFonts w:cs="Times New Roman"/>
        </w:rPr>
        <w:t>Rb. Limburg 13 februari 2013, ECLI:NL:RBLIM:2013:BZ9552.</w:t>
      </w:r>
    </w:p>
    <w:p w14:paraId="38EA6795" w14:textId="77777777" w:rsidR="00EB0B3C" w:rsidRPr="00184605" w:rsidRDefault="00EB0B3C" w:rsidP="00184605">
      <w:pPr>
        <w:rPr>
          <w:rFonts w:cs="Times New Roman"/>
        </w:rPr>
      </w:pPr>
      <w:r w:rsidRPr="00184605">
        <w:rPr>
          <w:rFonts w:cs="Times New Roman"/>
        </w:rPr>
        <w:t>Rb. Amsterdam 8 maart 2018, ECLI:NL:RBAMS:2018:3616.</w:t>
      </w:r>
    </w:p>
    <w:p w14:paraId="13949AFE" w14:textId="77777777" w:rsidR="00EB0B3C" w:rsidRPr="00184605" w:rsidRDefault="00EB0B3C" w:rsidP="00184605">
      <w:pPr>
        <w:rPr>
          <w:rFonts w:cs="Times New Roman"/>
        </w:rPr>
      </w:pPr>
      <w:r w:rsidRPr="00184605">
        <w:rPr>
          <w:rFonts w:cs="Times New Roman"/>
        </w:rPr>
        <w:t>Rb. Amsterdam 19 april 2018, ECLI:NL:RBAMS:2018:2504.</w:t>
      </w:r>
    </w:p>
    <w:p w14:paraId="470AD046" w14:textId="449EB399" w:rsidR="00EB0B3C" w:rsidRPr="00184605" w:rsidRDefault="00240400" w:rsidP="00184605">
      <w:pPr>
        <w:rPr>
          <w:rFonts w:cs="Times New Roman"/>
        </w:rPr>
      </w:pPr>
      <w:r>
        <w:rPr>
          <w:rFonts w:cs="Times New Roman"/>
        </w:rPr>
        <w:t>Rb. Gelderland</w:t>
      </w:r>
      <w:r w:rsidR="00EB0B3C" w:rsidRPr="00184605">
        <w:rPr>
          <w:rFonts w:cs="Times New Roman"/>
        </w:rPr>
        <w:t xml:space="preserve"> 26 juni 2019, ECLI:NL:RBGEL:2019:2833.</w:t>
      </w:r>
    </w:p>
    <w:p w14:paraId="04E4EAA5" w14:textId="77777777" w:rsidR="00EB0B3C" w:rsidRPr="00184605" w:rsidRDefault="00EB0B3C" w:rsidP="00184605">
      <w:pPr>
        <w:rPr>
          <w:rFonts w:cs="Times New Roman"/>
        </w:rPr>
      </w:pPr>
      <w:r w:rsidRPr="00184605">
        <w:rPr>
          <w:rFonts w:cs="Times New Roman"/>
        </w:rPr>
        <w:t>Rb. Rotterdam 25 januari 2021, ECLI:NL:RBROT:2021:396.</w:t>
      </w:r>
    </w:p>
    <w:p w14:paraId="5D0A6DEB" w14:textId="77777777" w:rsidR="00EB0B3C" w:rsidRPr="00184605" w:rsidRDefault="00EB0B3C" w:rsidP="00184605">
      <w:pPr>
        <w:rPr>
          <w:rFonts w:cs="Times New Roman"/>
        </w:rPr>
      </w:pPr>
      <w:r w:rsidRPr="00184605">
        <w:rPr>
          <w:rFonts w:cs="Times New Roman"/>
        </w:rPr>
        <w:t>Rb. Den Haag 3 februari 2021, ECLI:NL:RBDHA:2021:7684.</w:t>
      </w:r>
    </w:p>
    <w:p w14:paraId="7427B020" w14:textId="77777777" w:rsidR="00EB0B3C" w:rsidRPr="00184605" w:rsidRDefault="00EB0B3C" w:rsidP="00184605">
      <w:pPr>
        <w:rPr>
          <w:rFonts w:cs="Times New Roman"/>
        </w:rPr>
      </w:pPr>
      <w:r w:rsidRPr="00184605">
        <w:rPr>
          <w:rFonts w:cs="Times New Roman"/>
        </w:rPr>
        <w:t>Rb. Amsterdam 21 april 2021, ECLI:NL:RBAMS:2021:1507.</w:t>
      </w:r>
    </w:p>
    <w:p w14:paraId="319CC113" w14:textId="77777777" w:rsidR="00EB0B3C" w:rsidRPr="00184605" w:rsidRDefault="00EB0B3C" w:rsidP="00184605">
      <w:pPr>
        <w:rPr>
          <w:rFonts w:cs="Times New Roman"/>
        </w:rPr>
      </w:pPr>
      <w:r w:rsidRPr="00184605">
        <w:rPr>
          <w:rFonts w:cs="Times New Roman"/>
        </w:rPr>
        <w:t>Rb. Rotterdam 21 september 2021, ECLI:NL:RBROT:2021:9085.</w:t>
      </w:r>
    </w:p>
    <w:p w14:paraId="65A7BCB5" w14:textId="77777777" w:rsidR="00EB0B3C" w:rsidRPr="00184605" w:rsidRDefault="00EB0B3C" w:rsidP="00184605">
      <w:pPr>
        <w:rPr>
          <w:rFonts w:cs="Times New Roman"/>
        </w:rPr>
      </w:pPr>
      <w:r w:rsidRPr="00184605">
        <w:rPr>
          <w:rFonts w:cs="Times New Roman"/>
        </w:rPr>
        <w:t>Rb. Oost-Brabant 7 juli 2022, ECLI:NL:RBOBR:2022:2832.</w:t>
      </w:r>
    </w:p>
    <w:p w14:paraId="6EFF5E8B" w14:textId="77777777" w:rsidR="00EB0B3C" w:rsidRPr="00184605" w:rsidRDefault="00EB0B3C" w:rsidP="00184605">
      <w:pPr>
        <w:rPr>
          <w:rFonts w:cs="Times New Roman"/>
        </w:rPr>
      </w:pPr>
      <w:r w:rsidRPr="00184605">
        <w:rPr>
          <w:rFonts w:cs="Times New Roman"/>
        </w:rPr>
        <w:t>Rb. Amsterdam 21 november 2022, ECLI:NL:RBAMS:2022:6816.</w:t>
      </w:r>
    </w:p>
    <w:p w14:paraId="55DADED3" w14:textId="77777777" w:rsidR="00EB0B3C" w:rsidRPr="00184605" w:rsidRDefault="00EB0B3C" w:rsidP="00184605">
      <w:pPr>
        <w:rPr>
          <w:rFonts w:cs="Times New Roman"/>
          <w:lang w:val="en-US"/>
        </w:rPr>
      </w:pPr>
      <w:r w:rsidRPr="00184605">
        <w:rPr>
          <w:rFonts w:cs="Times New Roman"/>
          <w:lang w:val="en-US"/>
        </w:rPr>
        <w:t>Rb. Rotterdam 27 februari 2023, ECLI:NL:RBROT:2023:2549.</w:t>
      </w:r>
    </w:p>
    <w:p w14:paraId="48A326E2" w14:textId="77777777" w:rsidR="00EB0B3C" w:rsidRPr="00184605" w:rsidRDefault="00EB0B3C" w:rsidP="00184605">
      <w:pPr>
        <w:rPr>
          <w:rFonts w:cs="Times New Roman"/>
          <w:lang w:val="en-US"/>
        </w:rPr>
      </w:pPr>
      <w:r w:rsidRPr="00184605">
        <w:rPr>
          <w:rFonts w:cs="Times New Roman"/>
          <w:lang w:val="en-US"/>
        </w:rPr>
        <w:t>Rb. Zeeland-West-Brabant 26 april 2023, ECLI:NL:RBZWB:2023:2887.</w:t>
      </w:r>
    </w:p>
    <w:p w14:paraId="36178AF6" w14:textId="77777777" w:rsidR="00EB0B3C" w:rsidRPr="00184605" w:rsidRDefault="00EB0B3C" w:rsidP="00184605">
      <w:pPr>
        <w:rPr>
          <w:rFonts w:cs="Times New Roman"/>
        </w:rPr>
      </w:pPr>
      <w:r w:rsidRPr="00184605">
        <w:rPr>
          <w:rFonts w:cs="Times New Roman"/>
        </w:rPr>
        <w:t>Rb. Rotterdam 17 mei 2023, ECLI:NL:RBROT:2023:4136.</w:t>
      </w:r>
    </w:p>
    <w:p w14:paraId="403AD78F" w14:textId="77777777" w:rsidR="00EB0B3C" w:rsidRPr="00184605" w:rsidRDefault="00EB0B3C" w:rsidP="00184605">
      <w:pPr>
        <w:rPr>
          <w:rFonts w:cs="Times New Roman"/>
        </w:rPr>
      </w:pPr>
      <w:r w:rsidRPr="00184605">
        <w:rPr>
          <w:rFonts w:cs="Times New Roman"/>
        </w:rPr>
        <w:t>Rb. Limburg 20 juni 2023, ECLI:NL:RBLIM:2023:3624.</w:t>
      </w:r>
    </w:p>
    <w:p w14:paraId="2C6C5AC6" w14:textId="77777777" w:rsidR="00EB0B3C" w:rsidRPr="00184605" w:rsidRDefault="00EB0B3C" w:rsidP="00184605">
      <w:pPr>
        <w:rPr>
          <w:rFonts w:cs="Times New Roman"/>
        </w:rPr>
      </w:pPr>
      <w:r w:rsidRPr="00184605">
        <w:rPr>
          <w:rFonts w:cs="Times New Roman"/>
        </w:rPr>
        <w:t>Rb. Rotterdam 23 augustus 2023, ECLI:NL:RBROT:2023:8364.</w:t>
      </w:r>
    </w:p>
    <w:p w14:paraId="53E31EE4" w14:textId="77777777" w:rsidR="00EB0B3C" w:rsidRPr="00184605" w:rsidRDefault="00EB0B3C" w:rsidP="00184605">
      <w:pPr>
        <w:rPr>
          <w:rFonts w:cs="Times New Roman"/>
          <w:lang w:val="en-US"/>
        </w:rPr>
      </w:pPr>
      <w:r w:rsidRPr="00184605">
        <w:rPr>
          <w:rFonts w:cs="Times New Roman"/>
          <w:lang w:val="en-US"/>
        </w:rPr>
        <w:t>Rb. Noord-Holland 9 februari 2024, ECLI:NL:RBNHO:2024:1386.</w:t>
      </w:r>
    </w:p>
    <w:p w14:paraId="4B24FD2D" w14:textId="77777777" w:rsidR="00EB0B3C" w:rsidRPr="00184605" w:rsidRDefault="00EB0B3C" w:rsidP="00184605">
      <w:pPr>
        <w:rPr>
          <w:rFonts w:cs="Times New Roman"/>
          <w:lang w:val="en-US"/>
        </w:rPr>
      </w:pPr>
      <w:r w:rsidRPr="00184605">
        <w:rPr>
          <w:rFonts w:cs="Times New Roman"/>
          <w:lang w:val="en-US"/>
        </w:rPr>
        <w:t>Rb. Amsterdam 27 februari 2024, ECLI:NL:RBAMS:2024:692.</w:t>
      </w:r>
    </w:p>
    <w:p w14:paraId="78F20CA4" w14:textId="77777777" w:rsidR="00113C76" w:rsidRPr="009946B1" w:rsidRDefault="00113C76" w:rsidP="00184605">
      <w:pPr>
        <w:rPr>
          <w:rFonts w:cs="Times New Roman"/>
        </w:rPr>
      </w:pPr>
    </w:p>
    <w:p w14:paraId="19BB5A4A" w14:textId="77777777" w:rsidR="009946B1" w:rsidRPr="009946B1" w:rsidRDefault="009946B1" w:rsidP="00184605">
      <w:pPr>
        <w:rPr>
          <w:rFonts w:cs="Times New Roman"/>
        </w:rPr>
      </w:pPr>
    </w:p>
    <w:p w14:paraId="43837816" w14:textId="77777777" w:rsidR="009946B1" w:rsidRPr="009946B1" w:rsidRDefault="009946B1" w:rsidP="00184605">
      <w:pPr>
        <w:rPr>
          <w:rFonts w:cs="Times New Roman"/>
        </w:rPr>
      </w:pPr>
    </w:p>
    <w:p w14:paraId="0DC4A1BF" w14:textId="77777777" w:rsidR="008519C1" w:rsidRPr="00184605" w:rsidRDefault="008519C1" w:rsidP="00184605">
      <w:pPr>
        <w:rPr>
          <w:rFonts w:cs="Times New Roman"/>
        </w:rPr>
      </w:pPr>
    </w:p>
    <w:p w14:paraId="64590D68" w14:textId="77777777" w:rsidR="008519C1" w:rsidRPr="00184605" w:rsidRDefault="008519C1" w:rsidP="00184605">
      <w:pPr>
        <w:rPr>
          <w:rFonts w:cs="Times New Roman"/>
        </w:rPr>
      </w:pPr>
    </w:p>
    <w:p w14:paraId="4764361B" w14:textId="77777777" w:rsidR="008519C1" w:rsidRPr="00184605" w:rsidRDefault="008519C1" w:rsidP="00184605">
      <w:pPr>
        <w:rPr>
          <w:rFonts w:cs="Times New Roman"/>
        </w:rPr>
      </w:pPr>
    </w:p>
    <w:p w14:paraId="6A7C9627" w14:textId="77777777" w:rsidR="008519C1" w:rsidRPr="00184605" w:rsidRDefault="008519C1" w:rsidP="00184605">
      <w:pPr>
        <w:rPr>
          <w:rFonts w:cs="Times New Roman"/>
        </w:rPr>
      </w:pPr>
    </w:p>
    <w:p w14:paraId="48994908" w14:textId="77777777" w:rsidR="008519C1" w:rsidRPr="00184605" w:rsidRDefault="008519C1" w:rsidP="00184605">
      <w:pPr>
        <w:rPr>
          <w:rFonts w:cs="Times New Roman"/>
        </w:rPr>
      </w:pPr>
    </w:p>
    <w:p w14:paraId="6C759985" w14:textId="77777777" w:rsidR="002F2328" w:rsidRPr="00184605" w:rsidRDefault="002F2328" w:rsidP="00184605">
      <w:pPr>
        <w:rPr>
          <w:rFonts w:cs="Times New Roman"/>
          <w:lang w:val="en-US"/>
        </w:rPr>
      </w:pPr>
    </w:p>
    <w:p w14:paraId="12BCFEB6" w14:textId="77777777" w:rsidR="002F2328" w:rsidRPr="00184605" w:rsidRDefault="002F2328" w:rsidP="00184605">
      <w:pPr>
        <w:rPr>
          <w:rFonts w:cs="Times New Roman"/>
          <w:lang w:val="en-US"/>
        </w:rPr>
      </w:pPr>
    </w:p>
    <w:sectPr w:rsidR="002F2328" w:rsidRPr="00184605" w:rsidSect="004C3EF4">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1B493" w14:textId="77777777" w:rsidR="00512640" w:rsidRDefault="00512640" w:rsidP="008519C1">
      <w:pPr>
        <w:spacing w:line="240" w:lineRule="auto"/>
      </w:pPr>
      <w:r>
        <w:separator/>
      </w:r>
    </w:p>
  </w:endnote>
  <w:endnote w:type="continuationSeparator" w:id="0">
    <w:p w14:paraId="4218B5EF" w14:textId="77777777" w:rsidR="00512640" w:rsidRDefault="00512640" w:rsidP="00851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rPr>
      <w:id w:val="-899131544"/>
      <w:docPartObj>
        <w:docPartGallery w:val="Page Numbers (Bottom of Page)"/>
        <w:docPartUnique/>
      </w:docPartObj>
    </w:sdtPr>
    <w:sdtEndPr/>
    <w:sdtContent>
      <w:p w14:paraId="71A4FE20" w14:textId="5A0E8B8B" w:rsidR="00A7450F" w:rsidRPr="004C3EF4" w:rsidRDefault="00A7450F">
        <w:pPr>
          <w:pStyle w:val="Voettekst"/>
          <w:jc w:val="right"/>
          <w:rPr>
            <w:rFonts w:cs="Times New Roman"/>
          </w:rPr>
        </w:pPr>
        <w:r w:rsidRPr="004C3EF4">
          <w:rPr>
            <w:rFonts w:cs="Times New Roman"/>
          </w:rPr>
          <w:fldChar w:fldCharType="begin"/>
        </w:r>
        <w:r w:rsidRPr="004C3EF4">
          <w:rPr>
            <w:rFonts w:cs="Times New Roman"/>
          </w:rPr>
          <w:instrText>PAGE   \* MERGEFORMAT</w:instrText>
        </w:r>
        <w:r w:rsidRPr="004C3EF4">
          <w:rPr>
            <w:rFonts w:cs="Times New Roman"/>
          </w:rPr>
          <w:fldChar w:fldCharType="separate"/>
        </w:r>
        <w:r w:rsidR="00F656CA">
          <w:rPr>
            <w:rFonts w:cs="Times New Roman"/>
            <w:noProof/>
          </w:rPr>
          <w:t>1</w:t>
        </w:r>
        <w:r w:rsidRPr="004C3EF4">
          <w:rPr>
            <w:rFonts w:cs="Times New Roman"/>
          </w:rPr>
          <w:fldChar w:fldCharType="end"/>
        </w:r>
      </w:p>
    </w:sdtContent>
  </w:sdt>
  <w:p w14:paraId="360766C7" w14:textId="77777777" w:rsidR="00A7450F" w:rsidRPr="004C3EF4" w:rsidRDefault="00A7450F">
    <w:pPr>
      <w:pStyle w:val="Voettekst"/>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rPr>
      <w:id w:val="956062479"/>
      <w:docPartObj>
        <w:docPartGallery w:val="Page Numbers (Bottom of Page)"/>
        <w:docPartUnique/>
      </w:docPartObj>
    </w:sdtPr>
    <w:sdtEndPr/>
    <w:sdtContent>
      <w:p w14:paraId="04D2C413" w14:textId="1BEBEDB0" w:rsidR="00A7450F" w:rsidRPr="00230D2A" w:rsidRDefault="00A7450F">
        <w:pPr>
          <w:pStyle w:val="Voettekst"/>
          <w:jc w:val="right"/>
          <w:rPr>
            <w:rFonts w:cs="Times New Roman"/>
          </w:rPr>
        </w:pPr>
        <w:r w:rsidRPr="00230D2A">
          <w:rPr>
            <w:rFonts w:cs="Times New Roman"/>
          </w:rPr>
          <w:fldChar w:fldCharType="begin"/>
        </w:r>
        <w:r w:rsidRPr="00230D2A">
          <w:rPr>
            <w:rFonts w:cs="Times New Roman"/>
          </w:rPr>
          <w:instrText>PAGE   \* MERGEFORMAT</w:instrText>
        </w:r>
        <w:r w:rsidRPr="00230D2A">
          <w:rPr>
            <w:rFonts w:cs="Times New Roman"/>
          </w:rPr>
          <w:fldChar w:fldCharType="separate"/>
        </w:r>
        <w:r w:rsidR="0037437B">
          <w:rPr>
            <w:rFonts w:cs="Times New Roman"/>
            <w:noProof/>
          </w:rPr>
          <w:t>4</w:t>
        </w:r>
        <w:r w:rsidRPr="00230D2A">
          <w:rPr>
            <w:rFonts w:cs="Times New Roman"/>
          </w:rPr>
          <w:fldChar w:fldCharType="end"/>
        </w:r>
      </w:p>
    </w:sdtContent>
  </w:sdt>
  <w:p w14:paraId="504F881C" w14:textId="77777777" w:rsidR="00A7450F" w:rsidRPr="00230D2A" w:rsidRDefault="00A7450F">
    <w:pPr>
      <w:pStyle w:val="Voetteks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A8843" w14:textId="77777777" w:rsidR="00512640" w:rsidRDefault="00512640" w:rsidP="008519C1">
      <w:pPr>
        <w:spacing w:line="240" w:lineRule="auto"/>
      </w:pPr>
      <w:r>
        <w:separator/>
      </w:r>
    </w:p>
  </w:footnote>
  <w:footnote w:type="continuationSeparator" w:id="0">
    <w:p w14:paraId="3D265DB5" w14:textId="77777777" w:rsidR="00512640" w:rsidRDefault="00512640" w:rsidP="008519C1">
      <w:pPr>
        <w:spacing w:line="240" w:lineRule="auto"/>
      </w:pPr>
      <w:r>
        <w:continuationSeparator/>
      </w:r>
    </w:p>
  </w:footnote>
  <w:footnote w:id="1">
    <w:p w14:paraId="3B93A334" w14:textId="77777777" w:rsidR="00A7450F" w:rsidRPr="0006050A" w:rsidRDefault="00A7450F" w:rsidP="008519C1">
      <w:pPr>
        <w:pStyle w:val="Voetnoottekst"/>
      </w:pPr>
      <w:r w:rsidRPr="0006050A">
        <w:rPr>
          <w:rStyle w:val="Voetnootmarkering"/>
        </w:rPr>
        <w:footnoteRef/>
      </w:r>
      <w:r w:rsidRPr="0006050A">
        <w:t xml:space="preserve"> Bertrand 1973, p. 256; Winterbotham 1974, p. 154 &amp; 191.</w:t>
      </w:r>
    </w:p>
  </w:footnote>
  <w:footnote w:id="2">
    <w:p w14:paraId="29E8DFED" w14:textId="77777777" w:rsidR="00A7450F" w:rsidRPr="0006050A" w:rsidRDefault="00A7450F" w:rsidP="008519C1">
      <w:pPr>
        <w:pStyle w:val="Voetnoottekst"/>
      </w:pPr>
      <w:r w:rsidRPr="0006050A">
        <w:rPr>
          <w:rStyle w:val="Voetnootmarkering"/>
        </w:rPr>
        <w:footnoteRef/>
      </w:r>
      <w:r w:rsidRPr="0006050A">
        <w:t xml:space="preserve"> ‘De laatste strohalm van de onderwereld knakt: gehackte pgp-berichten zijn rechtmatig bewijs’, </w:t>
      </w:r>
      <w:r w:rsidRPr="0006050A">
        <w:rPr>
          <w:i/>
          <w:iCs/>
        </w:rPr>
        <w:t>Het Parool</w:t>
      </w:r>
      <w:r w:rsidRPr="0006050A">
        <w:t xml:space="preserve"> 7 januari 2023.</w:t>
      </w:r>
    </w:p>
  </w:footnote>
  <w:footnote w:id="3">
    <w:p w14:paraId="65E35F5C" w14:textId="1431AD1E" w:rsidR="00A7450F" w:rsidRPr="0006050A" w:rsidRDefault="00A7450F" w:rsidP="008519C1">
      <w:pPr>
        <w:pStyle w:val="Voetnoottekst"/>
      </w:pPr>
      <w:r>
        <w:t xml:space="preserve"> </w:t>
      </w:r>
      <w:r w:rsidRPr="0006050A">
        <w:rPr>
          <w:rStyle w:val="Voetnootmarkering"/>
        </w:rPr>
        <w:footnoteRef/>
      </w:r>
      <w:r w:rsidRPr="0006050A">
        <w:t xml:space="preserve"> De operatie van SkyECC alleen heeft geleid tot de onderschepping van ruim een miljard berichten. Zie bijv. ‘Berichtendienst Sky was voor de politie de kraak van de eeuw, maar de methoden blijken schimmig’, </w:t>
      </w:r>
      <w:r w:rsidRPr="0006050A">
        <w:rPr>
          <w:i/>
          <w:iCs/>
        </w:rPr>
        <w:t>De Volkskrant</w:t>
      </w:r>
      <w:r w:rsidRPr="0006050A">
        <w:t xml:space="preserve"> 13 oktober 2023.</w:t>
      </w:r>
    </w:p>
  </w:footnote>
  <w:footnote w:id="4">
    <w:p w14:paraId="5ECE4B93" w14:textId="45C366DB" w:rsidR="00A7450F" w:rsidRPr="0006050A" w:rsidRDefault="00A7450F" w:rsidP="008519C1">
      <w:pPr>
        <w:pStyle w:val="Voetnoottekst"/>
      </w:pPr>
      <w:r w:rsidRPr="0006050A">
        <w:rPr>
          <w:rStyle w:val="Voetnootmarkering"/>
        </w:rPr>
        <w:footnoteRef/>
      </w:r>
      <w:r w:rsidRPr="0006050A">
        <w:t xml:space="preserve"> ‘OM spreek</w:t>
      </w:r>
      <w:r>
        <w:t xml:space="preserve">t </w:t>
      </w:r>
      <w:r w:rsidRPr="0006050A">
        <w:t xml:space="preserve">‘systematisch liegen’ over actieve rol bij hack van Sky ECC tegen’, </w:t>
      </w:r>
      <w:r w:rsidRPr="0006050A">
        <w:rPr>
          <w:i/>
          <w:iCs/>
        </w:rPr>
        <w:t>Nu.nl</w:t>
      </w:r>
      <w:r w:rsidRPr="0006050A">
        <w:t xml:space="preserve"> 4 mei 2022.</w:t>
      </w:r>
    </w:p>
  </w:footnote>
  <w:footnote w:id="5">
    <w:p w14:paraId="2B36299C" w14:textId="77777777" w:rsidR="00A7450F" w:rsidRPr="0006050A" w:rsidRDefault="00A7450F" w:rsidP="008519C1">
      <w:pPr>
        <w:pStyle w:val="Voetnoottekst"/>
        <w:rPr>
          <w:lang w:val="en-US"/>
        </w:rPr>
      </w:pPr>
      <w:r w:rsidRPr="0006050A">
        <w:rPr>
          <w:rStyle w:val="Voetnootmarkering"/>
        </w:rPr>
        <w:footnoteRef/>
      </w:r>
      <w:r w:rsidRPr="0006050A">
        <w:rPr>
          <w:lang w:val="en-US"/>
        </w:rPr>
        <w:t xml:space="preserve"> ‘Encrypted phone service 'Encrochat' shutdown leads to 6,500 arrests, Europol says’, </w:t>
      </w:r>
      <w:r w:rsidRPr="0006050A">
        <w:rPr>
          <w:i/>
          <w:iCs/>
          <w:lang w:val="en-US"/>
        </w:rPr>
        <w:t>Reuters</w:t>
      </w:r>
      <w:r w:rsidRPr="0006050A">
        <w:rPr>
          <w:lang w:val="en-US"/>
        </w:rPr>
        <w:t xml:space="preserve"> 27 juni 2023.</w:t>
      </w:r>
    </w:p>
  </w:footnote>
  <w:footnote w:id="6">
    <w:p w14:paraId="57E70C07" w14:textId="77777777" w:rsidR="00A7450F" w:rsidRPr="0006050A" w:rsidRDefault="00A7450F" w:rsidP="008519C1">
      <w:pPr>
        <w:pStyle w:val="Voetnoottekst"/>
      </w:pPr>
      <w:r w:rsidRPr="0006050A">
        <w:rPr>
          <w:rStyle w:val="Voetnootmarkering"/>
        </w:rPr>
        <w:footnoteRef/>
      </w:r>
      <w:r w:rsidRPr="0006050A">
        <w:t xml:space="preserve"> Zie o.a. Rb. Den Haag 3 februari 2021, ECLI:NL:RBDHA:2021:7684; Rb. Limburg 20 juni 2023, ECLI:NL:RBLIM:2023:3624; Rb. Zeeland-West-Brabant 26 april 2023, ECLI:NL:RBZWB:2023:2887.</w:t>
      </w:r>
    </w:p>
  </w:footnote>
  <w:footnote w:id="7">
    <w:p w14:paraId="55C557E3" w14:textId="77777777" w:rsidR="00A7450F" w:rsidRPr="0006050A" w:rsidRDefault="00A7450F" w:rsidP="008519C1">
      <w:pPr>
        <w:pStyle w:val="Voetnoottekst"/>
      </w:pPr>
      <w:r w:rsidRPr="0006050A">
        <w:rPr>
          <w:rStyle w:val="Voetnootmarkering"/>
        </w:rPr>
        <w:footnoteRef/>
      </w:r>
      <w:r w:rsidRPr="0006050A">
        <w:t xml:space="preserve"> Oerlemans &amp; Schermer 2023, p. 2617.</w:t>
      </w:r>
    </w:p>
  </w:footnote>
  <w:footnote w:id="8">
    <w:p w14:paraId="0EC97629" w14:textId="77777777" w:rsidR="00A7450F" w:rsidRPr="0006050A" w:rsidRDefault="00A7450F" w:rsidP="008519C1">
      <w:pPr>
        <w:pStyle w:val="Voetnoottekst"/>
      </w:pPr>
      <w:r w:rsidRPr="0006050A">
        <w:rPr>
          <w:rStyle w:val="Voetnootmarkering"/>
        </w:rPr>
        <w:footnoteRef/>
      </w:r>
      <w:r w:rsidRPr="0006050A">
        <w:t xml:space="preserve"> ‘Politie leest vijf maanden mee met versleutelde berichten, 42 arrestaties’, </w:t>
      </w:r>
      <w:r w:rsidRPr="0006050A">
        <w:rPr>
          <w:i/>
          <w:iCs/>
        </w:rPr>
        <w:t>NOS Nieuws</w:t>
      </w:r>
      <w:r w:rsidRPr="0006050A">
        <w:t xml:space="preserve"> 3 februari 2023.</w:t>
      </w:r>
    </w:p>
  </w:footnote>
  <w:footnote w:id="9">
    <w:p w14:paraId="61C6BC70" w14:textId="77777777" w:rsidR="00A7450F" w:rsidRPr="0006050A" w:rsidRDefault="00A7450F" w:rsidP="008519C1">
      <w:pPr>
        <w:pStyle w:val="Voetnoottekst"/>
      </w:pPr>
      <w:r w:rsidRPr="0006050A">
        <w:rPr>
          <w:rStyle w:val="Voetnootmarkering"/>
        </w:rPr>
        <w:footnoteRef/>
      </w:r>
      <w:r w:rsidRPr="0006050A">
        <w:t xml:space="preserve"> Oerlemans &amp; Schermer 2023, p. 2617.</w:t>
      </w:r>
    </w:p>
  </w:footnote>
  <w:footnote w:id="10">
    <w:p w14:paraId="203801B6" w14:textId="77777777" w:rsidR="00A7450F" w:rsidRPr="00D95948" w:rsidRDefault="00A7450F" w:rsidP="008519C1">
      <w:pPr>
        <w:pStyle w:val="Voetnoottekst"/>
      </w:pPr>
      <w:r>
        <w:rPr>
          <w:rStyle w:val="Voetnootmarkering"/>
        </w:rPr>
        <w:footnoteRef/>
      </w:r>
      <w:r>
        <w:t xml:space="preserve"> Voor deze scriptie wordt in overeenstemming met de rechtswetenschap gebruik gemaakt van de term ‘dataset’, hetgeen een grote hoeveelheid (digitale) data inhoudt. </w:t>
      </w:r>
      <w:r w:rsidRPr="00D95948">
        <w:t>Zie o.m. Galič 2021; Egberts 2021; De Jonge &amp; Janssen 2021; Van d</w:t>
      </w:r>
      <w:r>
        <w:t>er Pijll 2022; Schermer &amp; Oerlemans 2020.</w:t>
      </w:r>
    </w:p>
  </w:footnote>
  <w:footnote w:id="11">
    <w:p w14:paraId="1FA6619C" w14:textId="77777777" w:rsidR="00A7450F" w:rsidRPr="00D95948" w:rsidRDefault="00A7450F" w:rsidP="008519C1">
      <w:pPr>
        <w:pStyle w:val="Voetnoottekst"/>
      </w:pPr>
      <w:r w:rsidRPr="0006050A">
        <w:rPr>
          <w:rStyle w:val="Voetnootmarkering"/>
        </w:rPr>
        <w:footnoteRef/>
      </w:r>
      <w:r w:rsidRPr="00D95948">
        <w:t xml:space="preserve"> Galič 2021, p. 42; Adams 2021, p. 964.</w:t>
      </w:r>
    </w:p>
  </w:footnote>
  <w:footnote w:id="12">
    <w:p w14:paraId="4CFB63E1" w14:textId="77777777" w:rsidR="00A7450F" w:rsidRDefault="00A7450F" w:rsidP="008519C1">
      <w:pPr>
        <w:pStyle w:val="Voetnoottekst"/>
      </w:pPr>
      <w:r>
        <w:rPr>
          <w:rStyle w:val="Voetnootmarkering"/>
        </w:rPr>
        <w:footnoteRef/>
      </w:r>
      <w:r>
        <w:t xml:space="preserve"> Zie bijv. </w:t>
      </w:r>
      <w:r w:rsidRPr="00BF4BDF">
        <w:t>Rb. Amsterdam 21 april 2021, ECLI:NL:RBAMS:2021:1507, r.o. 6</w:t>
      </w:r>
      <w:r>
        <w:t>4; De Jonge &amp; Janssen 2021.</w:t>
      </w:r>
    </w:p>
  </w:footnote>
  <w:footnote w:id="13">
    <w:p w14:paraId="63339025" w14:textId="77777777" w:rsidR="00A7450F" w:rsidRPr="004E60F3" w:rsidRDefault="00A7450F" w:rsidP="008519C1">
      <w:pPr>
        <w:pStyle w:val="Voetnoottekst"/>
      </w:pPr>
      <w:r>
        <w:rPr>
          <w:rStyle w:val="Voetnootmarkering"/>
        </w:rPr>
        <w:footnoteRef/>
      </w:r>
      <w:r w:rsidRPr="004E60F3">
        <w:t xml:space="preserve"> Zie</w:t>
      </w:r>
      <w:r>
        <w:t xml:space="preserve"> bijv. Rb. Rotterdam 17 mei 2023, </w:t>
      </w:r>
      <w:r w:rsidRPr="0095493E">
        <w:t>ECLI:NL:RBROT:2023:4136</w:t>
      </w:r>
      <w:r>
        <w:t>, r.o. 2.</w:t>
      </w:r>
    </w:p>
  </w:footnote>
  <w:footnote w:id="14">
    <w:p w14:paraId="4C2DBA60" w14:textId="77777777" w:rsidR="00A7450F" w:rsidRPr="004E60F3" w:rsidRDefault="00A7450F" w:rsidP="008519C1">
      <w:pPr>
        <w:pStyle w:val="Voetnoottekst"/>
      </w:pPr>
      <w:r>
        <w:rPr>
          <w:rStyle w:val="Voetnootmarkering"/>
        </w:rPr>
        <w:footnoteRef/>
      </w:r>
      <w:r w:rsidRPr="004E60F3">
        <w:t xml:space="preserve"> Galič 2021, p. 45; Egberts 2022, p. 124-125.</w:t>
      </w:r>
    </w:p>
  </w:footnote>
  <w:footnote w:id="15">
    <w:p w14:paraId="7CB463A0" w14:textId="77777777" w:rsidR="001432B4" w:rsidRPr="00690B9D" w:rsidRDefault="001432B4" w:rsidP="001432B4">
      <w:pPr>
        <w:pStyle w:val="Voetnoottekst"/>
      </w:pPr>
      <w:r w:rsidRPr="0006050A">
        <w:rPr>
          <w:rStyle w:val="Voetnootmarkering"/>
        </w:rPr>
        <w:footnoteRef/>
      </w:r>
      <w:r w:rsidRPr="00690B9D">
        <w:t xml:space="preserve"> Lochs &amp; Iqbal 2023, p. 96; De Hert &amp; Decaigny 2013, p. 66</w:t>
      </w:r>
      <w:r>
        <w:t xml:space="preserve">; in de rechtswetenschap wordt naast ‘adversair’ ook wel de term ‘accusatoir’ gebruikt. Deze scriptie sluit aan bij de benaming ‘adversair’. Zie </w:t>
      </w:r>
      <w:r w:rsidRPr="00681BBB">
        <w:t xml:space="preserve">daarover </w:t>
      </w:r>
      <w:r>
        <w:t xml:space="preserve">o.m. </w:t>
      </w:r>
      <w:r w:rsidRPr="00681BBB">
        <w:t>Brants 2008, p. 220-221.</w:t>
      </w:r>
    </w:p>
  </w:footnote>
  <w:footnote w:id="16">
    <w:p w14:paraId="2F5EEEA2" w14:textId="77777777" w:rsidR="001432B4" w:rsidRPr="00690B9D" w:rsidRDefault="001432B4" w:rsidP="001432B4">
      <w:pPr>
        <w:pStyle w:val="Voetnoottekst"/>
      </w:pPr>
      <w:r w:rsidRPr="0006050A">
        <w:rPr>
          <w:rStyle w:val="Voetnootmarkering"/>
        </w:rPr>
        <w:footnoteRef/>
      </w:r>
      <w:r w:rsidRPr="00690B9D">
        <w:t xml:space="preserve"> Lochs &amp; Iqbal 2023, p. 96.</w:t>
      </w:r>
    </w:p>
  </w:footnote>
  <w:footnote w:id="17">
    <w:p w14:paraId="67F579EA" w14:textId="77777777" w:rsidR="001432B4" w:rsidRPr="0006050A" w:rsidRDefault="001432B4" w:rsidP="001432B4">
      <w:pPr>
        <w:pStyle w:val="Voetnoottekst"/>
      </w:pPr>
      <w:r w:rsidRPr="0006050A">
        <w:rPr>
          <w:rStyle w:val="Voetnootmarkering"/>
        </w:rPr>
        <w:footnoteRef/>
      </w:r>
      <w:r w:rsidRPr="0006050A">
        <w:t xml:space="preserve"> Van Kampen e.a. 2018, p. 269-270; Franken 2022, p. 125-126; Ten Voorde 2012, p. 445-447.</w:t>
      </w:r>
    </w:p>
  </w:footnote>
  <w:footnote w:id="18">
    <w:p w14:paraId="4F5307A2" w14:textId="77777777" w:rsidR="001432B4" w:rsidRDefault="001432B4" w:rsidP="001432B4">
      <w:pPr>
        <w:pStyle w:val="Voetnoottekst"/>
      </w:pPr>
      <w:r>
        <w:rPr>
          <w:rStyle w:val="Voetnootmarkering"/>
        </w:rPr>
        <w:footnoteRef/>
      </w:r>
      <w:r>
        <w:t xml:space="preserve"> Memorie van toelichting nieuwe Wetboek van Strafvordering (ambtelijke versie 2020), p. 26-27.</w:t>
      </w:r>
    </w:p>
  </w:footnote>
  <w:footnote w:id="19">
    <w:p w14:paraId="3F58B4D5" w14:textId="0A8A42DE" w:rsidR="001432B4" w:rsidRDefault="001432B4" w:rsidP="001432B4">
      <w:pPr>
        <w:pStyle w:val="Voetnoottekst"/>
      </w:pPr>
      <w:r>
        <w:rPr>
          <w:rStyle w:val="Voetnootmarkering"/>
        </w:rPr>
        <w:footnoteRef/>
      </w:r>
      <w:r>
        <w:t xml:space="preserve"> </w:t>
      </w:r>
      <w:r w:rsidR="00916790">
        <w:t>Van Kampen e.a. 2018, p. 15</w:t>
      </w:r>
      <w:r w:rsidR="00594D2A">
        <w:t xml:space="preserve">; </w:t>
      </w:r>
      <w:r w:rsidR="00594D2A" w:rsidRPr="00594D2A">
        <w:rPr>
          <w:i/>
          <w:iCs/>
        </w:rPr>
        <w:t xml:space="preserve">Kamerstukken II </w:t>
      </w:r>
      <w:r w:rsidR="00594D2A" w:rsidRPr="00594D2A">
        <w:t xml:space="preserve">2015/16, 29279, 278, p. </w:t>
      </w:r>
      <w:r w:rsidR="008B747D">
        <w:t>6</w:t>
      </w:r>
      <w:r w:rsidR="00E0150A">
        <w:t xml:space="preserve">, </w:t>
      </w:r>
      <w:r w:rsidR="00594D2A" w:rsidRPr="00594D2A">
        <w:t>9-10</w:t>
      </w:r>
      <w:r w:rsidR="00E0150A">
        <w:t>.</w:t>
      </w:r>
    </w:p>
  </w:footnote>
  <w:footnote w:id="20">
    <w:p w14:paraId="491E2732" w14:textId="77777777" w:rsidR="001432B4" w:rsidRPr="0006050A" w:rsidRDefault="001432B4" w:rsidP="001432B4">
      <w:pPr>
        <w:pStyle w:val="Voetnoottekst"/>
      </w:pPr>
      <w:r w:rsidRPr="0006050A">
        <w:rPr>
          <w:rStyle w:val="Voetnootmarkering"/>
        </w:rPr>
        <w:footnoteRef/>
      </w:r>
      <w:r w:rsidRPr="0006050A">
        <w:t xml:space="preserve"> Van Kampen 2017, p. 320-321; Lochs 2021, p. 547-549.</w:t>
      </w:r>
    </w:p>
  </w:footnote>
  <w:footnote w:id="21">
    <w:p w14:paraId="24D27E82" w14:textId="77777777" w:rsidR="001432B4" w:rsidRPr="0037437B" w:rsidRDefault="001432B4" w:rsidP="001432B4">
      <w:pPr>
        <w:pStyle w:val="Voetnoottekst"/>
        <w:rPr>
          <w:lang w:val="en-US"/>
        </w:rPr>
      </w:pPr>
      <w:r>
        <w:rPr>
          <w:rStyle w:val="Voetnootmarkering"/>
        </w:rPr>
        <w:footnoteRef/>
      </w:r>
      <w:r w:rsidRPr="0037437B">
        <w:rPr>
          <w:lang w:val="en-US"/>
        </w:rPr>
        <w:t xml:space="preserve"> Lochs &amp; Iqbal 2023, p. 104.</w:t>
      </w:r>
    </w:p>
  </w:footnote>
  <w:footnote w:id="22">
    <w:p w14:paraId="3A4C16CC" w14:textId="77777777" w:rsidR="001432B4" w:rsidRPr="0037437B" w:rsidRDefault="001432B4" w:rsidP="001432B4">
      <w:pPr>
        <w:pStyle w:val="Voetnoottekst"/>
        <w:rPr>
          <w:lang w:val="en-US"/>
        </w:rPr>
      </w:pPr>
      <w:r w:rsidRPr="0006050A">
        <w:rPr>
          <w:rStyle w:val="Voetnootmarkering"/>
        </w:rPr>
        <w:footnoteRef/>
      </w:r>
      <w:r w:rsidRPr="0037437B">
        <w:rPr>
          <w:lang w:val="en-US"/>
        </w:rPr>
        <w:t xml:space="preserve"> Lochs &amp; Iqbal 2023, p. 104.</w:t>
      </w:r>
    </w:p>
  </w:footnote>
  <w:footnote w:id="23">
    <w:p w14:paraId="14135439" w14:textId="77777777" w:rsidR="001432B4" w:rsidRDefault="001432B4" w:rsidP="001432B4">
      <w:pPr>
        <w:pStyle w:val="Voetnoottekst"/>
      </w:pPr>
      <w:r>
        <w:rPr>
          <w:rStyle w:val="Voetnootmarkering"/>
        </w:rPr>
        <w:footnoteRef/>
      </w:r>
      <w:r>
        <w:t xml:space="preserve"> </w:t>
      </w:r>
      <w:r w:rsidRPr="00695885">
        <w:rPr>
          <w:i/>
          <w:iCs/>
        </w:rPr>
        <w:t xml:space="preserve">Kamerstukken II </w:t>
      </w:r>
      <w:r w:rsidRPr="00695885">
        <w:t xml:space="preserve">2015/16, 29279, 278, p. 10.  </w:t>
      </w:r>
    </w:p>
  </w:footnote>
  <w:footnote w:id="24">
    <w:p w14:paraId="4492C674" w14:textId="77777777" w:rsidR="001432B4" w:rsidRDefault="001432B4" w:rsidP="001432B4">
      <w:pPr>
        <w:pStyle w:val="Voetnoottekst"/>
      </w:pPr>
      <w:r w:rsidRPr="00893AF3">
        <w:rPr>
          <w:rStyle w:val="Voetnootmarkering"/>
        </w:rPr>
        <w:footnoteRef/>
      </w:r>
      <w:r w:rsidRPr="00893AF3">
        <w:t xml:space="preserve"> Scheele 2022, p. 235-242.</w:t>
      </w:r>
    </w:p>
  </w:footnote>
  <w:footnote w:id="25">
    <w:p w14:paraId="4DD42F60" w14:textId="77777777" w:rsidR="001432B4" w:rsidRPr="00893AF3" w:rsidRDefault="001432B4" w:rsidP="001432B4">
      <w:pPr>
        <w:pStyle w:val="Voetnoottekst"/>
      </w:pPr>
      <w:r>
        <w:rPr>
          <w:rStyle w:val="Voetnootmarkering"/>
        </w:rPr>
        <w:footnoteRef/>
      </w:r>
      <w:r>
        <w:t xml:space="preserve"> </w:t>
      </w:r>
      <w:r w:rsidRPr="00893AF3">
        <w:t>Van Kampen e.a. 2018, p. 205-206.</w:t>
      </w:r>
    </w:p>
  </w:footnote>
  <w:footnote w:id="26">
    <w:p w14:paraId="602A4A8B" w14:textId="77777777" w:rsidR="001432B4" w:rsidRPr="00893AF3" w:rsidRDefault="001432B4" w:rsidP="001432B4">
      <w:pPr>
        <w:pStyle w:val="Voetnoottekst"/>
      </w:pPr>
      <w:r w:rsidRPr="00893AF3">
        <w:rPr>
          <w:rStyle w:val="Voetnootmarkering"/>
        </w:rPr>
        <w:footnoteRef/>
      </w:r>
      <w:r w:rsidRPr="00893AF3">
        <w:t xml:space="preserve"> Lochs 2024, p. 1-11.</w:t>
      </w:r>
    </w:p>
  </w:footnote>
  <w:footnote w:id="27">
    <w:p w14:paraId="517A9A13" w14:textId="77777777" w:rsidR="001432B4" w:rsidRDefault="001432B4" w:rsidP="001432B4">
      <w:pPr>
        <w:pStyle w:val="Voetnoottekst"/>
      </w:pPr>
      <w:r w:rsidRPr="00893AF3">
        <w:rPr>
          <w:rStyle w:val="Voetnootmarkering"/>
        </w:rPr>
        <w:footnoteRef/>
      </w:r>
      <w:r w:rsidRPr="00893AF3">
        <w:t xml:space="preserve"> Van der Meij 2024, p. 34.</w:t>
      </w:r>
    </w:p>
  </w:footnote>
  <w:footnote w:id="28">
    <w:p w14:paraId="32EFF0E6" w14:textId="224D3810" w:rsidR="00A7450F" w:rsidRDefault="00A7450F">
      <w:pPr>
        <w:pStyle w:val="Voetnoottekst"/>
      </w:pPr>
      <w:r>
        <w:rPr>
          <w:rStyle w:val="Voetnootmarkering"/>
        </w:rPr>
        <w:footnoteRef/>
      </w:r>
      <w:r>
        <w:t xml:space="preserve"> </w:t>
      </w:r>
      <w:r w:rsidR="00046188">
        <w:t>Brants 2008, p. 221.</w:t>
      </w:r>
    </w:p>
  </w:footnote>
  <w:footnote w:id="29">
    <w:p w14:paraId="6F10D02B" w14:textId="68B7BC82" w:rsidR="00A7450F" w:rsidRDefault="00A7450F" w:rsidP="004C21E3">
      <w:pPr>
        <w:pStyle w:val="Voetnoottekst"/>
      </w:pPr>
      <w:r>
        <w:rPr>
          <w:rStyle w:val="Voetnootmarkering"/>
        </w:rPr>
        <w:footnoteRef/>
      </w:r>
      <w:r>
        <w:t xml:space="preserve"> </w:t>
      </w:r>
      <w:r w:rsidRPr="00210711">
        <w:t xml:space="preserve">Engeland </w:t>
      </w:r>
      <w:r>
        <w:t>&amp;</w:t>
      </w:r>
      <w:r w:rsidRPr="00210711">
        <w:t xml:space="preserve"> Wales kennen hetzelfde rechtsstelsel en worden daarom samengevoegd bij rechtsvergelijkend onderzoek.</w:t>
      </w:r>
      <w:r>
        <w:t xml:space="preserve"> Zie Lochs 2019, p. 153.</w:t>
      </w:r>
    </w:p>
  </w:footnote>
  <w:footnote w:id="30">
    <w:p w14:paraId="22E8D7CB" w14:textId="41FE8EAE" w:rsidR="00A7450F" w:rsidRDefault="00A7450F" w:rsidP="00A5168B">
      <w:pPr>
        <w:pStyle w:val="Voetnoottekst"/>
      </w:pPr>
      <w:r w:rsidRPr="009A57AC">
        <w:rPr>
          <w:rStyle w:val="Voetnootmarkering"/>
        </w:rPr>
        <w:footnoteRef/>
      </w:r>
      <w:r w:rsidRPr="009A57AC">
        <w:t xml:space="preserve"> Gorlé e.a. 1991, p. 30.</w:t>
      </w:r>
    </w:p>
  </w:footnote>
  <w:footnote w:id="31">
    <w:p w14:paraId="59AB3D25" w14:textId="77777777" w:rsidR="00A7450F" w:rsidRDefault="00A7450F" w:rsidP="00A5168B">
      <w:pPr>
        <w:pStyle w:val="Voetnoottekst"/>
      </w:pPr>
      <w:r>
        <w:rPr>
          <w:rStyle w:val="Voetnootmarkering"/>
        </w:rPr>
        <w:footnoteRef/>
      </w:r>
      <w:r>
        <w:t xml:space="preserve"> Uit onderzoek is geen specifieke verklaring hiervoor naar voren gekomen. Uit een zoektocht op de meest gebruikte databases voor rechtspraak van Engeland &amp; Wales (Westlaw UK &amp; BAILII) blijkt echter dat er geen rechtspraak in eerste aanleg wordt gepubliceerd. Dit is eveneens bevestigd in dialoog met mr. dr. Marianne Lochs (Universiteit Leiden) en prof. Paul Roberts (University of Nottingham).</w:t>
      </w:r>
    </w:p>
  </w:footnote>
  <w:footnote w:id="32">
    <w:p w14:paraId="1E7390F6" w14:textId="5C9F3B92" w:rsidR="00A7450F" w:rsidRPr="00BF4BDF" w:rsidRDefault="00A7450F" w:rsidP="008519C1">
      <w:pPr>
        <w:pStyle w:val="Voetnoottekst"/>
      </w:pPr>
      <w:r w:rsidRPr="00BF4BDF">
        <w:rPr>
          <w:rStyle w:val="Voetnootmarkering"/>
        </w:rPr>
        <w:footnoteRef/>
      </w:r>
      <w:r w:rsidRPr="00BF4BDF">
        <w:t xml:space="preserve"> Corstens 2008, p. 41</w:t>
      </w:r>
      <w:r>
        <w:t>. Er is opzettelijk gekozen voor deze verouderde uitgave, nu in latere uitgaven de relevante informatie ontbreekt.</w:t>
      </w:r>
    </w:p>
  </w:footnote>
  <w:footnote w:id="33">
    <w:p w14:paraId="528CE929" w14:textId="6713D2B4" w:rsidR="00A7450F" w:rsidRPr="00BF4BDF" w:rsidRDefault="00A7450F" w:rsidP="008519C1">
      <w:pPr>
        <w:pStyle w:val="Voetnoottekst"/>
      </w:pPr>
      <w:r w:rsidRPr="00BF4BDF">
        <w:rPr>
          <w:rStyle w:val="Voetnootmarkering"/>
        </w:rPr>
        <w:footnoteRef/>
      </w:r>
      <w:r w:rsidRPr="00BF4BDF">
        <w:t xml:space="preserve"> Drenth 193</w:t>
      </w:r>
      <w:r>
        <w:t>9</w:t>
      </w:r>
      <w:r w:rsidRPr="00BF4BDF">
        <w:t>, p. 215.</w:t>
      </w:r>
    </w:p>
  </w:footnote>
  <w:footnote w:id="34">
    <w:p w14:paraId="02D9A1CA" w14:textId="77777777" w:rsidR="00A7450F" w:rsidRPr="00BF4BDF" w:rsidRDefault="00A7450F" w:rsidP="008519C1">
      <w:pPr>
        <w:pStyle w:val="Voetnoottekst"/>
      </w:pPr>
      <w:r w:rsidRPr="00BF4BDF">
        <w:rPr>
          <w:rStyle w:val="Voetnootmarkering"/>
        </w:rPr>
        <w:footnoteRef/>
      </w:r>
      <w:r w:rsidRPr="00BF4BDF">
        <w:t xml:space="preserve"> Zie </w:t>
      </w:r>
      <w:r w:rsidRPr="00BF4BDF">
        <w:rPr>
          <w:i/>
          <w:iCs/>
        </w:rPr>
        <w:t>Kamerstukken II</w:t>
      </w:r>
      <w:r w:rsidRPr="00BF4BDF">
        <w:t xml:space="preserve"> 1913/14, 286, nr. 3, p. 51.</w:t>
      </w:r>
    </w:p>
  </w:footnote>
  <w:footnote w:id="35">
    <w:p w14:paraId="72207854" w14:textId="77777777" w:rsidR="00A7450F" w:rsidRPr="00BF4BDF" w:rsidRDefault="00A7450F" w:rsidP="008519C1">
      <w:pPr>
        <w:pStyle w:val="Voetnoottekst"/>
      </w:pPr>
      <w:r w:rsidRPr="00BF4BDF">
        <w:rPr>
          <w:rStyle w:val="Voetnootmarkering"/>
        </w:rPr>
        <w:footnoteRef/>
      </w:r>
      <w:r w:rsidRPr="00BF4BDF">
        <w:t xml:space="preserve"> Van der Meij 2010, p. 33; </w:t>
      </w:r>
      <w:r w:rsidRPr="00BF4BDF">
        <w:rPr>
          <w:i/>
          <w:iCs/>
        </w:rPr>
        <w:t>Kamerstukken II</w:t>
      </w:r>
      <w:r w:rsidRPr="00BF4BDF">
        <w:t xml:space="preserve"> 1913/14, 286, nr. 3, p. 51.</w:t>
      </w:r>
    </w:p>
  </w:footnote>
  <w:footnote w:id="36">
    <w:p w14:paraId="62B52654" w14:textId="77777777" w:rsidR="00A7450F" w:rsidRPr="00BF4BDF" w:rsidRDefault="00A7450F" w:rsidP="008519C1">
      <w:pPr>
        <w:pStyle w:val="Voetnoottekst"/>
      </w:pPr>
      <w:r w:rsidRPr="00BF4BDF">
        <w:rPr>
          <w:rStyle w:val="Voetnootmarkering"/>
        </w:rPr>
        <w:footnoteRef/>
      </w:r>
      <w:r w:rsidRPr="00BF4BDF">
        <w:t xml:space="preserve"> Corstens 2008, p. 42.</w:t>
      </w:r>
    </w:p>
  </w:footnote>
  <w:footnote w:id="37">
    <w:p w14:paraId="5A8C4000" w14:textId="77777777" w:rsidR="00A7450F" w:rsidRPr="00BF4BDF" w:rsidRDefault="00A7450F" w:rsidP="008519C1">
      <w:pPr>
        <w:pStyle w:val="Voetnoottekst"/>
      </w:pPr>
      <w:r w:rsidRPr="00BF4BDF">
        <w:rPr>
          <w:rStyle w:val="Voetnootmarkering"/>
        </w:rPr>
        <w:footnoteRef/>
      </w:r>
      <w:r w:rsidRPr="00BF4BDF">
        <w:t xml:space="preserve"> Corstens 2008, p. 42-43.</w:t>
      </w:r>
    </w:p>
  </w:footnote>
  <w:footnote w:id="38">
    <w:p w14:paraId="518037E2" w14:textId="77777777" w:rsidR="00A7450F" w:rsidRPr="00BF4BDF" w:rsidRDefault="00A7450F" w:rsidP="008519C1">
      <w:pPr>
        <w:pStyle w:val="Voetnoottekst"/>
      </w:pPr>
      <w:r w:rsidRPr="00BF4BDF">
        <w:rPr>
          <w:rStyle w:val="Voetnootmarkering"/>
        </w:rPr>
        <w:footnoteRef/>
      </w:r>
      <w:r w:rsidRPr="00BF4BDF">
        <w:t xml:space="preserve"> Van der Meij 2012, p. 55.</w:t>
      </w:r>
    </w:p>
  </w:footnote>
  <w:footnote w:id="39">
    <w:p w14:paraId="3EECCAEB" w14:textId="77777777" w:rsidR="00A7450F" w:rsidRPr="00BF4BDF" w:rsidRDefault="00A7450F" w:rsidP="008519C1">
      <w:pPr>
        <w:pStyle w:val="Voetnoottekst"/>
      </w:pPr>
      <w:r w:rsidRPr="00BF4BDF">
        <w:rPr>
          <w:rStyle w:val="Voetnootmarkering"/>
        </w:rPr>
        <w:footnoteRef/>
      </w:r>
      <w:r w:rsidRPr="00BF4BDF">
        <w:t xml:space="preserve"> De Hert &amp; Decaigny 2013, p. 66.</w:t>
      </w:r>
    </w:p>
  </w:footnote>
  <w:footnote w:id="40">
    <w:p w14:paraId="1D316FD7" w14:textId="77777777" w:rsidR="00A7450F" w:rsidRPr="00BF4BDF" w:rsidRDefault="00A7450F" w:rsidP="008519C1">
      <w:pPr>
        <w:pStyle w:val="Voetnoottekst"/>
      </w:pPr>
      <w:r w:rsidRPr="00BF4BDF">
        <w:rPr>
          <w:rStyle w:val="Voetnootmarkering"/>
        </w:rPr>
        <w:footnoteRef/>
      </w:r>
      <w:r w:rsidRPr="00BF4BDF">
        <w:t xml:space="preserve"> Van Kampen e.a. 2018, p. 250-253.</w:t>
      </w:r>
    </w:p>
  </w:footnote>
  <w:footnote w:id="41">
    <w:p w14:paraId="6FA35E9F" w14:textId="77777777" w:rsidR="00A7450F" w:rsidRPr="00046845" w:rsidRDefault="00A7450F" w:rsidP="00CE6441">
      <w:pPr>
        <w:pStyle w:val="Voetnoottekst"/>
        <w:rPr>
          <w:lang w:val="en-US"/>
        </w:rPr>
      </w:pPr>
      <w:r>
        <w:rPr>
          <w:rStyle w:val="Voetnootmarkering"/>
        </w:rPr>
        <w:footnoteRef/>
      </w:r>
      <w:r w:rsidRPr="00046845">
        <w:rPr>
          <w:lang w:val="en-US"/>
        </w:rPr>
        <w:t xml:space="preserve"> Drenth 1939, p. 10.</w:t>
      </w:r>
    </w:p>
  </w:footnote>
  <w:footnote w:id="42">
    <w:p w14:paraId="6971DF4A" w14:textId="77777777" w:rsidR="00A7450F" w:rsidRPr="00046845" w:rsidRDefault="00A7450F" w:rsidP="00CE6441">
      <w:pPr>
        <w:pStyle w:val="Voetnoottekst"/>
        <w:rPr>
          <w:lang w:val="en-US"/>
        </w:rPr>
      </w:pPr>
      <w:r>
        <w:rPr>
          <w:rStyle w:val="Voetnootmarkering"/>
        </w:rPr>
        <w:footnoteRef/>
      </w:r>
      <w:r w:rsidRPr="00046845">
        <w:rPr>
          <w:lang w:val="en-US"/>
        </w:rPr>
        <w:t xml:space="preserve"> Jörg, Field &amp; Brants 1995, p. 43.</w:t>
      </w:r>
    </w:p>
  </w:footnote>
  <w:footnote w:id="43">
    <w:p w14:paraId="1C4212B6" w14:textId="35FE9B2E" w:rsidR="000A5A03" w:rsidRDefault="000A5A03">
      <w:pPr>
        <w:pStyle w:val="Voetnoottekst"/>
      </w:pPr>
      <w:r>
        <w:rPr>
          <w:rStyle w:val="Voetnootmarkering"/>
        </w:rPr>
        <w:footnoteRef/>
      </w:r>
      <w:r>
        <w:t xml:space="preserve"> Hirsch Ballin</w:t>
      </w:r>
      <w:r w:rsidR="002B295C">
        <w:t xml:space="preserve"> 2021, p. 323-327.</w:t>
      </w:r>
    </w:p>
  </w:footnote>
  <w:footnote w:id="44">
    <w:p w14:paraId="508FF884" w14:textId="529D91D3" w:rsidR="00A7450F" w:rsidRDefault="00A7450F" w:rsidP="00CE6441">
      <w:pPr>
        <w:pStyle w:val="Voetnoottekst"/>
      </w:pPr>
      <w:r>
        <w:rPr>
          <w:rStyle w:val="Voetnootmarkering"/>
        </w:rPr>
        <w:footnoteRef/>
      </w:r>
      <w:r>
        <w:t xml:space="preserve"> </w:t>
      </w:r>
      <w:r w:rsidRPr="0055782C">
        <w:rPr>
          <w:i/>
          <w:iCs/>
        </w:rPr>
        <w:t xml:space="preserve">Kamerstukken II </w:t>
      </w:r>
      <w:r w:rsidRPr="0055782C">
        <w:t>2022/23, 36 327, nr. 3, p. 13: ‘Het</w:t>
      </w:r>
      <w:r w:rsidR="00833A77">
        <w:t xml:space="preserve"> </w:t>
      </w:r>
      <w:r w:rsidRPr="0055782C">
        <w:t>treedt niet enkel op als</w:t>
      </w:r>
      <w:r>
        <w:t xml:space="preserve"> </w:t>
      </w:r>
      <w:r w:rsidRPr="0055782C">
        <w:t>de tegenpartij van de verdachte,</w:t>
      </w:r>
      <w:r>
        <w:t xml:space="preserve"> </w:t>
      </w:r>
      <w:r w:rsidRPr="0055782C">
        <w:t>maar draagt verantwoordelijkheid voor</w:t>
      </w:r>
      <w:r>
        <w:t xml:space="preserve"> </w:t>
      </w:r>
      <w:r w:rsidRPr="0055782C">
        <w:t>een integere rechtshandhaving.’</w:t>
      </w:r>
    </w:p>
  </w:footnote>
  <w:footnote w:id="45">
    <w:p w14:paraId="0C9C561D" w14:textId="77777777" w:rsidR="00A7450F" w:rsidRPr="00BF4BDF" w:rsidRDefault="00A7450F" w:rsidP="008519C1">
      <w:pPr>
        <w:pStyle w:val="Voetnoottekst"/>
      </w:pPr>
      <w:r w:rsidRPr="00BF4BDF">
        <w:rPr>
          <w:rStyle w:val="Voetnootmarkering"/>
        </w:rPr>
        <w:footnoteRef/>
      </w:r>
      <w:r w:rsidRPr="00BF4BDF">
        <w:t xml:space="preserve"> Zie bijv. </w:t>
      </w:r>
      <w:bookmarkStart w:id="3" w:name="_Hlk162383215"/>
      <w:r w:rsidRPr="00BF4BDF">
        <w:t>EHRM 16 februari 2000, ECLI:CE:ECHR:2000:0216JUD002890195 (</w:t>
      </w:r>
      <w:r w:rsidRPr="00BF4BDF">
        <w:rPr>
          <w:i/>
          <w:iCs/>
        </w:rPr>
        <w:t>Rowe en Davis/Verenigd Koninkrijk</w:t>
      </w:r>
      <w:r w:rsidRPr="00BF4BDF">
        <w:t>)</w:t>
      </w:r>
      <w:bookmarkEnd w:id="3"/>
      <w:r w:rsidRPr="00BF4BDF">
        <w:t>, par. 60.</w:t>
      </w:r>
    </w:p>
  </w:footnote>
  <w:footnote w:id="46">
    <w:p w14:paraId="64A04331" w14:textId="77777777" w:rsidR="00A7450F" w:rsidRPr="00BF4BDF" w:rsidRDefault="00A7450F" w:rsidP="008519C1">
      <w:pPr>
        <w:pStyle w:val="Voetnoottekst"/>
      </w:pPr>
      <w:r w:rsidRPr="00BF4BDF">
        <w:rPr>
          <w:rStyle w:val="Voetnootmarkering"/>
        </w:rPr>
        <w:footnoteRef/>
      </w:r>
      <w:r w:rsidRPr="00BF4BDF">
        <w:t xml:space="preserve"> HR 7 mei 1996, </w:t>
      </w:r>
      <w:r w:rsidRPr="00BF4BDF">
        <w:rPr>
          <w:i/>
          <w:iCs/>
        </w:rPr>
        <w:t>NJ</w:t>
      </w:r>
      <w:r w:rsidRPr="00BF4BDF">
        <w:t xml:space="preserve"> 1996/687 (</w:t>
      </w:r>
      <w:r w:rsidRPr="00BF4BDF">
        <w:rPr>
          <w:i/>
          <w:iCs/>
        </w:rPr>
        <w:t>Dev Sol</w:t>
      </w:r>
      <w:r w:rsidRPr="00BF4BDF">
        <w:t>).</w:t>
      </w:r>
    </w:p>
  </w:footnote>
  <w:footnote w:id="47">
    <w:p w14:paraId="733E9287" w14:textId="55BE5DDF" w:rsidR="00A7450F" w:rsidRPr="00BF4BDF" w:rsidRDefault="00A7450F" w:rsidP="008519C1">
      <w:pPr>
        <w:pStyle w:val="Voetnoottekst"/>
      </w:pPr>
      <w:r w:rsidRPr="00BF4BDF">
        <w:rPr>
          <w:rStyle w:val="Voetnootmarkering"/>
        </w:rPr>
        <w:footnoteRef/>
      </w:r>
      <w:r w:rsidRPr="00BF4BDF">
        <w:t xml:space="preserve"> HR 7 mei 1996, </w:t>
      </w:r>
      <w:r w:rsidRPr="00BF4BDF">
        <w:rPr>
          <w:i/>
          <w:iCs/>
        </w:rPr>
        <w:t>NJ</w:t>
      </w:r>
      <w:r w:rsidRPr="00BF4BDF">
        <w:t xml:space="preserve"> 1996/687, r.o. 5.9 (</w:t>
      </w:r>
      <w:r w:rsidRPr="00BF4BDF">
        <w:rPr>
          <w:i/>
          <w:iCs/>
        </w:rPr>
        <w:t>Dev Sol</w:t>
      </w:r>
      <w:r w:rsidRPr="00BF4BDF">
        <w:t>)</w:t>
      </w:r>
      <w:r w:rsidR="00AA0A0C">
        <w:t>; onderstreping door auteur.</w:t>
      </w:r>
    </w:p>
  </w:footnote>
  <w:footnote w:id="48">
    <w:p w14:paraId="42883C2E" w14:textId="6132306F" w:rsidR="00A7450F" w:rsidRPr="00BF4BDF" w:rsidRDefault="00A7450F" w:rsidP="008519C1">
      <w:pPr>
        <w:pStyle w:val="Voetnoottekst"/>
      </w:pPr>
      <w:r w:rsidRPr="00BF4BDF">
        <w:rPr>
          <w:rStyle w:val="Voetnootmarkering"/>
        </w:rPr>
        <w:footnoteRef/>
      </w:r>
      <w:r>
        <w:t xml:space="preserve"> </w:t>
      </w:r>
      <w:r w:rsidRPr="00BF4BDF">
        <w:rPr>
          <w:i/>
          <w:iCs/>
        </w:rPr>
        <w:t>Stb</w:t>
      </w:r>
      <w:r>
        <w:t>. 2011, 601.</w:t>
      </w:r>
    </w:p>
  </w:footnote>
  <w:footnote w:id="49">
    <w:p w14:paraId="7F79835A" w14:textId="19C7F6F5" w:rsidR="00A7450F" w:rsidRPr="00D14896" w:rsidRDefault="00A7450F" w:rsidP="008519C1">
      <w:pPr>
        <w:pStyle w:val="Voetnoottekst"/>
      </w:pPr>
      <w:r>
        <w:rPr>
          <w:rStyle w:val="Voetnootmarkering"/>
        </w:rPr>
        <w:footnoteRef/>
      </w:r>
      <w:r>
        <w:t xml:space="preserve"> </w:t>
      </w:r>
      <w:r w:rsidRPr="00BF4BDF">
        <w:rPr>
          <w:i/>
          <w:iCs/>
        </w:rPr>
        <w:t>Kamerstukken II</w:t>
      </w:r>
      <w:r w:rsidRPr="00BF4BDF">
        <w:t xml:space="preserve"> 2009/10, 32</w:t>
      </w:r>
      <w:r w:rsidR="007A29B7">
        <w:t xml:space="preserve"> </w:t>
      </w:r>
      <w:r w:rsidRPr="00BF4BDF">
        <w:t xml:space="preserve">468, nr. 3, p. </w:t>
      </w:r>
      <w:r>
        <w:t xml:space="preserve">28; </w:t>
      </w:r>
      <w:r>
        <w:rPr>
          <w:i/>
          <w:iCs/>
        </w:rPr>
        <w:t>Kamerstukken II</w:t>
      </w:r>
      <w:r>
        <w:t xml:space="preserve"> 2010/11, 32 468, nr. 6, p. 22.</w:t>
      </w:r>
    </w:p>
  </w:footnote>
  <w:footnote w:id="50">
    <w:p w14:paraId="73B1214F" w14:textId="77777777" w:rsidR="00A7450F" w:rsidRPr="00BF4BDF" w:rsidRDefault="00A7450F" w:rsidP="008519C1">
      <w:pPr>
        <w:pStyle w:val="Voetnoottekst"/>
      </w:pPr>
      <w:r w:rsidRPr="00BF4BDF">
        <w:rPr>
          <w:rStyle w:val="Voetnootmarkering"/>
        </w:rPr>
        <w:footnoteRef/>
      </w:r>
      <w:r w:rsidRPr="00BF4BDF">
        <w:t xml:space="preserve"> Rb. Amsterdam 29 januari 2013, ECLI:NL:RBAMS:2013:1296; Hof Amsterdam 31 januari 2013, ECLI:NL:GHAMS:2013:BZ0228, r.o. 1.1; Rb. Limburg 13 februari 2013, ECLI:NL:RBLIM:2013:BZ9552, r.o. 3.2.3.</w:t>
      </w:r>
    </w:p>
  </w:footnote>
  <w:footnote w:id="51">
    <w:p w14:paraId="6D57B93A" w14:textId="53D2614C" w:rsidR="00A7450F" w:rsidRPr="00BF4BDF" w:rsidRDefault="00A7450F" w:rsidP="008519C1">
      <w:pPr>
        <w:pStyle w:val="Voetnoottekst"/>
      </w:pPr>
      <w:r w:rsidRPr="00BF4BDF">
        <w:rPr>
          <w:rStyle w:val="Voetnootmarkering"/>
        </w:rPr>
        <w:footnoteRef/>
      </w:r>
      <w:r w:rsidRPr="00BF4BDF">
        <w:t xml:space="preserve"> </w:t>
      </w:r>
      <w:r w:rsidRPr="00BF4BDF">
        <w:rPr>
          <w:i/>
          <w:iCs/>
        </w:rPr>
        <w:t>Kamerstukken II</w:t>
      </w:r>
      <w:r w:rsidRPr="00BF4BDF">
        <w:t xml:space="preserve"> 2009/10, 32</w:t>
      </w:r>
      <w:r w:rsidR="001D0BA6">
        <w:t xml:space="preserve"> </w:t>
      </w:r>
      <w:r w:rsidRPr="00BF4BDF">
        <w:t xml:space="preserve">468, nr. 3, p. 19; </w:t>
      </w:r>
      <w:r w:rsidRPr="00BF4BDF">
        <w:rPr>
          <w:i/>
          <w:iCs/>
        </w:rPr>
        <w:t>Kamerstukken I</w:t>
      </w:r>
      <w:r w:rsidRPr="00BF4BDF">
        <w:t xml:space="preserve"> 2011/12, 32</w:t>
      </w:r>
      <w:r w:rsidR="001D0BA6">
        <w:t xml:space="preserve"> </w:t>
      </w:r>
      <w:r w:rsidRPr="00BF4BDF">
        <w:t>468, nr. C, p. 4.</w:t>
      </w:r>
    </w:p>
  </w:footnote>
  <w:footnote w:id="52">
    <w:p w14:paraId="5969C4B4" w14:textId="77777777" w:rsidR="00A7450F" w:rsidRPr="00BF4BDF" w:rsidRDefault="00A7450F" w:rsidP="008519C1">
      <w:pPr>
        <w:pStyle w:val="Voetnoottekst"/>
      </w:pPr>
      <w:r w:rsidRPr="00BF4BDF">
        <w:rPr>
          <w:rStyle w:val="Voetnootmarkering"/>
        </w:rPr>
        <w:footnoteRef/>
      </w:r>
      <w:r w:rsidRPr="00BF4BDF">
        <w:t xml:space="preserve"> HR 16 februari 2021, ECLI:NL:HR:2021:218. Zie ook HR 24 september 2019, ECLI:NL:HR:2019:1414, </w:t>
      </w:r>
      <w:r w:rsidRPr="00BF4BDF">
        <w:rPr>
          <w:i/>
          <w:iCs/>
        </w:rPr>
        <w:t xml:space="preserve">NJ </w:t>
      </w:r>
      <w:r w:rsidRPr="00BF4BDF">
        <w:t>2019/465, m.nt. Reijntjes.</w:t>
      </w:r>
    </w:p>
  </w:footnote>
  <w:footnote w:id="53">
    <w:p w14:paraId="49AC171D" w14:textId="77777777" w:rsidR="00A7450F" w:rsidRPr="00BF4BDF" w:rsidRDefault="00A7450F" w:rsidP="008519C1">
      <w:pPr>
        <w:pStyle w:val="Voetnoottekst"/>
      </w:pPr>
      <w:r w:rsidRPr="00BF4BDF">
        <w:rPr>
          <w:rStyle w:val="Voetnootmarkering"/>
        </w:rPr>
        <w:footnoteRef/>
      </w:r>
      <w:r w:rsidRPr="00BF4BDF">
        <w:t xml:space="preserve"> </w:t>
      </w:r>
      <w:r w:rsidRPr="00BF4BDF">
        <w:rPr>
          <w:i/>
          <w:iCs/>
        </w:rPr>
        <w:t>Kamerstukken II</w:t>
      </w:r>
      <w:r w:rsidRPr="00BF4BDF">
        <w:t xml:space="preserve"> 2009/10, 32 468, nr. 3, p. 20.</w:t>
      </w:r>
    </w:p>
  </w:footnote>
  <w:footnote w:id="54">
    <w:p w14:paraId="69FF98B0" w14:textId="77777777" w:rsidR="00A7450F" w:rsidRPr="00BF4BDF" w:rsidRDefault="00A7450F" w:rsidP="008519C1">
      <w:pPr>
        <w:pStyle w:val="Voetnoottekst"/>
      </w:pPr>
      <w:r w:rsidRPr="00BF4BDF">
        <w:rPr>
          <w:rStyle w:val="Voetnootmarkering"/>
        </w:rPr>
        <w:footnoteRef/>
      </w:r>
      <w:r w:rsidRPr="00BF4BDF">
        <w:t xml:space="preserve"> Van Hoorn, in: </w:t>
      </w:r>
      <w:r w:rsidRPr="00BF4BDF">
        <w:rPr>
          <w:i/>
          <w:iCs/>
        </w:rPr>
        <w:t xml:space="preserve">T&amp;C Strafvordering </w:t>
      </w:r>
      <w:r w:rsidRPr="00BF4BDF">
        <w:t>2023, art. 149b Sv, aant. 4 (online, bijgewerkt 1 januari 2024).</w:t>
      </w:r>
    </w:p>
  </w:footnote>
  <w:footnote w:id="55">
    <w:p w14:paraId="0D917A06" w14:textId="77777777" w:rsidR="00A7450F" w:rsidRPr="00BF4BDF" w:rsidRDefault="00A7450F" w:rsidP="008519C1">
      <w:pPr>
        <w:pStyle w:val="Voetnoottekst"/>
      </w:pPr>
      <w:r w:rsidRPr="00BF4BDF">
        <w:rPr>
          <w:rStyle w:val="Voetnootmarkering"/>
        </w:rPr>
        <w:footnoteRef/>
      </w:r>
      <w:r w:rsidRPr="00BF4BDF">
        <w:t xml:space="preserve"> Boksem, in: </w:t>
      </w:r>
      <w:r w:rsidRPr="00BF4BDF">
        <w:rPr>
          <w:i/>
          <w:iCs/>
        </w:rPr>
        <w:t>T&amp;C Strafvordering</w:t>
      </w:r>
      <w:r w:rsidRPr="00BF4BDF">
        <w:t xml:space="preserve"> 2023, art. 34 Sv, aant. 2a (online, bijgewerkt 1 januari 2024).</w:t>
      </w:r>
    </w:p>
  </w:footnote>
  <w:footnote w:id="56">
    <w:p w14:paraId="2102E2BE" w14:textId="77777777" w:rsidR="00A7450F" w:rsidRPr="00BF4BDF" w:rsidRDefault="00A7450F" w:rsidP="008519C1">
      <w:pPr>
        <w:pStyle w:val="Voetnoottekst"/>
      </w:pPr>
      <w:r w:rsidRPr="00BF4BDF">
        <w:rPr>
          <w:rStyle w:val="Voetnootmarkering"/>
        </w:rPr>
        <w:footnoteRef/>
      </w:r>
      <w:r w:rsidRPr="00BF4BDF">
        <w:t xml:space="preserve"> HR 16 februari 2021, ECLI:NL:HR:2021:218; HR 28 juni 2022, ECLI:NL:HR:2022:900, </w:t>
      </w:r>
      <w:r w:rsidRPr="00BF4BDF">
        <w:rPr>
          <w:i/>
          <w:iCs/>
        </w:rPr>
        <w:t>NJ</w:t>
      </w:r>
      <w:r w:rsidRPr="00BF4BDF">
        <w:t xml:space="preserve"> 2022/295.</w:t>
      </w:r>
    </w:p>
  </w:footnote>
  <w:footnote w:id="57">
    <w:p w14:paraId="06C14D19" w14:textId="77777777" w:rsidR="00A7450F" w:rsidRPr="00BF4BDF" w:rsidRDefault="00A7450F" w:rsidP="008519C1">
      <w:pPr>
        <w:pStyle w:val="Voetnoottekst"/>
      </w:pPr>
      <w:r w:rsidRPr="00BF4BDF">
        <w:rPr>
          <w:rStyle w:val="Voetnootmarkering"/>
        </w:rPr>
        <w:footnoteRef/>
      </w:r>
      <w:r w:rsidRPr="00BF4BDF">
        <w:t xml:space="preserve"> HR 5 januari 2016, ECLI:NL:HR:2016:2, r.o. 2.3; HR 10 oktober 2017, ECLI:NL:HR:2017:2571.</w:t>
      </w:r>
    </w:p>
  </w:footnote>
  <w:footnote w:id="58">
    <w:p w14:paraId="40B762CB" w14:textId="77777777" w:rsidR="00A7450F" w:rsidRPr="00BF4BDF" w:rsidRDefault="00A7450F" w:rsidP="008519C1">
      <w:pPr>
        <w:pStyle w:val="Voetnoottekst"/>
      </w:pPr>
      <w:r w:rsidRPr="00BF4BDF">
        <w:rPr>
          <w:rStyle w:val="Voetnootmarkering"/>
        </w:rPr>
        <w:footnoteRef/>
      </w:r>
      <w:r w:rsidRPr="00BF4BDF">
        <w:t xml:space="preserve"> HR 16 februari 2021, ECLI:NL:HR:2021:218.</w:t>
      </w:r>
    </w:p>
  </w:footnote>
  <w:footnote w:id="59">
    <w:p w14:paraId="5655CDC0" w14:textId="77777777" w:rsidR="00A7450F" w:rsidRPr="00BF4BDF" w:rsidRDefault="00A7450F" w:rsidP="008519C1">
      <w:pPr>
        <w:pStyle w:val="Voetnoottekst"/>
      </w:pPr>
      <w:r w:rsidRPr="00BF4BDF">
        <w:rPr>
          <w:rStyle w:val="Voetnootmarkering"/>
        </w:rPr>
        <w:footnoteRef/>
      </w:r>
      <w:r w:rsidRPr="00BF4BDF">
        <w:t xml:space="preserve"> EHRM 28 augustus 1991, ECLI:CE:ECHR:1991:0828JUD001117084 (</w:t>
      </w:r>
      <w:r w:rsidRPr="00BF4BDF">
        <w:rPr>
          <w:i/>
          <w:iCs/>
        </w:rPr>
        <w:t>Brandstetter/Oostenrijk</w:t>
      </w:r>
      <w:r w:rsidRPr="00BF4BDF">
        <w:t>), par. 67.</w:t>
      </w:r>
    </w:p>
  </w:footnote>
  <w:footnote w:id="60">
    <w:p w14:paraId="34C32DF2" w14:textId="289032F5" w:rsidR="00A7450F" w:rsidRPr="00BF4BDF" w:rsidRDefault="00A7450F" w:rsidP="008519C1">
      <w:pPr>
        <w:pStyle w:val="Voetnoottekst"/>
      </w:pPr>
      <w:r w:rsidRPr="00BF4BDF">
        <w:rPr>
          <w:rStyle w:val="Voetnootmarkering"/>
        </w:rPr>
        <w:footnoteRef/>
      </w:r>
      <w:r w:rsidRPr="00BF4BDF">
        <w:t xml:space="preserve"> EHRM 27 oktober 2004, ECLI:CE:ECHR:2004:1027JUD003964798 (</w:t>
      </w:r>
      <w:r w:rsidRPr="00BF4BDF">
        <w:rPr>
          <w:i/>
          <w:iCs/>
        </w:rPr>
        <w:t>Edwards en Lewis/Verenigd Koninkrijk</w:t>
      </w:r>
      <w:r w:rsidRPr="00BF4BDF">
        <w:t xml:space="preserve">), </w:t>
      </w:r>
      <w:r w:rsidR="007F0F05">
        <w:t>par</w:t>
      </w:r>
      <w:r w:rsidRPr="00BF4BDF">
        <w:t>. 46.</w:t>
      </w:r>
    </w:p>
  </w:footnote>
  <w:footnote w:id="61">
    <w:p w14:paraId="3EC665AB" w14:textId="77777777" w:rsidR="00A7450F" w:rsidRPr="00BF4BDF" w:rsidRDefault="00A7450F" w:rsidP="008519C1">
      <w:pPr>
        <w:pStyle w:val="Voetnoottekst"/>
      </w:pPr>
      <w:r w:rsidRPr="00BF4BDF">
        <w:rPr>
          <w:rStyle w:val="Voetnootmarkering"/>
        </w:rPr>
        <w:footnoteRef/>
      </w:r>
      <w:r w:rsidRPr="00BF4BDF">
        <w:t xml:space="preserve"> EHRM 31 maart 2009, ECLI:CE:ECHR:2009:0331JUD002102204 (</w:t>
      </w:r>
      <w:r w:rsidRPr="00BF4BDF">
        <w:rPr>
          <w:i/>
          <w:iCs/>
        </w:rPr>
        <w:t>Natunen/Finland</w:t>
      </w:r>
      <w:r w:rsidRPr="00BF4BDF">
        <w:t>), par. 42-43.</w:t>
      </w:r>
    </w:p>
  </w:footnote>
  <w:footnote w:id="62">
    <w:p w14:paraId="5C373945" w14:textId="77777777" w:rsidR="00A7450F" w:rsidRPr="00BF4BDF" w:rsidRDefault="00A7450F" w:rsidP="008519C1">
      <w:pPr>
        <w:pStyle w:val="Voetnoottekst"/>
      </w:pPr>
      <w:r w:rsidRPr="00BF4BDF">
        <w:rPr>
          <w:rStyle w:val="Voetnootmarkering"/>
        </w:rPr>
        <w:footnoteRef/>
      </w:r>
      <w:r w:rsidRPr="00BF4BDF">
        <w:t xml:space="preserve"> EHRM 16 februari 2000, ECLI:CE:ECHR:2000:0216JUD002890195 (</w:t>
      </w:r>
      <w:r w:rsidRPr="00BF4BDF">
        <w:rPr>
          <w:i/>
          <w:iCs/>
        </w:rPr>
        <w:t>Rowe en Davis/Verenigd Koninkrijk</w:t>
      </w:r>
      <w:r w:rsidRPr="00BF4BDF">
        <w:t>), par. 61-62.</w:t>
      </w:r>
    </w:p>
  </w:footnote>
  <w:footnote w:id="63">
    <w:p w14:paraId="4D9CF856" w14:textId="77777777" w:rsidR="00A7450F" w:rsidRPr="00BF4BDF" w:rsidRDefault="00A7450F" w:rsidP="008519C1">
      <w:pPr>
        <w:pStyle w:val="Voetnoottekst"/>
      </w:pPr>
      <w:r w:rsidRPr="00BF4BDF">
        <w:rPr>
          <w:rStyle w:val="Voetnootmarkering"/>
        </w:rPr>
        <w:footnoteRef/>
      </w:r>
      <w:r w:rsidRPr="00BF4BDF">
        <w:t xml:space="preserve"> </w:t>
      </w:r>
      <w:bookmarkStart w:id="6" w:name="_Hlk157717832"/>
      <w:r w:rsidRPr="00BF4BDF">
        <w:t>EHRM 4 juni 2019, ECLI:CE:ECHR:2019:0604JUD003975715 (</w:t>
      </w:r>
      <w:r w:rsidRPr="00BF4BDF">
        <w:rPr>
          <w:i/>
          <w:iCs/>
        </w:rPr>
        <w:t>Sigurður Einarsson/IJsland</w:t>
      </w:r>
      <w:r w:rsidRPr="00BF4BDF">
        <w:t xml:space="preserve">), </w:t>
      </w:r>
      <w:bookmarkEnd w:id="6"/>
      <w:r w:rsidRPr="00BF4BDF">
        <w:t>par. 90.</w:t>
      </w:r>
    </w:p>
  </w:footnote>
  <w:footnote w:id="64">
    <w:p w14:paraId="19EFE724" w14:textId="77777777" w:rsidR="00A7450F" w:rsidRPr="00BF4BDF" w:rsidRDefault="00A7450F" w:rsidP="008519C1">
      <w:pPr>
        <w:pStyle w:val="Voetnoottekst"/>
      </w:pPr>
      <w:r w:rsidRPr="00BF4BDF">
        <w:rPr>
          <w:rStyle w:val="Voetnootmarkering"/>
        </w:rPr>
        <w:footnoteRef/>
      </w:r>
      <w:r w:rsidRPr="00BF4BDF">
        <w:t xml:space="preserve"> Galič 2021, p. 44.  </w:t>
      </w:r>
    </w:p>
  </w:footnote>
  <w:footnote w:id="65">
    <w:p w14:paraId="23831923" w14:textId="77777777" w:rsidR="00A7450F" w:rsidRPr="00BF4BDF" w:rsidRDefault="00A7450F" w:rsidP="008519C1">
      <w:pPr>
        <w:pStyle w:val="Voetnoottekst"/>
        <w:rPr>
          <w:i/>
          <w:iCs/>
        </w:rPr>
      </w:pPr>
      <w:r w:rsidRPr="00BF4BDF">
        <w:rPr>
          <w:rStyle w:val="Voetnootmarkering"/>
        </w:rPr>
        <w:footnoteRef/>
      </w:r>
      <w:r w:rsidRPr="00BF4BDF">
        <w:t xml:space="preserve"> EHRM 25 juli 2019, ECLI:CE:ECHR:2019:0725JUD000158615 (</w:t>
      </w:r>
      <w:r w:rsidRPr="00BF4BDF">
        <w:rPr>
          <w:i/>
          <w:iCs/>
        </w:rPr>
        <w:t>Rook/Duitsland</w:t>
      </w:r>
      <w:r w:rsidRPr="00BF4BDF">
        <w:t>), par. 58.</w:t>
      </w:r>
    </w:p>
  </w:footnote>
  <w:footnote w:id="66">
    <w:p w14:paraId="77680B02" w14:textId="77777777" w:rsidR="00A7450F" w:rsidRPr="00BF4BDF" w:rsidRDefault="00A7450F" w:rsidP="008519C1">
      <w:pPr>
        <w:pStyle w:val="Voetnoottekst"/>
      </w:pPr>
      <w:r w:rsidRPr="00BF4BDF">
        <w:rPr>
          <w:rStyle w:val="Voetnootmarkering"/>
        </w:rPr>
        <w:footnoteRef/>
      </w:r>
      <w:r w:rsidRPr="00BF4BDF">
        <w:t xml:space="preserve"> EHRM 25 juli 2019, ECLI:CE:ECHR:2019:0725JUD000158615 (</w:t>
      </w:r>
      <w:r w:rsidRPr="00BF4BDF">
        <w:rPr>
          <w:i/>
          <w:iCs/>
        </w:rPr>
        <w:t>Rook/Duitsland</w:t>
      </w:r>
      <w:r w:rsidRPr="00BF4BDF">
        <w:t>), par. 58.</w:t>
      </w:r>
    </w:p>
  </w:footnote>
  <w:footnote w:id="67">
    <w:p w14:paraId="6D7B4DE0" w14:textId="77777777" w:rsidR="00A7450F" w:rsidRPr="00BF4BDF" w:rsidRDefault="00A7450F" w:rsidP="008519C1">
      <w:pPr>
        <w:pStyle w:val="Voetnoottekst"/>
      </w:pPr>
      <w:r w:rsidRPr="00BF4BDF">
        <w:rPr>
          <w:rStyle w:val="Voetnootmarkering"/>
        </w:rPr>
        <w:footnoteRef/>
      </w:r>
      <w:r w:rsidRPr="00BF4BDF">
        <w:t xml:space="preserve"> EHRM 4 juni 2019, ECLI:CE:ECHR:2019:0604JUD003975715 (</w:t>
      </w:r>
      <w:r w:rsidRPr="00BF4BDF">
        <w:rPr>
          <w:i/>
          <w:iCs/>
        </w:rPr>
        <w:t>Sigurður Einarsson/IJsland</w:t>
      </w:r>
      <w:r w:rsidRPr="00BF4BDF">
        <w:t xml:space="preserve">), par. 90; </w:t>
      </w:r>
      <w:bookmarkStart w:id="7" w:name="_Hlk157717844"/>
      <w:r w:rsidRPr="00BF4BDF">
        <w:t>EHRM 25 juli 2019, ECLI:CE:ECHR:2019:0725JUD000158615 (</w:t>
      </w:r>
      <w:r w:rsidRPr="00BF4BDF">
        <w:rPr>
          <w:i/>
          <w:iCs/>
        </w:rPr>
        <w:t>Rook/Duitsland</w:t>
      </w:r>
      <w:r w:rsidRPr="00BF4BDF">
        <w:t xml:space="preserve">), </w:t>
      </w:r>
      <w:bookmarkEnd w:id="7"/>
      <w:r w:rsidRPr="00BF4BDF">
        <w:t>par. 59.</w:t>
      </w:r>
    </w:p>
  </w:footnote>
  <w:footnote w:id="68">
    <w:p w14:paraId="2E6777D9" w14:textId="77777777" w:rsidR="00A7450F" w:rsidRPr="00BF4BDF" w:rsidRDefault="00A7450F" w:rsidP="008519C1">
      <w:pPr>
        <w:pStyle w:val="Voetnoottekst"/>
      </w:pPr>
      <w:r w:rsidRPr="00BF4BDF">
        <w:rPr>
          <w:rStyle w:val="Voetnootmarkering"/>
        </w:rPr>
        <w:footnoteRef/>
      </w:r>
      <w:r w:rsidRPr="00BF4BDF">
        <w:t xml:space="preserve"> Richtlijn 2012/13/EU betreffende het recht op informatie in strafprocedures, considerans pt. 5-8.</w:t>
      </w:r>
    </w:p>
  </w:footnote>
  <w:footnote w:id="69">
    <w:p w14:paraId="526D81D8" w14:textId="77777777" w:rsidR="00A7450F" w:rsidRPr="005A5FCC" w:rsidRDefault="00A7450F" w:rsidP="008519C1">
      <w:pPr>
        <w:pStyle w:val="Voetnoottekst"/>
      </w:pPr>
      <w:r>
        <w:rPr>
          <w:rStyle w:val="Voetnootmarkering"/>
        </w:rPr>
        <w:footnoteRef/>
      </w:r>
      <w:r>
        <w:t xml:space="preserve"> </w:t>
      </w:r>
      <w:r>
        <w:rPr>
          <w:i/>
          <w:iCs/>
        </w:rPr>
        <w:t>Kamerstukken II</w:t>
      </w:r>
      <w:r>
        <w:t xml:space="preserve"> 2013/14, 33 871, nr. 3, p. 9.</w:t>
      </w:r>
    </w:p>
  </w:footnote>
  <w:footnote w:id="70">
    <w:p w14:paraId="4E1B1648" w14:textId="77777777" w:rsidR="00A7450F" w:rsidRPr="00BF4BDF" w:rsidRDefault="00A7450F" w:rsidP="008519C1">
      <w:pPr>
        <w:pStyle w:val="Voetnoottekst"/>
      </w:pPr>
      <w:r w:rsidRPr="00BF4BDF">
        <w:rPr>
          <w:rStyle w:val="Voetnootmarkering"/>
        </w:rPr>
        <w:footnoteRef/>
      </w:r>
      <w:r w:rsidRPr="00BF4BDF">
        <w:t xml:space="preserve"> Rb. Amsterdam 19 april 2018, ECLI:NL:RBAMS:2018:2504.</w:t>
      </w:r>
    </w:p>
  </w:footnote>
  <w:footnote w:id="71">
    <w:p w14:paraId="0032A7B2" w14:textId="32FA7F46" w:rsidR="00A7450F" w:rsidRPr="00BF4BDF" w:rsidRDefault="00A7450F" w:rsidP="008519C1">
      <w:pPr>
        <w:pStyle w:val="Voetnoottekst"/>
      </w:pPr>
      <w:r w:rsidRPr="00BF4BDF">
        <w:rPr>
          <w:rStyle w:val="Voetnootmarkering"/>
        </w:rPr>
        <w:footnoteRef/>
      </w:r>
      <w:r w:rsidRPr="00BF4BDF">
        <w:t xml:space="preserve"> Rb. Gelderland</w:t>
      </w:r>
      <w:r w:rsidR="00FC213C">
        <w:t xml:space="preserve"> </w:t>
      </w:r>
      <w:r w:rsidRPr="00BF4BDF">
        <w:t>26 juni 2019, ECLI:NL:RBGEL:2019:2833.</w:t>
      </w:r>
    </w:p>
  </w:footnote>
  <w:footnote w:id="72">
    <w:p w14:paraId="3257FB7B" w14:textId="77777777" w:rsidR="00A7450F" w:rsidRPr="001C6ADA" w:rsidRDefault="00A7450F" w:rsidP="008519C1">
      <w:pPr>
        <w:pStyle w:val="Voetnoottekst"/>
      </w:pPr>
      <w:r w:rsidRPr="00BF4BDF">
        <w:rPr>
          <w:rStyle w:val="Voetnootmarkering"/>
        </w:rPr>
        <w:footnoteRef/>
      </w:r>
      <w:r w:rsidRPr="001C6ADA">
        <w:t xml:space="preserve"> Rb. Amsterdam 19 april 2018, ECLI:NL:RBAMS:2018:2504, r.o. 6.4.2; </w:t>
      </w:r>
      <w:r>
        <w:t>In de jurisprudentie en literatuur wordt de inhoud van deze zoektermen niet geëxpliciteerd.</w:t>
      </w:r>
    </w:p>
  </w:footnote>
  <w:footnote w:id="73">
    <w:p w14:paraId="745770C7" w14:textId="77777777" w:rsidR="00A7450F" w:rsidRPr="001C6ADA" w:rsidRDefault="00A7450F" w:rsidP="008519C1">
      <w:pPr>
        <w:pStyle w:val="Voetnoottekst"/>
      </w:pPr>
      <w:r w:rsidRPr="00BF4BDF">
        <w:rPr>
          <w:rStyle w:val="Voetnootmarkering"/>
        </w:rPr>
        <w:footnoteRef/>
      </w:r>
      <w:r w:rsidRPr="001C6ADA">
        <w:t xml:space="preserve"> Galič 2021, p. 43.</w:t>
      </w:r>
    </w:p>
  </w:footnote>
  <w:footnote w:id="74">
    <w:p w14:paraId="598E7B60" w14:textId="77777777" w:rsidR="00A7450F" w:rsidRPr="00BF4BDF" w:rsidRDefault="00A7450F" w:rsidP="008519C1">
      <w:pPr>
        <w:pStyle w:val="Voetnoottekst"/>
      </w:pPr>
      <w:r w:rsidRPr="00BF4BDF">
        <w:rPr>
          <w:rStyle w:val="Voetnootmarkering"/>
        </w:rPr>
        <w:footnoteRef/>
      </w:r>
      <w:r w:rsidRPr="00BF4BDF">
        <w:t xml:space="preserve"> Rb. Amsterdam 19 april 2018, ECLI:NL:RBAMS:2018:2504, r.o. 3.1.2.</w:t>
      </w:r>
    </w:p>
  </w:footnote>
  <w:footnote w:id="75">
    <w:p w14:paraId="4A200018" w14:textId="7A002903" w:rsidR="00A7450F" w:rsidRPr="00BF4BDF" w:rsidRDefault="00A7450F" w:rsidP="008519C1">
      <w:pPr>
        <w:pStyle w:val="Voetnoottekst"/>
      </w:pPr>
      <w:r w:rsidRPr="00BF4BDF">
        <w:rPr>
          <w:rStyle w:val="Voetnootmarkering"/>
        </w:rPr>
        <w:footnoteRef/>
      </w:r>
      <w:r w:rsidRPr="00BF4BDF">
        <w:t xml:space="preserve"> Het betreft hier de data van PGP-aanbieder Ennetcom. Zie o.a. </w:t>
      </w:r>
      <w:r w:rsidR="000B138A">
        <w:t>c</w:t>
      </w:r>
      <w:r w:rsidRPr="00BF4BDF">
        <w:t>oncl. A-G Hartevelt 28 maart 2023, ECLI:NL:PHR:2023:351, pt. 6.2.</w:t>
      </w:r>
    </w:p>
  </w:footnote>
  <w:footnote w:id="76">
    <w:p w14:paraId="48B079FA" w14:textId="667C31E9" w:rsidR="00A7450F" w:rsidRPr="00BF4BDF" w:rsidRDefault="00A7450F" w:rsidP="008519C1">
      <w:pPr>
        <w:pStyle w:val="Voetnoottekst"/>
      </w:pPr>
      <w:r w:rsidRPr="00BF4BDF">
        <w:rPr>
          <w:rStyle w:val="Voetnootmarkering"/>
        </w:rPr>
        <w:footnoteRef/>
      </w:r>
      <w:r w:rsidRPr="00BF4BDF">
        <w:t xml:space="preserve"> Rb. Amsterdam 19 april 2018, ECLI:NL:RBAMS:2018:2504, r.o. 3.1.3.</w:t>
      </w:r>
      <w:r>
        <w:t xml:space="preserve"> De zoekmachine is vernoemd naar </w:t>
      </w:r>
      <w:r w:rsidRPr="00184605">
        <w:t>een door Rembrandt getekende olifant</w:t>
      </w:r>
      <w:r w:rsidR="001901BD">
        <w:t>:</w:t>
      </w:r>
      <w:r>
        <w:t xml:space="preserve"> zie</w:t>
      </w:r>
      <w:r w:rsidRPr="00184605">
        <w:t xml:space="preserve"> </w:t>
      </w:r>
      <w:r w:rsidRPr="00BF4BDF">
        <w:t>Aben 2023, p. 122.</w:t>
      </w:r>
    </w:p>
  </w:footnote>
  <w:footnote w:id="77">
    <w:p w14:paraId="15DE0554" w14:textId="5D804828" w:rsidR="00A7450F" w:rsidRPr="00BF4BDF" w:rsidRDefault="00A7450F" w:rsidP="008519C1">
      <w:pPr>
        <w:pStyle w:val="Voetnoottekst"/>
      </w:pPr>
      <w:r w:rsidRPr="00BF4BDF">
        <w:rPr>
          <w:rStyle w:val="Voetnootmarkering"/>
        </w:rPr>
        <w:footnoteRef/>
      </w:r>
      <w:r w:rsidRPr="00BF4BDF">
        <w:t xml:space="preserve"> Vgl. concl</w:t>
      </w:r>
      <w:r w:rsidR="003841AB">
        <w:t>.</w:t>
      </w:r>
      <w:r w:rsidRPr="00BF4BDF">
        <w:t xml:space="preserve"> A-G Hartevelt 8 maart 2022, ECLI:NL:PHR:2022:219, p</w:t>
      </w:r>
      <w:r w:rsidR="00A467F2">
        <w:t>t</w:t>
      </w:r>
      <w:r w:rsidRPr="00BF4BDF">
        <w:t>. 6.16.</w:t>
      </w:r>
    </w:p>
  </w:footnote>
  <w:footnote w:id="78">
    <w:p w14:paraId="017F3479" w14:textId="77777777" w:rsidR="00A7450F" w:rsidRPr="00BF4BDF" w:rsidRDefault="00A7450F" w:rsidP="008519C1">
      <w:pPr>
        <w:pStyle w:val="Voetnoottekst"/>
      </w:pPr>
      <w:r w:rsidRPr="00BF4BDF">
        <w:rPr>
          <w:rStyle w:val="Voetnootmarkering"/>
        </w:rPr>
        <w:footnoteRef/>
      </w:r>
      <w:r w:rsidRPr="00BF4BDF">
        <w:t xml:space="preserve"> EHRM 4 juni 2019, ECLI:CE:ECHR:2019:0604JUD003975715 (</w:t>
      </w:r>
      <w:r w:rsidRPr="00BF4BDF">
        <w:rPr>
          <w:i/>
          <w:iCs/>
        </w:rPr>
        <w:t>Sigurður Einarsson/IJsland</w:t>
      </w:r>
      <w:r w:rsidRPr="00BF4BDF">
        <w:t>), par. 90; Galič 2021, p. 45.</w:t>
      </w:r>
    </w:p>
  </w:footnote>
  <w:footnote w:id="79">
    <w:p w14:paraId="080CA7FA" w14:textId="77777777" w:rsidR="00A7450F" w:rsidRPr="00BF4BDF" w:rsidRDefault="00A7450F" w:rsidP="008519C1">
      <w:pPr>
        <w:pStyle w:val="Voetnoottekst"/>
      </w:pPr>
      <w:r w:rsidRPr="00BF4BDF">
        <w:rPr>
          <w:rStyle w:val="Voetnootmarkering"/>
        </w:rPr>
        <w:footnoteRef/>
      </w:r>
      <w:r w:rsidRPr="00BF4BDF">
        <w:t xml:space="preserve"> EHRM 4 juni 2019, ECLI:CE:ECHR:2019:0604JUD003975715 (</w:t>
      </w:r>
      <w:r w:rsidRPr="00BF4BDF">
        <w:rPr>
          <w:i/>
          <w:iCs/>
        </w:rPr>
        <w:t>Sigurður Einarsson/IJsland</w:t>
      </w:r>
      <w:r w:rsidRPr="00BF4BDF">
        <w:t>), par. 90; EHRM 25 juli 2019, ECLI:CE:ECHR:2019:0725JUD000158615 (</w:t>
      </w:r>
      <w:r w:rsidRPr="00BF4BDF">
        <w:rPr>
          <w:i/>
          <w:iCs/>
        </w:rPr>
        <w:t>Rook/Duitsland</w:t>
      </w:r>
      <w:r w:rsidRPr="00BF4BDF">
        <w:t>), par. 59.</w:t>
      </w:r>
    </w:p>
  </w:footnote>
  <w:footnote w:id="80">
    <w:p w14:paraId="6894E721" w14:textId="77777777" w:rsidR="00A7450F" w:rsidRPr="00BF4BDF" w:rsidRDefault="00A7450F" w:rsidP="008519C1">
      <w:pPr>
        <w:pStyle w:val="Voetnoottekst"/>
      </w:pPr>
      <w:r w:rsidRPr="00BF4BDF">
        <w:rPr>
          <w:rStyle w:val="Voetnootmarkering"/>
        </w:rPr>
        <w:footnoteRef/>
      </w:r>
      <w:r w:rsidRPr="00BF4BDF">
        <w:t xml:space="preserve"> Rb. Amsterdam 19 april 2018, ECLI:NL:RBAMS:2018:2504, r.o. 7.3.</w:t>
      </w:r>
    </w:p>
  </w:footnote>
  <w:footnote w:id="81">
    <w:p w14:paraId="3373C301" w14:textId="77777777" w:rsidR="00A7450F" w:rsidRPr="00BF4BDF" w:rsidRDefault="00A7450F" w:rsidP="008519C1">
      <w:pPr>
        <w:pStyle w:val="Voetnoottekst"/>
      </w:pPr>
      <w:r w:rsidRPr="00BF4BDF">
        <w:rPr>
          <w:rStyle w:val="Voetnootmarkering"/>
        </w:rPr>
        <w:footnoteRef/>
      </w:r>
      <w:r w:rsidRPr="00BF4BDF">
        <w:t xml:space="preserve"> Zo blijkt uit </w:t>
      </w:r>
      <w:bookmarkStart w:id="8" w:name="_Hlk170303617"/>
      <w:r w:rsidRPr="00BF4BDF">
        <w:t>Rb. Amsterdam 19 april 2018, ECLI:NL:RBAMS:2018:</w:t>
      </w:r>
      <w:bookmarkEnd w:id="8"/>
      <w:r w:rsidRPr="00BF4BDF">
        <w:t>2504 en Rb. Amsterdam 8 maart 2018, ECLI:NL:RBAMS:2018:3616.</w:t>
      </w:r>
    </w:p>
  </w:footnote>
  <w:footnote w:id="82">
    <w:p w14:paraId="7B4C6ECD" w14:textId="5462ACCD" w:rsidR="003D4021" w:rsidRDefault="003D4021">
      <w:pPr>
        <w:pStyle w:val="Voetnoottekst"/>
      </w:pPr>
      <w:r>
        <w:rPr>
          <w:rStyle w:val="Voetnootmarkering"/>
        </w:rPr>
        <w:footnoteRef/>
      </w:r>
      <w:r>
        <w:t xml:space="preserve"> </w:t>
      </w:r>
      <w:r w:rsidRPr="00BF4BDF">
        <w:t>Rb. Amsterdam 19 april 2018, ECLI:NL:RBAMS:2018:2504</w:t>
      </w:r>
      <w:r>
        <w:t>, r.o. 7.3.</w:t>
      </w:r>
    </w:p>
  </w:footnote>
  <w:footnote w:id="83">
    <w:p w14:paraId="7B0CCFA2" w14:textId="77777777" w:rsidR="00A7450F" w:rsidRPr="00BF4BDF" w:rsidRDefault="00A7450F" w:rsidP="008519C1">
      <w:pPr>
        <w:pStyle w:val="Voetnoottekst"/>
      </w:pPr>
      <w:r w:rsidRPr="00BF4BDF">
        <w:rPr>
          <w:rStyle w:val="Voetnootmarkering"/>
        </w:rPr>
        <w:footnoteRef/>
      </w:r>
      <w:r w:rsidRPr="00BF4BDF">
        <w:t xml:space="preserve"> Vgl. Egberts 2022, p. 123.</w:t>
      </w:r>
    </w:p>
  </w:footnote>
  <w:footnote w:id="84">
    <w:p w14:paraId="358664A0" w14:textId="77777777" w:rsidR="00A7450F" w:rsidRPr="00BF4BDF" w:rsidRDefault="00A7450F" w:rsidP="008519C1">
      <w:pPr>
        <w:pStyle w:val="Voetnoottekst"/>
      </w:pPr>
      <w:r w:rsidRPr="00BF4BDF">
        <w:rPr>
          <w:rStyle w:val="Voetnootmarkering"/>
        </w:rPr>
        <w:footnoteRef/>
      </w:r>
      <w:r w:rsidRPr="00BF4BDF">
        <w:t xml:space="preserve"> Rb. Rotterdam 21 september 2021, ECLI:NL:RBROT:2021:9085.</w:t>
      </w:r>
    </w:p>
  </w:footnote>
  <w:footnote w:id="85">
    <w:p w14:paraId="7FCF21D1" w14:textId="77777777" w:rsidR="00A7450F" w:rsidRPr="00BF4BDF" w:rsidRDefault="00A7450F" w:rsidP="008519C1">
      <w:pPr>
        <w:pStyle w:val="Voetnoottekst"/>
      </w:pPr>
      <w:r w:rsidRPr="00BF4BDF">
        <w:rPr>
          <w:rStyle w:val="Voetnootmarkering"/>
        </w:rPr>
        <w:footnoteRef/>
      </w:r>
      <w:r w:rsidRPr="00BF4BDF">
        <w:t xml:space="preserve"> Rb. Amsterdam 21 april 2021, ECLI:NL:RBAMS:2021:1507, r.o. 55.</w:t>
      </w:r>
    </w:p>
  </w:footnote>
  <w:footnote w:id="86">
    <w:p w14:paraId="48514B02" w14:textId="77777777" w:rsidR="00A7450F" w:rsidRPr="00BF4BDF" w:rsidRDefault="00A7450F" w:rsidP="008519C1">
      <w:pPr>
        <w:pStyle w:val="Voetnoottekst"/>
      </w:pPr>
      <w:r w:rsidRPr="00BF4BDF">
        <w:rPr>
          <w:rStyle w:val="Voetnootmarkering"/>
        </w:rPr>
        <w:footnoteRef/>
      </w:r>
      <w:r w:rsidRPr="00BF4BDF">
        <w:t xml:space="preserve"> Hof Arnhem-Leeuwarden 23 december 2021, ECLI:NL:GHARL:2021:11610; Rb. Amsterdam 27 februari 2024, ECLI:NL:RBAMS:2024:692, r.o. 3.4.7.2.1.</w:t>
      </w:r>
    </w:p>
  </w:footnote>
  <w:footnote w:id="87">
    <w:p w14:paraId="054F404B" w14:textId="288686FB" w:rsidR="00A7450F" w:rsidRDefault="00A7450F" w:rsidP="41859A08">
      <w:pPr>
        <w:pStyle w:val="Voetnoottekst"/>
      </w:pPr>
      <w:r w:rsidRPr="41859A08">
        <w:rPr>
          <w:rStyle w:val="Voetnootmarkering"/>
        </w:rPr>
        <w:footnoteRef/>
      </w:r>
      <w:r>
        <w:t xml:space="preserve"> </w:t>
      </w:r>
      <w:r w:rsidRPr="41859A08">
        <w:rPr>
          <w:rFonts w:eastAsia="Times New Roman"/>
          <w:color w:val="000000" w:themeColor="text1"/>
        </w:rPr>
        <w:t xml:space="preserve">Dat was ook het geval in de zaak </w:t>
      </w:r>
      <w:r w:rsidRPr="41859A08">
        <w:rPr>
          <w:rFonts w:eastAsia="Times New Roman"/>
          <w:i/>
          <w:iCs/>
          <w:color w:val="000000" w:themeColor="text1"/>
        </w:rPr>
        <w:t>Einarsson</w:t>
      </w:r>
      <w:r w:rsidRPr="41859A08">
        <w:rPr>
          <w:rFonts w:eastAsia="Times New Roman"/>
          <w:color w:val="000000" w:themeColor="text1"/>
        </w:rPr>
        <w:t xml:space="preserve">. Zie </w:t>
      </w:r>
      <w:r>
        <w:t>EHRM 4 juni 2019, ECLI:CE:ECHR:2019:0604JUD003975715 (</w:t>
      </w:r>
      <w:r w:rsidRPr="41859A08">
        <w:rPr>
          <w:i/>
          <w:iCs/>
        </w:rPr>
        <w:t>Sigurður Einarsson/IJsland</w:t>
      </w:r>
      <w:r>
        <w:t>), par. 91.</w:t>
      </w:r>
    </w:p>
  </w:footnote>
  <w:footnote w:id="88">
    <w:p w14:paraId="71B75DC5" w14:textId="77777777" w:rsidR="00A7450F" w:rsidRPr="00BF4BDF" w:rsidRDefault="00A7450F" w:rsidP="008519C1">
      <w:pPr>
        <w:pStyle w:val="Voetnoottekst"/>
      </w:pPr>
      <w:r w:rsidRPr="00BF4BDF">
        <w:rPr>
          <w:rStyle w:val="Voetnootmarkering"/>
        </w:rPr>
        <w:footnoteRef/>
      </w:r>
      <w:r w:rsidRPr="00BF4BDF">
        <w:t xml:space="preserve"> Rb. Amsterdam 21 april 2021, ECLI:NL:RBAMS:2021:1507, r.o. 58.</w:t>
      </w:r>
    </w:p>
  </w:footnote>
  <w:footnote w:id="89">
    <w:p w14:paraId="22954ACD" w14:textId="144AE545" w:rsidR="00A7450F" w:rsidRPr="00BF4BDF" w:rsidRDefault="00A7450F" w:rsidP="008519C1">
      <w:pPr>
        <w:pStyle w:val="Voetnoottekst"/>
      </w:pPr>
      <w:r w:rsidRPr="00BF4BDF">
        <w:rPr>
          <w:rStyle w:val="Voetnootmarkering"/>
        </w:rPr>
        <w:footnoteRef/>
      </w:r>
      <w:r w:rsidRPr="00BF4BDF">
        <w:t xml:space="preserve"> Rb. Amsterdam 21 april 2021, ECLI:NL:RBAMS:2021:1507, r.o. 66</w:t>
      </w:r>
      <w:r w:rsidR="00E27057">
        <w:t>; niet wordt uit de uitspraak duidelijk welke problemen de raadslieden precies ervaarden.</w:t>
      </w:r>
    </w:p>
  </w:footnote>
  <w:footnote w:id="90">
    <w:p w14:paraId="5463543E" w14:textId="77777777" w:rsidR="00A7450F" w:rsidRPr="00BF4BDF" w:rsidRDefault="00A7450F" w:rsidP="008519C1">
      <w:pPr>
        <w:pStyle w:val="Voetnoottekst"/>
      </w:pPr>
      <w:r w:rsidRPr="00BF4BDF">
        <w:rPr>
          <w:rStyle w:val="Voetnootmarkering"/>
        </w:rPr>
        <w:footnoteRef/>
      </w:r>
      <w:r w:rsidRPr="00BF4BDF">
        <w:t xml:space="preserve"> Zie o.m. Rb. Amsterdam 21 november 2022, ECLI:NL:RBAMS:2022:6816, r.o. 5.1.8 (</w:t>
      </w:r>
      <w:r w:rsidRPr="00BF4BDF">
        <w:rPr>
          <w:i/>
          <w:iCs/>
        </w:rPr>
        <w:t>26Zenne</w:t>
      </w:r>
      <w:r w:rsidRPr="00BF4BDF">
        <w:t>); Rb. Rotterdam 27 februari 2023, ECLI:NL:RBROT:2023:2549, r.o. 2.3 (</w:t>
      </w:r>
      <w:r w:rsidRPr="00BF4BDF">
        <w:rPr>
          <w:i/>
          <w:iCs/>
        </w:rPr>
        <w:t>Aurum</w:t>
      </w:r>
      <w:r w:rsidRPr="00BF4BDF">
        <w:t>); Rb. Oost-Brabant 7 juli 2022, ECLI:NL:RBOBR:2022:2832, r.o. 1 (</w:t>
      </w:r>
      <w:r w:rsidRPr="00BF4BDF">
        <w:rPr>
          <w:i/>
          <w:iCs/>
        </w:rPr>
        <w:t>26Inn</w:t>
      </w:r>
      <w:r w:rsidRPr="00BF4BDF">
        <w:t>); Rb. Rotterdam 25 januari 2021, ECLI:NL:RBROT:2021:396, r.o. 2.4 (</w:t>
      </w:r>
      <w:r w:rsidRPr="00BF4BDF">
        <w:rPr>
          <w:i/>
          <w:iCs/>
        </w:rPr>
        <w:t>Flamenco</w:t>
      </w:r>
      <w:r w:rsidRPr="00BF4BDF">
        <w:t>); Rb. Rotterdam 23 augustus 2023, ECLI:NL:RBROT:2023:8364, r.o. 2.2 (</w:t>
      </w:r>
      <w:r w:rsidRPr="00BF4BDF">
        <w:rPr>
          <w:i/>
          <w:iCs/>
        </w:rPr>
        <w:t>Rosi</w:t>
      </w:r>
      <w:r w:rsidRPr="00BF4BDF">
        <w:t>).</w:t>
      </w:r>
    </w:p>
  </w:footnote>
  <w:footnote w:id="91">
    <w:p w14:paraId="01A3AA17" w14:textId="77777777" w:rsidR="00A7450F" w:rsidRPr="00BF4BDF" w:rsidRDefault="00A7450F" w:rsidP="008519C1">
      <w:pPr>
        <w:pStyle w:val="Voetnoottekst"/>
      </w:pPr>
      <w:r w:rsidRPr="00BF4BDF">
        <w:rPr>
          <w:rStyle w:val="Voetnootmarkering"/>
        </w:rPr>
        <w:footnoteRef/>
      </w:r>
      <w:r w:rsidRPr="00BF4BDF">
        <w:t xml:space="preserve"> Zie bijv. Rb. Noord-Holland 9 februari 2024, ECLI:NL:RBNHO:2024:1386, r.o. 5 (</w:t>
      </w:r>
      <w:r w:rsidRPr="00BF4BDF">
        <w:rPr>
          <w:i/>
          <w:iCs/>
        </w:rPr>
        <w:t>Hagley</w:t>
      </w:r>
      <w:r w:rsidRPr="00BF4BDF">
        <w:t>).</w:t>
      </w:r>
    </w:p>
  </w:footnote>
  <w:footnote w:id="92">
    <w:p w14:paraId="7EC0E67B" w14:textId="77777777" w:rsidR="00A7450F" w:rsidRPr="00BF4BDF" w:rsidRDefault="00A7450F" w:rsidP="008519C1">
      <w:pPr>
        <w:pStyle w:val="Voetnoottekst"/>
      </w:pPr>
      <w:r w:rsidRPr="00BF4BDF">
        <w:rPr>
          <w:rStyle w:val="Voetnootmarkering"/>
        </w:rPr>
        <w:footnoteRef/>
      </w:r>
      <w:r w:rsidRPr="00BF4BDF">
        <w:t xml:space="preserve"> De Jonge &amp; Janssen 2021, p. 2793.</w:t>
      </w:r>
    </w:p>
  </w:footnote>
  <w:footnote w:id="93">
    <w:p w14:paraId="4956EA61" w14:textId="77777777" w:rsidR="00A7450F" w:rsidRPr="00BF4BDF" w:rsidRDefault="00A7450F" w:rsidP="008519C1">
      <w:pPr>
        <w:pStyle w:val="Voetnoottekst"/>
      </w:pPr>
      <w:r w:rsidRPr="00BF4BDF">
        <w:rPr>
          <w:rStyle w:val="Voetnootmarkering"/>
        </w:rPr>
        <w:footnoteRef/>
      </w:r>
      <w:r w:rsidRPr="00BF4BDF">
        <w:t xml:space="preserve"> De Jonge &amp; Janssen 2021, p. 2796.</w:t>
      </w:r>
    </w:p>
  </w:footnote>
  <w:footnote w:id="94">
    <w:p w14:paraId="266A6D9F" w14:textId="3D3AC7EF" w:rsidR="00A7450F" w:rsidRPr="00BF4BDF" w:rsidRDefault="00A7450F" w:rsidP="008519C1">
      <w:pPr>
        <w:pStyle w:val="Voetnoottekst"/>
      </w:pPr>
      <w:r w:rsidRPr="00BF4BDF">
        <w:rPr>
          <w:rStyle w:val="Voetnootmarkering"/>
        </w:rPr>
        <w:footnoteRef/>
      </w:r>
      <w:r w:rsidRPr="00BF4BDF">
        <w:t xml:space="preserve"> Vgl. Rb. Amsterdam 21 april 2021, ECLI:NL:RBAMS:2021:1507, r.o. 58; Rb. Amsterdam 21 november 2022, ECLI:NL:RBAMS:2022:6816, r.o. 5.1.8.</w:t>
      </w:r>
    </w:p>
  </w:footnote>
  <w:footnote w:id="95">
    <w:p w14:paraId="5BFC3331" w14:textId="77777777" w:rsidR="00A7450F" w:rsidRPr="00BF4BDF" w:rsidRDefault="00A7450F" w:rsidP="008519C1">
      <w:pPr>
        <w:pStyle w:val="Voetnoottekst"/>
      </w:pPr>
      <w:r w:rsidRPr="00BF4BDF">
        <w:rPr>
          <w:rStyle w:val="Voetnootmarkering"/>
        </w:rPr>
        <w:footnoteRef/>
      </w:r>
      <w:r w:rsidRPr="00BF4BDF">
        <w:t xml:space="preserve"> De Jonge &amp; Janssen 2021, p. 2796.</w:t>
      </w:r>
    </w:p>
  </w:footnote>
  <w:footnote w:id="96">
    <w:p w14:paraId="6CB08C1B" w14:textId="77777777" w:rsidR="00A7450F" w:rsidRPr="00BF4BDF" w:rsidRDefault="00A7450F" w:rsidP="008519C1">
      <w:pPr>
        <w:pStyle w:val="Voetnoottekst"/>
      </w:pPr>
      <w:r w:rsidRPr="00BF4BDF">
        <w:rPr>
          <w:rStyle w:val="Voetnootmarkering"/>
        </w:rPr>
        <w:footnoteRef/>
      </w:r>
      <w:r w:rsidRPr="00BF4BDF">
        <w:t xml:space="preserve"> ‘NFI maakt inzage cryptocommunicatie op werkplek advocaten mogelijk’, forensischinstituut.nl.</w:t>
      </w:r>
    </w:p>
  </w:footnote>
  <w:footnote w:id="97">
    <w:p w14:paraId="4BFBC83E" w14:textId="77777777" w:rsidR="00A7450F" w:rsidRPr="00BF4BDF" w:rsidRDefault="00A7450F" w:rsidP="008519C1">
      <w:pPr>
        <w:pStyle w:val="Voetnoottekst"/>
      </w:pPr>
      <w:r w:rsidRPr="00BF4BDF">
        <w:rPr>
          <w:rStyle w:val="Voetnootmarkering"/>
        </w:rPr>
        <w:footnoteRef/>
      </w:r>
      <w:r w:rsidRPr="00BF4BDF">
        <w:t xml:space="preserve"> Zo betoogt ook Egberts 2022, p. 128-129.</w:t>
      </w:r>
    </w:p>
  </w:footnote>
  <w:footnote w:id="98">
    <w:p w14:paraId="153DC3AC" w14:textId="77777777" w:rsidR="00A7450F" w:rsidRPr="00BF4BDF" w:rsidRDefault="00A7450F" w:rsidP="008519C1">
      <w:pPr>
        <w:pStyle w:val="Voetnoottekst"/>
      </w:pPr>
      <w:r w:rsidRPr="00BF4BDF">
        <w:rPr>
          <w:rStyle w:val="Voetnootmarkering"/>
        </w:rPr>
        <w:footnoteRef/>
      </w:r>
      <w:r w:rsidRPr="00BF4BDF">
        <w:t xml:space="preserve"> Zie https://www.sdujuridischeopleidingen.nl/producten/7799/werken-met-hansken-e-learning.</w:t>
      </w:r>
    </w:p>
  </w:footnote>
  <w:footnote w:id="99">
    <w:p w14:paraId="71D78956" w14:textId="77777777" w:rsidR="00A7450F" w:rsidRPr="001C6ADA" w:rsidRDefault="00A7450F" w:rsidP="009946B1">
      <w:pPr>
        <w:pStyle w:val="Voetnoottekst"/>
        <w:rPr>
          <w:lang w:val="en-US"/>
        </w:rPr>
      </w:pPr>
      <w:r>
        <w:rPr>
          <w:rStyle w:val="Voetnootmarkering"/>
        </w:rPr>
        <w:footnoteRef/>
      </w:r>
      <w:r w:rsidRPr="001C6ADA">
        <w:rPr>
          <w:lang w:val="en-US"/>
        </w:rPr>
        <w:t xml:space="preserve"> Ashworth &amp; Horder 2013, p. 7-8.</w:t>
      </w:r>
    </w:p>
  </w:footnote>
  <w:footnote w:id="100">
    <w:p w14:paraId="74BCADD6" w14:textId="77777777" w:rsidR="00A7450F" w:rsidRPr="001C6ADA" w:rsidRDefault="00A7450F" w:rsidP="009946B1">
      <w:pPr>
        <w:pStyle w:val="Voetnoottekst"/>
        <w:rPr>
          <w:lang w:val="en-US"/>
        </w:rPr>
      </w:pPr>
      <w:r>
        <w:rPr>
          <w:rStyle w:val="Voetnootmarkering"/>
        </w:rPr>
        <w:footnoteRef/>
      </w:r>
      <w:r w:rsidRPr="001C6ADA">
        <w:rPr>
          <w:lang w:val="en-US"/>
        </w:rPr>
        <w:t xml:space="preserve"> R. v Jones [2006] UKHL 16, [28].</w:t>
      </w:r>
    </w:p>
  </w:footnote>
  <w:footnote w:id="101">
    <w:p w14:paraId="0565E5DA" w14:textId="77777777" w:rsidR="00A7450F" w:rsidRDefault="00A7450F" w:rsidP="009946B1">
      <w:pPr>
        <w:pStyle w:val="Voetnoottekst"/>
      </w:pPr>
      <w:r>
        <w:rPr>
          <w:rStyle w:val="Voetnootmarkering"/>
        </w:rPr>
        <w:footnoteRef/>
      </w:r>
      <w:r>
        <w:t xml:space="preserve"> Roberts &amp; Zuckerman 2022, p. 49.</w:t>
      </w:r>
    </w:p>
  </w:footnote>
  <w:footnote w:id="102">
    <w:p w14:paraId="312FA075" w14:textId="77777777" w:rsidR="00A7450F" w:rsidRDefault="00A7450F" w:rsidP="009946B1">
      <w:pPr>
        <w:pStyle w:val="Voetnoottekst"/>
      </w:pPr>
      <w:r>
        <w:rPr>
          <w:rStyle w:val="Voetnootmarkering"/>
        </w:rPr>
        <w:footnoteRef/>
      </w:r>
      <w:r>
        <w:t xml:space="preserve"> De Hert &amp; Decaigny 2013, p. 58.</w:t>
      </w:r>
    </w:p>
  </w:footnote>
  <w:footnote w:id="103">
    <w:p w14:paraId="32EE2001" w14:textId="2AC64F1F" w:rsidR="000A685F" w:rsidRPr="0037437B" w:rsidRDefault="000A685F">
      <w:pPr>
        <w:pStyle w:val="Voetnoottekst"/>
        <w:rPr>
          <w:lang w:val="en-US"/>
        </w:rPr>
      </w:pPr>
      <w:r>
        <w:rPr>
          <w:rStyle w:val="Voetnootmarkering"/>
        </w:rPr>
        <w:footnoteRef/>
      </w:r>
      <w:r w:rsidRPr="0037437B">
        <w:rPr>
          <w:lang w:val="en-US"/>
        </w:rPr>
        <w:t xml:space="preserve"> Brants 2008, p. </w:t>
      </w:r>
      <w:r w:rsidR="00717245" w:rsidRPr="0037437B">
        <w:rPr>
          <w:lang w:val="en-US"/>
        </w:rPr>
        <w:t>221</w:t>
      </w:r>
      <w:r w:rsidRPr="0037437B">
        <w:rPr>
          <w:lang w:val="en-US"/>
        </w:rPr>
        <w:t>.</w:t>
      </w:r>
    </w:p>
  </w:footnote>
  <w:footnote w:id="104">
    <w:p w14:paraId="75D9F5E6" w14:textId="4EECB77B" w:rsidR="008C286C" w:rsidRPr="0037437B" w:rsidRDefault="008C286C">
      <w:pPr>
        <w:pStyle w:val="Voetnoottekst"/>
        <w:rPr>
          <w:lang w:val="en-US"/>
        </w:rPr>
      </w:pPr>
      <w:r>
        <w:rPr>
          <w:rStyle w:val="Voetnootmarkering"/>
        </w:rPr>
        <w:footnoteRef/>
      </w:r>
      <w:r w:rsidRPr="0037437B">
        <w:rPr>
          <w:lang w:val="en-US"/>
        </w:rPr>
        <w:t xml:space="preserve"> Jörg, Field &amp; Brants 1995, p. 42.</w:t>
      </w:r>
    </w:p>
  </w:footnote>
  <w:footnote w:id="105">
    <w:p w14:paraId="25AE21D4" w14:textId="77777777" w:rsidR="00056BAB" w:rsidRPr="0037437B" w:rsidRDefault="00056BAB" w:rsidP="00056BAB">
      <w:pPr>
        <w:pStyle w:val="Voetnoottekst"/>
        <w:rPr>
          <w:lang w:val="en-US"/>
        </w:rPr>
      </w:pPr>
      <w:r>
        <w:rPr>
          <w:rStyle w:val="Voetnootmarkering"/>
        </w:rPr>
        <w:footnoteRef/>
      </w:r>
      <w:r w:rsidRPr="0037437B">
        <w:rPr>
          <w:lang w:val="en-US"/>
        </w:rPr>
        <w:t xml:space="preserve"> Spencer, p. 164.</w:t>
      </w:r>
    </w:p>
  </w:footnote>
  <w:footnote w:id="106">
    <w:p w14:paraId="0B2B6E31" w14:textId="4020D0C5" w:rsidR="00A7450F" w:rsidRPr="0037437B" w:rsidRDefault="00A7450F" w:rsidP="009946B1">
      <w:pPr>
        <w:pStyle w:val="Voetnoottekst"/>
        <w:rPr>
          <w:lang w:val="en-US"/>
        </w:rPr>
      </w:pPr>
      <w:r>
        <w:rPr>
          <w:rStyle w:val="Voetnootmarkering"/>
        </w:rPr>
        <w:footnoteRef/>
      </w:r>
      <w:r w:rsidRPr="0037437B">
        <w:rPr>
          <w:lang w:val="en-US"/>
        </w:rPr>
        <w:t xml:space="preserve"> Brants 2008, p. </w:t>
      </w:r>
      <w:r w:rsidR="009C4D48" w:rsidRPr="0037437B">
        <w:rPr>
          <w:lang w:val="en-US"/>
        </w:rPr>
        <w:t>221</w:t>
      </w:r>
      <w:r w:rsidRPr="0037437B">
        <w:rPr>
          <w:lang w:val="en-US"/>
        </w:rPr>
        <w:t>.</w:t>
      </w:r>
    </w:p>
  </w:footnote>
  <w:footnote w:id="107">
    <w:p w14:paraId="1C2EFE6F" w14:textId="77777777" w:rsidR="00A7450F" w:rsidRPr="0037437B" w:rsidRDefault="00A7450F" w:rsidP="009946B1">
      <w:pPr>
        <w:pStyle w:val="Voetnoottekst"/>
        <w:rPr>
          <w:lang w:val="en-US"/>
        </w:rPr>
      </w:pPr>
      <w:r>
        <w:rPr>
          <w:rStyle w:val="Voetnootmarkering"/>
        </w:rPr>
        <w:footnoteRef/>
      </w:r>
      <w:r w:rsidRPr="0037437B">
        <w:rPr>
          <w:lang w:val="en-US"/>
        </w:rPr>
        <w:t xml:space="preserve"> Sprack &amp; Engelhardt-Sprack 2019, p. 7-8.</w:t>
      </w:r>
    </w:p>
  </w:footnote>
  <w:footnote w:id="108">
    <w:p w14:paraId="51E39761" w14:textId="77777777" w:rsidR="00A7450F" w:rsidRDefault="00A7450F" w:rsidP="009946B1">
      <w:pPr>
        <w:pStyle w:val="Voetnoottekst"/>
      </w:pPr>
      <w:r>
        <w:rPr>
          <w:rStyle w:val="Voetnootmarkering"/>
        </w:rPr>
        <w:footnoteRef/>
      </w:r>
      <w:r>
        <w:t xml:space="preserve"> Sprack &amp; Engelhardt-Sprack 2019, p. 459-460.</w:t>
      </w:r>
    </w:p>
  </w:footnote>
  <w:footnote w:id="109">
    <w:p w14:paraId="233340C7" w14:textId="34990077" w:rsidR="00A7450F" w:rsidRPr="0077192A" w:rsidRDefault="00A7450F" w:rsidP="009946B1">
      <w:pPr>
        <w:pStyle w:val="Voetnoottekst"/>
      </w:pPr>
      <w:r>
        <w:rPr>
          <w:rStyle w:val="Voetnootmarkering"/>
        </w:rPr>
        <w:footnoteRef/>
      </w:r>
      <w:r>
        <w:t xml:space="preserve"> De King</w:t>
      </w:r>
      <w:r w:rsidR="00CC781E">
        <w:t>’</w:t>
      </w:r>
      <w:r>
        <w:t>s Bench</w:t>
      </w:r>
      <w:r w:rsidR="00CC781E">
        <w:t xml:space="preserve"> (KB)</w:t>
      </w:r>
      <w:r>
        <w:t xml:space="preserve"> is één van de drie afdelingen van het High Court of Justice. Gedurende het bewind van Elizabeth II heette de afdeling de Queen’s Bench (in verwijzingen naar jurisprudentie afgekort als QB).</w:t>
      </w:r>
    </w:p>
  </w:footnote>
  <w:footnote w:id="110">
    <w:p w14:paraId="0048D249" w14:textId="77777777" w:rsidR="00A7450F" w:rsidRPr="001C6ADA" w:rsidRDefault="00A7450F" w:rsidP="009946B1">
      <w:pPr>
        <w:pStyle w:val="Voetnoottekst"/>
        <w:rPr>
          <w:lang w:val="en-US"/>
        </w:rPr>
      </w:pPr>
      <w:r>
        <w:rPr>
          <w:rStyle w:val="Voetnootmarkering"/>
        </w:rPr>
        <w:footnoteRef/>
      </w:r>
      <w:r w:rsidRPr="001C6ADA">
        <w:rPr>
          <w:lang w:val="en-US"/>
        </w:rPr>
        <w:t xml:space="preserve"> Spencer 2002, p. 157.</w:t>
      </w:r>
    </w:p>
  </w:footnote>
  <w:footnote w:id="111">
    <w:p w14:paraId="04B7F2A5" w14:textId="77777777" w:rsidR="00A7450F" w:rsidRPr="001C6ADA" w:rsidRDefault="00A7450F" w:rsidP="009946B1">
      <w:pPr>
        <w:pStyle w:val="Voetnoottekst"/>
        <w:rPr>
          <w:lang w:val="en-US"/>
        </w:rPr>
      </w:pPr>
      <w:r>
        <w:rPr>
          <w:rStyle w:val="Voetnootmarkering"/>
        </w:rPr>
        <w:footnoteRef/>
      </w:r>
      <w:r w:rsidRPr="001C6ADA">
        <w:rPr>
          <w:lang w:val="en-US"/>
        </w:rPr>
        <w:t xml:space="preserve"> Spencer 2002, p. 159.</w:t>
      </w:r>
    </w:p>
  </w:footnote>
  <w:footnote w:id="112">
    <w:p w14:paraId="1FE4594B" w14:textId="77777777" w:rsidR="00A7450F" w:rsidRPr="001C6ADA" w:rsidRDefault="00A7450F" w:rsidP="009946B1">
      <w:pPr>
        <w:pStyle w:val="Voetnoottekst"/>
        <w:rPr>
          <w:lang w:val="en-US"/>
        </w:rPr>
      </w:pPr>
      <w:r>
        <w:rPr>
          <w:rStyle w:val="Voetnootmarkering"/>
        </w:rPr>
        <w:footnoteRef/>
      </w:r>
      <w:r w:rsidRPr="001C6ADA">
        <w:rPr>
          <w:lang w:val="en-US"/>
        </w:rPr>
        <w:t xml:space="preserve"> Sprack &amp; Engelhardt-Sprack 2019, p. 425.</w:t>
      </w:r>
    </w:p>
  </w:footnote>
  <w:footnote w:id="113">
    <w:p w14:paraId="164260AF" w14:textId="77777777" w:rsidR="00A7450F" w:rsidRPr="001C6ADA" w:rsidRDefault="00A7450F" w:rsidP="009946B1">
      <w:pPr>
        <w:pStyle w:val="Voetnoottekst"/>
        <w:rPr>
          <w:lang w:val="en-US"/>
        </w:rPr>
      </w:pPr>
      <w:r>
        <w:rPr>
          <w:rStyle w:val="Voetnootmarkering"/>
        </w:rPr>
        <w:footnoteRef/>
      </w:r>
      <w:r w:rsidRPr="001C6ADA">
        <w:rPr>
          <w:lang w:val="en-US"/>
        </w:rPr>
        <w:t xml:space="preserve"> Gyorfi 2017, p. 687-688.</w:t>
      </w:r>
    </w:p>
  </w:footnote>
  <w:footnote w:id="114">
    <w:p w14:paraId="0B83E358" w14:textId="77777777" w:rsidR="00A7450F" w:rsidRPr="001C6ADA" w:rsidRDefault="00A7450F" w:rsidP="009946B1">
      <w:pPr>
        <w:pStyle w:val="Voetnoottekst"/>
        <w:rPr>
          <w:lang w:val="en-US"/>
        </w:rPr>
      </w:pPr>
      <w:r>
        <w:rPr>
          <w:rStyle w:val="Voetnootmarkering"/>
        </w:rPr>
        <w:footnoteRef/>
      </w:r>
      <w:r w:rsidRPr="001C6ADA">
        <w:rPr>
          <w:lang w:val="en-US"/>
        </w:rPr>
        <w:t xml:space="preserve"> Hungerford-Welch 2019, p. 75.</w:t>
      </w:r>
    </w:p>
  </w:footnote>
  <w:footnote w:id="115">
    <w:p w14:paraId="5DB566EB" w14:textId="77777777" w:rsidR="00A7450F" w:rsidRPr="001C6ADA" w:rsidRDefault="00A7450F" w:rsidP="009946B1">
      <w:pPr>
        <w:pStyle w:val="Voetnoottekst"/>
        <w:rPr>
          <w:lang w:val="en-US"/>
        </w:rPr>
      </w:pPr>
      <w:r>
        <w:rPr>
          <w:rStyle w:val="Voetnootmarkering"/>
        </w:rPr>
        <w:footnoteRef/>
      </w:r>
      <w:r w:rsidRPr="001C6ADA">
        <w:rPr>
          <w:lang w:val="en-US"/>
        </w:rPr>
        <w:t xml:space="preserve"> Ashworth &amp; Horder 2013, p. 7.</w:t>
      </w:r>
    </w:p>
  </w:footnote>
  <w:footnote w:id="116">
    <w:p w14:paraId="133A338E" w14:textId="77777777" w:rsidR="00A7450F" w:rsidRPr="001C6ADA" w:rsidRDefault="00A7450F" w:rsidP="009946B1">
      <w:pPr>
        <w:pStyle w:val="Voetnoottekst"/>
        <w:rPr>
          <w:lang w:val="en-US"/>
        </w:rPr>
      </w:pPr>
      <w:r>
        <w:rPr>
          <w:rStyle w:val="Voetnootmarkering"/>
        </w:rPr>
        <w:footnoteRef/>
      </w:r>
      <w:r w:rsidRPr="001C6ADA">
        <w:rPr>
          <w:lang w:val="en-US"/>
        </w:rPr>
        <w:t xml:space="preserve"> Ashworth 2010, p. 1-2.</w:t>
      </w:r>
    </w:p>
  </w:footnote>
  <w:footnote w:id="117">
    <w:p w14:paraId="3AD89937" w14:textId="77777777" w:rsidR="00A7450F" w:rsidRDefault="00A7450F" w:rsidP="009946B1">
      <w:pPr>
        <w:pStyle w:val="Voetnoottekst"/>
      </w:pPr>
      <w:r>
        <w:rPr>
          <w:rStyle w:val="Voetnootmarkering"/>
        </w:rPr>
        <w:footnoteRef/>
      </w:r>
      <w:r>
        <w:t xml:space="preserve"> De Groot 2000, p. 25; </w:t>
      </w:r>
      <w:r w:rsidRPr="00A015B9">
        <w:t xml:space="preserve">bij het </w:t>
      </w:r>
      <w:r>
        <w:t>m</w:t>
      </w:r>
      <w:r w:rsidRPr="00A015B9">
        <w:t xml:space="preserve">agistrates’ </w:t>
      </w:r>
      <w:r>
        <w:t>c</w:t>
      </w:r>
      <w:r w:rsidRPr="00A015B9">
        <w:t>ourt is het wel mogelijk dat de CPS zelfstandig procedeert.</w:t>
      </w:r>
    </w:p>
  </w:footnote>
  <w:footnote w:id="118">
    <w:p w14:paraId="227AA986" w14:textId="2FDAED1F" w:rsidR="00A7450F" w:rsidRDefault="00A7450F" w:rsidP="009946B1">
      <w:pPr>
        <w:pStyle w:val="Voetnoottekst"/>
      </w:pPr>
      <w:r>
        <w:rPr>
          <w:rStyle w:val="Voetnootmarkering"/>
        </w:rPr>
        <w:footnoteRef/>
      </w:r>
      <w:r>
        <w:t xml:space="preserve"> In de wettekst van het strafprocesrecht wordt ook van ‘de prosecutor’ gesproken. </w:t>
      </w:r>
    </w:p>
  </w:footnote>
  <w:footnote w:id="119">
    <w:p w14:paraId="56C64BA6" w14:textId="77777777" w:rsidR="00A7450F" w:rsidRPr="001C6ADA" w:rsidRDefault="00A7450F" w:rsidP="009946B1">
      <w:pPr>
        <w:pStyle w:val="Voetnoottekst"/>
        <w:rPr>
          <w:lang w:val="en-US"/>
        </w:rPr>
      </w:pPr>
      <w:r>
        <w:rPr>
          <w:rStyle w:val="Voetnootmarkering"/>
        </w:rPr>
        <w:footnoteRef/>
      </w:r>
      <w:r w:rsidRPr="001C6ADA">
        <w:rPr>
          <w:lang w:val="en-US"/>
        </w:rPr>
        <w:t xml:space="preserve"> Ashworth &amp; Redmayne 2010, p. 195.</w:t>
      </w:r>
    </w:p>
  </w:footnote>
  <w:footnote w:id="120">
    <w:p w14:paraId="10511492" w14:textId="77777777" w:rsidR="00A7450F" w:rsidRPr="001C6ADA" w:rsidRDefault="00A7450F" w:rsidP="009946B1">
      <w:pPr>
        <w:pStyle w:val="Voetnoottekst"/>
        <w:rPr>
          <w:lang w:val="en-US"/>
        </w:rPr>
      </w:pPr>
      <w:r>
        <w:rPr>
          <w:rStyle w:val="Voetnootmarkering"/>
        </w:rPr>
        <w:footnoteRef/>
      </w:r>
      <w:r w:rsidRPr="001C6ADA">
        <w:rPr>
          <w:lang w:val="en-US"/>
        </w:rPr>
        <w:t xml:space="preserve"> Ormerod, Murphy &amp; Phillips 2015, p. 1314 en 1318.</w:t>
      </w:r>
    </w:p>
  </w:footnote>
  <w:footnote w:id="121">
    <w:p w14:paraId="1F4DCC39" w14:textId="77777777" w:rsidR="00A7450F" w:rsidRPr="00046845" w:rsidRDefault="00A7450F" w:rsidP="00EA7EF3">
      <w:pPr>
        <w:pStyle w:val="Voetnoottekst"/>
      </w:pPr>
      <w:r>
        <w:rPr>
          <w:rStyle w:val="Voetnootmarkering"/>
        </w:rPr>
        <w:footnoteRef/>
      </w:r>
      <w:r w:rsidRPr="00046845">
        <w:t xml:space="preserve"> Ashworth &amp; Redmayne 2010, p. 30.</w:t>
      </w:r>
    </w:p>
  </w:footnote>
  <w:footnote w:id="122">
    <w:p w14:paraId="06A062CE" w14:textId="3935DF98" w:rsidR="00A7450F" w:rsidRPr="00B826F8" w:rsidRDefault="00A7450F" w:rsidP="00EA7EF3">
      <w:pPr>
        <w:pStyle w:val="Voetnoottekst"/>
      </w:pPr>
      <w:r w:rsidRPr="00B826F8">
        <w:rPr>
          <w:rStyle w:val="Voetnootmarkering"/>
        </w:rPr>
        <w:footnoteRef/>
      </w:r>
      <w:r w:rsidRPr="00B826F8">
        <w:t xml:space="preserve"> Zie s. 1(1)(a) en s. 2(1) HRA: het betreft hier art</w:t>
      </w:r>
      <w:r w:rsidR="00E37F8B">
        <w:t>t</w:t>
      </w:r>
      <w:r w:rsidRPr="00B826F8">
        <w:t xml:space="preserve">. 2 t/m 12 en art. 14 EVRM en de jurisprudentie van het EHRM </w:t>
      </w:r>
      <w:r w:rsidR="00957907">
        <w:t>met betrekking tot</w:t>
      </w:r>
      <w:r w:rsidRPr="00B826F8">
        <w:t xml:space="preserve"> die rechten.</w:t>
      </w:r>
    </w:p>
  </w:footnote>
  <w:footnote w:id="123">
    <w:p w14:paraId="549A51C1" w14:textId="77777777" w:rsidR="00A7450F" w:rsidRDefault="00A7450F" w:rsidP="00C835BE">
      <w:pPr>
        <w:pStyle w:val="Voetnoottekst"/>
      </w:pPr>
      <w:r>
        <w:rPr>
          <w:rStyle w:val="Voetnootmarkering"/>
        </w:rPr>
        <w:footnoteRef/>
      </w:r>
      <w:r>
        <w:t xml:space="preserve"> Disclosure komt zowel voor in het strafrecht als in het civiele recht. Deze scriptie zich richt enkel op de strafrechtelijke variant.</w:t>
      </w:r>
    </w:p>
  </w:footnote>
  <w:footnote w:id="124">
    <w:p w14:paraId="3F3F3F17" w14:textId="77777777" w:rsidR="00A7450F" w:rsidRPr="00046845" w:rsidRDefault="00A7450F" w:rsidP="00C835BE">
      <w:pPr>
        <w:pStyle w:val="Voetnoottekst"/>
      </w:pPr>
      <w:r>
        <w:rPr>
          <w:rStyle w:val="Voetnootmarkering"/>
        </w:rPr>
        <w:footnoteRef/>
      </w:r>
      <w:r w:rsidRPr="00046845">
        <w:t xml:space="preserve"> Vgl. Brants &amp; Ringnalda 2011; </w:t>
      </w:r>
      <w:bookmarkStart w:id="9" w:name="_Hlk170294967"/>
      <w:r w:rsidRPr="00046845">
        <w:t>Jörg, Field &amp; Brants 1995.</w:t>
      </w:r>
      <w:bookmarkEnd w:id="9"/>
    </w:p>
  </w:footnote>
  <w:footnote w:id="125">
    <w:p w14:paraId="7864375C" w14:textId="77777777" w:rsidR="00A7450F" w:rsidRPr="00046845" w:rsidRDefault="00A7450F" w:rsidP="00C835BE">
      <w:pPr>
        <w:pStyle w:val="Voetnoottekst"/>
      </w:pPr>
      <w:r w:rsidRPr="00312159">
        <w:rPr>
          <w:rStyle w:val="Voetnootmarkering"/>
        </w:rPr>
        <w:footnoteRef/>
      </w:r>
      <w:r w:rsidRPr="00046845">
        <w:t xml:space="preserve"> Corker &amp; Parkinson 2009, p. 24.</w:t>
      </w:r>
    </w:p>
  </w:footnote>
  <w:footnote w:id="126">
    <w:p w14:paraId="6048AE51" w14:textId="7EF637F0" w:rsidR="00A7450F" w:rsidRDefault="00A7450F">
      <w:pPr>
        <w:pStyle w:val="Voetnoottekst"/>
      </w:pPr>
      <w:r>
        <w:rPr>
          <w:rStyle w:val="Voetnootmarkering"/>
        </w:rPr>
        <w:footnoteRef/>
      </w:r>
      <w:r>
        <w:t xml:space="preserve"> </w:t>
      </w:r>
      <w:r w:rsidRPr="00647DA2">
        <w:t>De CPR is een procesreglement voor alle strafzaken in Engeland &amp; Wales</w:t>
      </w:r>
      <w:r w:rsidR="009233EA">
        <w:t>.</w:t>
      </w:r>
    </w:p>
  </w:footnote>
  <w:footnote w:id="127">
    <w:p w14:paraId="37ACB4BD" w14:textId="77777777" w:rsidR="00A7450F" w:rsidRPr="00046845" w:rsidRDefault="00A7450F" w:rsidP="00C835BE">
      <w:pPr>
        <w:pStyle w:val="Voetnoottekst"/>
        <w:rPr>
          <w:lang w:val="en-US"/>
        </w:rPr>
      </w:pPr>
      <w:r>
        <w:rPr>
          <w:rStyle w:val="Voetnootmarkering"/>
        </w:rPr>
        <w:footnoteRef/>
      </w:r>
      <w:r w:rsidRPr="00046845">
        <w:rPr>
          <w:lang w:val="en-US"/>
        </w:rPr>
        <w:t xml:space="preserve"> Een voorbeeld daarvan is het Protocol on Disclosure of Information between Family and Criminal Agencies and Jurisdictions.</w:t>
      </w:r>
    </w:p>
  </w:footnote>
  <w:footnote w:id="128">
    <w:p w14:paraId="788C7BE8" w14:textId="77777777" w:rsidR="005A0834" w:rsidRPr="00046845" w:rsidRDefault="005A0834" w:rsidP="005A0834">
      <w:pPr>
        <w:pStyle w:val="Voetnoottekst"/>
        <w:rPr>
          <w:lang w:val="en-US"/>
        </w:rPr>
      </w:pPr>
      <w:r>
        <w:rPr>
          <w:rStyle w:val="Voetnootmarkering"/>
        </w:rPr>
        <w:footnoteRef/>
      </w:r>
      <w:r w:rsidRPr="00046845">
        <w:rPr>
          <w:lang w:val="en-US"/>
        </w:rPr>
        <w:t xml:space="preserve"> Zie bijv. de HSE Enforcement Guide en de Judicial Protocol on the Disclosure of Unused Material in Criminal Cases.</w:t>
      </w:r>
    </w:p>
  </w:footnote>
  <w:footnote w:id="129">
    <w:p w14:paraId="6B6A858F" w14:textId="6C1FE73D" w:rsidR="00A7450F" w:rsidRDefault="00A7450F">
      <w:pPr>
        <w:pStyle w:val="Voetnoottekst"/>
      </w:pPr>
      <w:r>
        <w:rPr>
          <w:rStyle w:val="Voetnootmarkering"/>
        </w:rPr>
        <w:footnoteRef/>
      </w:r>
      <w:r>
        <w:t xml:space="preserve"> De Criminal Practice Directions is een wettelijk document dat verdere regels geeft over het strafproces en de CPR aanvult. De Criminal Practice Directions geeft geen regels over disclosure en komt in deze scriptie derhalve verder niet aan bod.</w:t>
      </w:r>
    </w:p>
  </w:footnote>
  <w:footnote w:id="130">
    <w:p w14:paraId="1AB83D8D" w14:textId="77777777" w:rsidR="00A7450F" w:rsidRPr="001C6ADA" w:rsidRDefault="00A7450F" w:rsidP="00C835BE">
      <w:pPr>
        <w:pStyle w:val="Voetnoottekst"/>
        <w:rPr>
          <w:lang w:val="en-US"/>
        </w:rPr>
      </w:pPr>
      <w:r>
        <w:rPr>
          <w:rStyle w:val="Voetnootmarkering"/>
        </w:rPr>
        <w:footnoteRef/>
      </w:r>
      <w:r w:rsidRPr="001C6ADA">
        <w:rPr>
          <w:lang w:val="en-US"/>
        </w:rPr>
        <w:t xml:space="preserve"> Zie art. 6.3.4 Criminal Practice Directions.</w:t>
      </w:r>
    </w:p>
  </w:footnote>
  <w:footnote w:id="131">
    <w:p w14:paraId="291E11C8" w14:textId="77777777" w:rsidR="00A7450F" w:rsidRDefault="00A7450F" w:rsidP="00C835BE">
      <w:pPr>
        <w:pStyle w:val="Voetnoottekst"/>
      </w:pPr>
      <w:r>
        <w:rPr>
          <w:rStyle w:val="Voetnootmarkering"/>
        </w:rPr>
        <w:footnoteRef/>
      </w:r>
      <w:r>
        <w:t xml:space="preserve"> De CPS Disclosure Manual werd voorheen uitgegeven als document, maar de meest recente versie (2022) is slechts per hoofdstuk online raadpleegbaar via </w:t>
      </w:r>
      <w:r w:rsidRPr="002A4BAC">
        <w:t>https://www.cps.gov.uk/legal-guidance/disclosure-manual</w:t>
      </w:r>
      <w:r>
        <w:t>. Daarom zal in deze scriptie telkens naar een hoofdstuk van de CPS Disclosure Manual worden verwezen.</w:t>
      </w:r>
    </w:p>
  </w:footnote>
  <w:footnote w:id="132">
    <w:p w14:paraId="019CEB0B" w14:textId="77777777" w:rsidR="00A7450F" w:rsidRPr="001C6ADA" w:rsidRDefault="00A7450F" w:rsidP="00C835BE">
      <w:pPr>
        <w:pStyle w:val="Voetnoottekst"/>
        <w:rPr>
          <w:lang w:val="en-US"/>
        </w:rPr>
      </w:pPr>
      <w:r>
        <w:rPr>
          <w:rStyle w:val="Voetnootmarkering"/>
        </w:rPr>
        <w:footnoteRef/>
      </w:r>
      <w:r w:rsidRPr="001C6ADA">
        <w:rPr>
          <w:lang w:val="en-US"/>
        </w:rPr>
        <w:t xml:space="preserve"> Corker &amp; Parkinson 2009, p. 25.</w:t>
      </w:r>
    </w:p>
  </w:footnote>
  <w:footnote w:id="133">
    <w:p w14:paraId="7BF1C01C" w14:textId="77777777" w:rsidR="00A7450F" w:rsidRPr="001C6ADA" w:rsidRDefault="00A7450F" w:rsidP="00C835BE">
      <w:pPr>
        <w:pStyle w:val="Voetnoottekst"/>
        <w:rPr>
          <w:lang w:val="en-US"/>
        </w:rPr>
      </w:pPr>
      <w:r w:rsidRPr="00312159">
        <w:rPr>
          <w:rStyle w:val="Voetnootmarkering"/>
        </w:rPr>
        <w:footnoteRef/>
      </w:r>
      <w:r w:rsidRPr="001C6ADA">
        <w:rPr>
          <w:lang w:val="en-US"/>
        </w:rPr>
        <w:t xml:space="preserve"> Auld 2001, p. 445-446.</w:t>
      </w:r>
    </w:p>
  </w:footnote>
  <w:footnote w:id="134">
    <w:p w14:paraId="0463FE71" w14:textId="77777777" w:rsidR="00A7450F" w:rsidRPr="001C6ADA" w:rsidRDefault="00A7450F" w:rsidP="00C835BE">
      <w:pPr>
        <w:pStyle w:val="Voetnoottekst"/>
        <w:rPr>
          <w:lang w:val="en-US"/>
        </w:rPr>
      </w:pPr>
      <w:r>
        <w:rPr>
          <w:rStyle w:val="Voetnootmarkering"/>
        </w:rPr>
        <w:footnoteRef/>
      </w:r>
      <w:r w:rsidRPr="001C6ADA">
        <w:rPr>
          <w:lang w:val="en-US"/>
        </w:rPr>
        <w:t xml:space="preserve"> Mason 2007, p. 256.</w:t>
      </w:r>
    </w:p>
  </w:footnote>
  <w:footnote w:id="135">
    <w:p w14:paraId="0B24F545" w14:textId="77777777" w:rsidR="00A7450F" w:rsidRPr="001C6ADA" w:rsidRDefault="00A7450F" w:rsidP="00C835BE">
      <w:pPr>
        <w:pStyle w:val="Voetnoottekst"/>
        <w:rPr>
          <w:lang w:val="en-US"/>
        </w:rPr>
      </w:pPr>
      <w:r>
        <w:rPr>
          <w:rStyle w:val="Voetnootmarkering"/>
        </w:rPr>
        <w:footnoteRef/>
      </w:r>
      <w:r w:rsidRPr="001C6ADA">
        <w:rPr>
          <w:lang w:val="en-US"/>
        </w:rPr>
        <w:t xml:space="preserve"> Corker &amp; Parkinson 2009, p. 65.</w:t>
      </w:r>
    </w:p>
  </w:footnote>
  <w:footnote w:id="136">
    <w:p w14:paraId="23E1FEBB" w14:textId="77777777" w:rsidR="00A7450F" w:rsidRDefault="00A7450F" w:rsidP="00C835BE">
      <w:pPr>
        <w:pStyle w:val="Voetnoottekst"/>
      </w:pPr>
      <w:r>
        <w:rPr>
          <w:rStyle w:val="Voetnootmarkering"/>
        </w:rPr>
        <w:footnoteRef/>
      </w:r>
      <w:r>
        <w:t xml:space="preserve"> Hungerford-Welch 2019, p. 90.</w:t>
      </w:r>
    </w:p>
  </w:footnote>
  <w:footnote w:id="137">
    <w:p w14:paraId="2FF61B49" w14:textId="6D7DA4B8" w:rsidR="00A7450F" w:rsidRDefault="00A7450F" w:rsidP="00C835BE">
      <w:pPr>
        <w:pStyle w:val="Voetnoottekst"/>
      </w:pPr>
      <w:r>
        <w:rPr>
          <w:rStyle w:val="Voetnootmarkering"/>
        </w:rPr>
        <w:footnoteRef/>
      </w:r>
      <w:r>
        <w:t xml:space="preserve"> </w:t>
      </w:r>
      <w:r w:rsidRPr="00E73705">
        <w:t>EHRM 16 februari 2000, ECLI:CE:ECHR:2000:0216JUD002890195 (</w:t>
      </w:r>
      <w:r w:rsidRPr="00E73705">
        <w:rPr>
          <w:i/>
          <w:iCs/>
        </w:rPr>
        <w:t>Rowe en Davis/Verenigd Koninkrijk</w:t>
      </w:r>
      <w:r w:rsidRPr="00E73705">
        <w:t>)</w:t>
      </w:r>
      <w:r w:rsidR="006920AA">
        <w:t>.</w:t>
      </w:r>
    </w:p>
  </w:footnote>
  <w:footnote w:id="138">
    <w:p w14:paraId="251ACC8A" w14:textId="7D1C9065" w:rsidR="00A7450F" w:rsidRDefault="00A7450F">
      <w:pPr>
        <w:pStyle w:val="Voetnoottekst"/>
      </w:pPr>
      <w:r>
        <w:rPr>
          <w:rStyle w:val="Voetnootmarkering"/>
        </w:rPr>
        <w:footnoteRef/>
      </w:r>
      <w:r>
        <w:t xml:space="preserve"> Tot 1998 moesten zaken eerst langs de Europese Commissie voor de Rechten van de Mens (ECRM) voordat deze bij het EHRM konden worden behandeld.</w:t>
      </w:r>
    </w:p>
  </w:footnote>
  <w:footnote w:id="139">
    <w:p w14:paraId="0F8180B6" w14:textId="27A77BEE" w:rsidR="00A7450F" w:rsidRPr="001C6ADA" w:rsidRDefault="00A7450F" w:rsidP="00C835BE">
      <w:pPr>
        <w:pStyle w:val="Voetnoottekst"/>
        <w:rPr>
          <w:lang w:val="en-US"/>
        </w:rPr>
      </w:pPr>
      <w:r>
        <w:rPr>
          <w:rStyle w:val="Voetnootmarkering"/>
        </w:rPr>
        <w:footnoteRef/>
      </w:r>
      <w:r w:rsidRPr="001C6ADA">
        <w:rPr>
          <w:lang w:val="en-US"/>
        </w:rPr>
        <w:t xml:space="preserve"> </w:t>
      </w:r>
      <w:r w:rsidRPr="0039148E">
        <w:rPr>
          <w:lang w:val="en-US"/>
        </w:rPr>
        <w:t>ECRM 14 december</w:t>
      </w:r>
      <w:r w:rsidRPr="001C6ADA">
        <w:rPr>
          <w:lang w:val="en-US"/>
        </w:rPr>
        <w:t xml:space="preserve"> 1981, ECLI:CE:ECHR:1981:1214REP000840378, par. 56 (</w:t>
      </w:r>
      <w:r w:rsidRPr="001C6ADA">
        <w:rPr>
          <w:i/>
          <w:iCs/>
          <w:lang w:val="en-US"/>
        </w:rPr>
        <w:t>Jespers/België</w:t>
      </w:r>
      <w:r w:rsidRPr="001C6ADA">
        <w:rPr>
          <w:lang w:val="en-US"/>
        </w:rPr>
        <w:t>).</w:t>
      </w:r>
    </w:p>
  </w:footnote>
  <w:footnote w:id="140">
    <w:p w14:paraId="76337AA4" w14:textId="77777777" w:rsidR="00A7450F" w:rsidRPr="001C6ADA" w:rsidRDefault="00A7450F" w:rsidP="00C835BE">
      <w:pPr>
        <w:pStyle w:val="Voetnoottekst"/>
        <w:rPr>
          <w:lang w:val="en-US"/>
        </w:rPr>
      </w:pPr>
      <w:r>
        <w:rPr>
          <w:rStyle w:val="Voetnootmarkering"/>
        </w:rPr>
        <w:footnoteRef/>
      </w:r>
      <w:r w:rsidRPr="001C6ADA">
        <w:rPr>
          <w:lang w:val="en-US"/>
        </w:rPr>
        <w:t xml:space="preserve"> </w:t>
      </w:r>
      <w:bookmarkStart w:id="10" w:name="_Hlk167532374"/>
      <w:r w:rsidRPr="001C6ADA">
        <w:rPr>
          <w:lang w:val="en-US"/>
        </w:rPr>
        <w:t>Surinder Singh Kanda v The Government of the Federation of Malaya [1962] UKPC 10.</w:t>
      </w:r>
    </w:p>
    <w:bookmarkEnd w:id="10"/>
  </w:footnote>
  <w:footnote w:id="141">
    <w:p w14:paraId="2FF4CC15" w14:textId="77777777" w:rsidR="00A7450F" w:rsidRPr="001C6ADA" w:rsidRDefault="00A7450F" w:rsidP="00C835BE">
      <w:pPr>
        <w:pStyle w:val="Voetnoottekst"/>
        <w:rPr>
          <w:lang w:val="en-US"/>
        </w:rPr>
      </w:pPr>
      <w:r>
        <w:rPr>
          <w:rStyle w:val="Voetnootmarkering"/>
        </w:rPr>
        <w:footnoteRef/>
      </w:r>
      <w:r w:rsidRPr="001C6ADA">
        <w:rPr>
          <w:lang w:val="en-US"/>
        </w:rPr>
        <w:t xml:space="preserve"> </w:t>
      </w:r>
      <w:bookmarkStart w:id="11" w:name="_Hlk167531690"/>
      <w:r w:rsidRPr="001C6ADA">
        <w:rPr>
          <w:lang w:val="en-US"/>
        </w:rPr>
        <w:t>R v Her Majesty’s Coroner for Hammersmith ex p Peach [1980] QB 211</w:t>
      </w:r>
      <w:bookmarkEnd w:id="11"/>
      <w:r w:rsidRPr="001C6ADA">
        <w:rPr>
          <w:lang w:val="en-US"/>
        </w:rPr>
        <w:t xml:space="preserve">; </w:t>
      </w:r>
      <w:bookmarkStart w:id="12" w:name="_Hlk167531711"/>
      <w:r w:rsidRPr="001C6ADA">
        <w:rPr>
          <w:lang w:val="en-US"/>
        </w:rPr>
        <w:t>R (on the application of Cleary) v</w:t>
      </w:r>
      <w:r>
        <w:rPr>
          <w:lang w:val="en-US"/>
        </w:rPr>
        <w:t xml:space="preserve"> </w:t>
      </w:r>
      <w:r w:rsidRPr="001C6ADA">
        <w:rPr>
          <w:lang w:val="en-US"/>
        </w:rPr>
        <w:t>Highbury Corner Magistrates Court [2006] EWHC 1869</w:t>
      </w:r>
      <w:bookmarkEnd w:id="12"/>
      <w:r w:rsidRPr="001C6ADA">
        <w:rPr>
          <w:lang w:val="en-US"/>
        </w:rPr>
        <w:t>, [23].</w:t>
      </w:r>
    </w:p>
  </w:footnote>
  <w:footnote w:id="142">
    <w:p w14:paraId="5D4607AF" w14:textId="77777777" w:rsidR="00A7450F" w:rsidRPr="001C6ADA" w:rsidRDefault="00A7450F" w:rsidP="00C835BE">
      <w:pPr>
        <w:pStyle w:val="Voetnoottekst"/>
        <w:rPr>
          <w:lang w:val="en-US"/>
        </w:rPr>
      </w:pPr>
      <w:r>
        <w:rPr>
          <w:rStyle w:val="Voetnootmarkering"/>
        </w:rPr>
        <w:footnoteRef/>
      </w:r>
      <w:r w:rsidRPr="001C6ADA">
        <w:rPr>
          <w:lang w:val="en-US"/>
        </w:rPr>
        <w:t xml:space="preserve"> R v Stratford Justices ex p Imbert [1999] 2 Cr APP 276.</w:t>
      </w:r>
    </w:p>
  </w:footnote>
  <w:footnote w:id="143">
    <w:p w14:paraId="62A1BE68" w14:textId="24D5F0E3" w:rsidR="00A7450F" w:rsidRDefault="00A7450F" w:rsidP="00C835BE">
      <w:pPr>
        <w:pStyle w:val="Voetnoottekst"/>
      </w:pPr>
      <w:r>
        <w:rPr>
          <w:rStyle w:val="Voetnootmarkering"/>
        </w:rPr>
        <w:footnoteRef/>
      </w:r>
      <w:r>
        <w:t xml:space="preserve"> Bij </w:t>
      </w:r>
      <w:r w:rsidRPr="00B6450D">
        <w:rPr>
          <w:i/>
          <w:iCs/>
        </w:rPr>
        <w:t>committal proceeding</w:t>
      </w:r>
      <w:r w:rsidR="00E42149">
        <w:rPr>
          <w:i/>
          <w:iCs/>
        </w:rPr>
        <w:t>s</w:t>
      </w:r>
      <w:r>
        <w:t xml:space="preserve"> wordt in het magistrates’ court beoordeeld of de zaak dient te worden behandeld met een trial in het Crown Court.</w:t>
      </w:r>
    </w:p>
  </w:footnote>
  <w:footnote w:id="144">
    <w:p w14:paraId="721282F4" w14:textId="77777777" w:rsidR="00A7450F" w:rsidRPr="001C6ADA" w:rsidRDefault="00A7450F" w:rsidP="00C835BE">
      <w:pPr>
        <w:pStyle w:val="Voetnoottekst"/>
        <w:rPr>
          <w:lang w:val="en-US"/>
        </w:rPr>
      </w:pPr>
      <w:r>
        <w:rPr>
          <w:rStyle w:val="Voetnootmarkering"/>
        </w:rPr>
        <w:footnoteRef/>
      </w:r>
      <w:r w:rsidRPr="001C6ADA">
        <w:rPr>
          <w:lang w:val="en-US"/>
        </w:rPr>
        <w:t xml:space="preserve"> Corker &amp; Parkinson 2009, p. 68.</w:t>
      </w:r>
    </w:p>
  </w:footnote>
  <w:footnote w:id="145">
    <w:p w14:paraId="4B36CF6A" w14:textId="77777777" w:rsidR="00A7450F" w:rsidRPr="001C6ADA" w:rsidRDefault="00A7450F" w:rsidP="00C835BE">
      <w:pPr>
        <w:pStyle w:val="Voetnoottekst"/>
        <w:rPr>
          <w:lang w:val="en-US"/>
        </w:rPr>
      </w:pPr>
      <w:r>
        <w:rPr>
          <w:rStyle w:val="Voetnootmarkering"/>
        </w:rPr>
        <w:footnoteRef/>
      </w:r>
      <w:r w:rsidRPr="001C6ADA">
        <w:rPr>
          <w:lang w:val="en-US"/>
        </w:rPr>
        <w:t xml:space="preserve"> R v Epping and Harlow Justices ex p Massaro [1973] QB 433.</w:t>
      </w:r>
    </w:p>
  </w:footnote>
  <w:footnote w:id="146">
    <w:p w14:paraId="10BFEA41" w14:textId="77777777" w:rsidR="00A7450F" w:rsidRPr="001C6ADA" w:rsidRDefault="00A7450F" w:rsidP="00C835BE">
      <w:pPr>
        <w:pStyle w:val="Voetnoottekst"/>
        <w:rPr>
          <w:lang w:val="en-US"/>
        </w:rPr>
      </w:pPr>
      <w:r>
        <w:rPr>
          <w:rStyle w:val="Voetnootmarkering"/>
        </w:rPr>
        <w:footnoteRef/>
      </w:r>
      <w:r w:rsidRPr="001C6ADA">
        <w:rPr>
          <w:lang w:val="en-US"/>
        </w:rPr>
        <w:t xml:space="preserve"> Wilkinson v Crown Prosecution Service [1998] Crim LR 743.</w:t>
      </w:r>
    </w:p>
  </w:footnote>
  <w:footnote w:id="147">
    <w:p w14:paraId="2D8A83CD" w14:textId="77777777" w:rsidR="00A7450F" w:rsidRDefault="00A7450F" w:rsidP="00C835BE">
      <w:pPr>
        <w:pStyle w:val="Voetnoottekst"/>
      </w:pPr>
      <w:r>
        <w:rPr>
          <w:rStyle w:val="Voetnootmarkering"/>
        </w:rPr>
        <w:footnoteRef/>
      </w:r>
      <w:r>
        <w:t xml:space="preserve"> Een hoge uitzondering hierop vormt de </w:t>
      </w:r>
      <w:r w:rsidRPr="0066778D">
        <w:rPr>
          <w:i/>
          <w:iCs/>
        </w:rPr>
        <w:t>voluntary bill of indictment</w:t>
      </w:r>
      <w:r>
        <w:t>, die middels een procedure bij het High Court of Justice kan worden verkregen.</w:t>
      </w:r>
    </w:p>
  </w:footnote>
  <w:footnote w:id="148">
    <w:p w14:paraId="35EF0E30" w14:textId="77777777" w:rsidR="00A7450F" w:rsidRPr="001C6ADA" w:rsidRDefault="00A7450F" w:rsidP="00C835BE">
      <w:pPr>
        <w:pStyle w:val="Voetnoottekst"/>
        <w:rPr>
          <w:lang w:val="en-US"/>
        </w:rPr>
      </w:pPr>
      <w:r>
        <w:rPr>
          <w:rStyle w:val="Voetnootmarkering"/>
        </w:rPr>
        <w:footnoteRef/>
      </w:r>
      <w:r w:rsidRPr="001C6ADA">
        <w:rPr>
          <w:lang w:val="en-US"/>
        </w:rPr>
        <w:t xml:space="preserve"> Zie art. 2 Crime and Disorder Act (Service of Prosecution Evidence) Regulations 2005, SI 2005/902.</w:t>
      </w:r>
    </w:p>
  </w:footnote>
  <w:footnote w:id="149">
    <w:p w14:paraId="2F00228D" w14:textId="77777777" w:rsidR="00A7450F" w:rsidRPr="001C6ADA" w:rsidRDefault="00A7450F" w:rsidP="00C835BE">
      <w:pPr>
        <w:pStyle w:val="Voetnoottekst"/>
        <w:rPr>
          <w:lang w:val="en-US"/>
        </w:rPr>
      </w:pPr>
      <w:r>
        <w:rPr>
          <w:rStyle w:val="Voetnootmarkering"/>
        </w:rPr>
        <w:footnoteRef/>
      </w:r>
      <w:r w:rsidRPr="001C6ADA">
        <w:rPr>
          <w:lang w:val="en-US"/>
        </w:rPr>
        <w:t xml:space="preserve"> CPIA Code of Practice, punt 3.1.</w:t>
      </w:r>
    </w:p>
  </w:footnote>
  <w:footnote w:id="150">
    <w:p w14:paraId="333A5044" w14:textId="77777777" w:rsidR="00A7450F" w:rsidRPr="001C6ADA" w:rsidRDefault="00A7450F" w:rsidP="00C835BE">
      <w:pPr>
        <w:pStyle w:val="Voetnoottekst"/>
        <w:rPr>
          <w:lang w:val="en-US"/>
        </w:rPr>
      </w:pPr>
      <w:r>
        <w:rPr>
          <w:rStyle w:val="Voetnootmarkering"/>
        </w:rPr>
        <w:footnoteRef/>
      </w:r>
      <w:r w:rsidRPr="001C6ADA">
        <w:rPr>
          <w:lang w:val="en-US"/>
        </w:rPr>
        <w:t xml:space="preserve"> CPS Disclosure Manual, hoofdstuk 4.</w:t>
      </w:r>
    </w:p>
  </w:footnote>
  <w:footnote w:id="151">
    <w:p w14:paraId="5F2620C2" w14:textId="77777777" w:rsidR="00A7450F" w:rsidRPr="001C6ADA" w:rsidRDefault="00A7450F" w:rsidP="00C835BE">
      <w:pPr>
        <w:pStyle w:val="Voetnoottekst"/>
        <w:rPr>
          <w:lang w:val="en-US"/>
        </w:rPr>
      </w:pPr>
      <w:r>
        <w:rPr>
          <w:rStyle w:val="Voetnootmarkering"/>
        </w:rPr>
        <w:footnoteRef/>
      </w:r>
      <w:r w:rsidRPr="001C6ADA">
        <w:rPr>
          <w:lang w:val="en-US"/>
        </w:rPr>
        <w:t xml:space="preserve"> CPIA Code of Practice, punt 3.5.</w:t>
      </w:r>
    </w:p>
  </w:footnote>
  <w:footnote w:id="152">
    <w:p w14:paraId="54C3AD6F" w14:textId="77777777" w:rsidR="00A7450F" w:rsidRPr="001C6ADA" w:rsidRDefault="00A7450F" w:rsidP="00C835BE">
      <w:pPr>
        <w:pStyle w:val="Voetnoottekst"/>
        <w:rPr>
          <w:lang w:val="en-US"/>
        </w:rPr>
      </w:pPr>
      <w:r>
        <w:rPr>
          <w:rStyle w:val="Voetnootmarkering"/>
        </w:rPr>
        <w:footnoteRef/>
      </w:r>
      <w:r w:rsidRPr="001C6ADA">
        <w:rPr>
          <w:lang w:val="en-US"/>
        </w:rPr>
        <w:t xml:space="preserve"> R v Bater-James [2020] EWCA Crim 790, [77].</w:t>
      </w:r>
    </w:p>
  </w:footnote>
  <w:footnote w:id="153">
    <w:p w14:paraId="71E157EF" w14:textId="77777777" w:rsidR="00A7450F" w:rsidRPr="001C6ADA" w:rsidRDefault="00A7450F" w:rsidP="00C835BE">
      <w:pPr>
        <w:pStyle w:val="Voetnoottekst"/>
        <w:rPr>
          <w:lang w:val="en-US"/>
        </w:rPr>
      </w:pPr>
      <w:r w:rsidRPr="6DD5D278">
        <w:rPr>
          <w:rStyle w:val="Voetnootmarkering"/>
        </w:rPr>
        <w:footnoteRef/>
      </w:r>
      <w:r w:rsidRPr="001C6ADA">
        <w:rPr>
          <w:lang w:val="en-US"/>
        </w:rPr>
        <w:t xml:space="preserve"> R v Bater-James [2020] EWCA Crim 790, [88].</w:t>
      </w:r>
    </w:p>
  </w:footnote>
  <w:footnote w:id="154">
    <w:p w14:paraId="6CF75924" w14:textId="77777777" w:rsidR="00A7450F" w:rsidRPr="001C6ADA" w:rsidRDefault="00A7450F" w:rsidP="00C835BE">
      <w:pPr>
        <w:pStyle w:val="Voetnoottekst"/>
        <w:rPr>
          <w:lang w:val="en-US"/>
        </w:rPr>
      </w:pPr>
      <w:r>
        <w:rPr>
          <w:rStyle w:val="Voetnootmarkering"/>
        </w:rPr>
        <w:footnoteRef/>
      </w:r>
      <w:r w:rsidRPr="001C6ADA">
        <w:rPr>
          <w:lang w:val="en-US"/>
        </w:rPr>
        <w:t xml:space="preserve"> CPIA Code of Practice, punt 4.1.</w:t>
      </w:r>
    </w:p>
  </w:footnote>
  <w:footnote w:id="155">
    <w:p w14:paraId="6823BAE1" w14:textId="77777777" w:rsidR="00A7450F" w:rsidRPr="001C6ADA" w:rsidRDefault="00A7450F" w:rsidP="00C835BE">
      <w:pPr>
        <w:pStyle w:val="Voetnoottekst"/>
        <w:rPr>
          <w:lang w:val="en-US"/>
        </w:rPr>
      </w:pPr>
      <w:r w:rsidRPr="6DD5D278">
        <w:rPr>
          <w:rStyle w:val="Voetnootmarkering"/>
        </w:rPr>
        <w:footnoteRef/>
      </w:r>
      <w:r w:rsidRPr="001C6ADA">
        <w:rPr>
          <w:lang w:val="en-US"/>
        </w:rPr>
        <w:t xml:space="preserve"> CPIA Code of Practice, punt 5.7-5.8.</w:t>
      </w:r>
    </w:p>
  </w:footnote>
  <w:footnote w:id="156">
    <w:p w14:paraId="3DC52CDE" w14:textId="77777777" w:rsidR="00A7450F" w:rsidRPr="001C6ADA" w:rsidRDefault="00A7450F" w:rsidP="00C835BE">
      <w:pPr>
        <w:pStyle w:val="Voetnoottekst"/>
        <w:rPr>
          <w:lang w:val="en-US"/>
        </w:rPr>
      </w:pPr>
      <w:r>
        <w:rPr>
          <w:rStyle w:val="Voetnootmarkering"/>
        </w:rPr>
        <w:footnoteRef/>
      </w:r>
      <w:r w:rsidRPr="001C6ADA">
        <w:rPr>
          <w:lang w:val="en-US"/>
        </w:rPr>
        <w:t xml:space="preserve"> CPS Disclosure Manual, hoofdstuk 4.</w:t>
      </w:r>
    </w:p>
  </w:footnote>
  <w:footnote w:id="157">
    <w:p w14:paraId="50572666" w14:textId="77777777" w:rsidR="00A7450F" w:rsidRPr="001C6ADA" w:rsidRDefault="00A7450F" w:rsidP="00C835BE">
      <w:pPr>
        <w:pStyle w:val="Voetnoottekst"/>
        <w:rPr>
          <w:lang w:val="en-US"/>
        </w:rPr>
      </w:pPr>
      <w:r>
        <w:rPr>
          <w:rStyle w:val="Voetnootmarkering"/>
        </w:rPr>
        <w:footnoteRef/>
      </w:r>
      <w:r w:rsidRPr="001C6ADA">
        <w:rPr>
          <w:lang w:val="en-US"/>
        </w:rPr>
        <w:t xml:space="preserve"> CPIA Code of Practice, punt 6.1-6.4.</w:t>
      </w:r>
    </w:p>
  </w:footnote>
  <w:footnote w:id="158">
    <w:p w14:paraId="3A690A85" w14:textId="77777777" w:rsidR="00A7450F" w:rsidRPr="001C6ADA" w:rsidRDefault="00A7450F" w:rsidP="00C835BE">
      <w:pPr>
        <w:pStyle w:val="Voetnoottekst"/>
        <w:rPr>
          <w:lang w:val="en-US"/>
        </w:rPr>
      </w:pPr>
      <w:r>
        <w:rPr>
          <w:rStyle w:val="Voetnootmarkering"/>
        </w:rPr>
        <w:footnoteRef/>
      </w:r>
      <w:r w:rsidRPr="001C6ADA">
        <w:rPr>
          <w:lang w:val="en-US"/>
        </w:rPr>
        <w:t xml:space="preserve"> CPIA Code of Practice, punt 6.7-6.14.</w:t>
      </w:r>
    </w:p>
  </w:footnote>
  <w:footnote w:id="159">
    <w:p w14:paraId="6AC566A2" w14:textId="77777777" w:rsidR="00A7450F" w:rsidRPr="001C6ADA" w:rsidRDefault="00A7450F" w:rsidP="00C835BE">
      <w:pPr>
        <w:pStyle w:val="Voetnoottekst"/>
        <w:rPr>
          <w:lang w:val="en-US"/>
        </w:rPr>
      </w:pPr>
      <w:r w:rsidRPr="6DD5D278">
        <w:rPr>
          <w:rStyle w:val="Voetnootmarkering"/>
        </w:rPr>
        <w:footnoteRef/>
      </w:r>
      <w:r w:rsidRPr="001C6ADA">
        <w:rPr>
          <w:lang w:val="en-US"/>
        </w:rPr>
        <w:t xml:space="preserve"> CPIA Code of Practice, punt 7.1-7.7.</w:t>
      </w:r>
    </w:p>
  </w:footnote>
  <w:footnote w:id="160">
    <w:p w14:paraId="31FF3848" w14:textId="77777777" w:rsidR="00A7450F" w:rsidRPr="001C6ADA" w:rsidRDefault="00A7450F" w:rsidP="00C835BE">
      <w:pPr>
        <w:pStyle w:val="Voetnoottekst"/>
        <w:rPr>
          <w:lang w:val="en-US"/>
        </w:rPr>
      </w:pPr>
      <w:r w:rsidRPr="00312159">
        <w:rPr>
          <w:rStyle w:val="Voetnootmarkering"/>
        </w:rPr>
        <w:footnoteRef/>
      </w:r>
      <w:r w:rsidRPr="001C6ADA">
        <w:rPr>
          <w:lang w:val="en-US"/>
        </w:rPr>
        <w:t xml:space="preserve"> R v Olu [2010] EWCA Crim 2975, [42]; R v Malook [2011] EWCA Crim 254.</w:t>
      </w:r>
    </w:p>
  </w:footnote>
  <w:footnote w:id="161">
    <w:p w14:paraId="271EFD7F" w14:textId="77777777" w:rsidR="00A7450F" w:rsidRPr="001C6ADA" w:rsidRDefault="00A7450F" w:rsidP="00C835BE">
      <w:pPr>
        <w:pStyle w:val="Voetnoottekst"/>
        <w:rPr>
          <w:lang w:val="en-US"/>
        </w:rPr>
      </w:pPr>
      <w:r w:rsidRPr="00312159">
        <w:rPr>
          <w:rStyle w:val="Voetnootmarkering"/>
        </w:rPr>
        <w:footnoteRef/>
      </w:r>
      <w:r w:rsidRPr="001C6ADA">
        <w:rPr>
          <w:lang w:val="en-US"/>
        </w:rPr>
        <w:t xml:space="preserve"> CPS Disclosure Manual, hoofdstuk 12.</w:t>
      </w:r>
    </w:p>
  </w:footnote>
  <w:footnote w:id="162">
    <w:p w14:paraId="6AEFB4B8" w14:textId="77777777" w:rsidR="00A7450F" w:rsidRPr="001C6ADA" w:rsidRDefault="00A7450F" w:rsidP="00C835BE">
      <w:pPr>
        <w:pStyle w:val="Voetnoottekst"/>
        <w:rPr>
          <w:lang w:val="en-US"/>
        </w:rPr>
      </w:pPr>
      <w:r w:rsidRPr="00312159">
        <w:rPr>
          <w:rStyle w:val="Voetnootmarkering"/>
        </w:rPr>
        <w:footnoteRef/>
      </w:r>
      <w:r w:rsidRPr="001C6ADA">
        <w:rPr>
          <w:lang w:val="en-US"/>
        </w:rPr>
        <w:t xml:space="preserve"> Art. 10.4 CPIA Code of Practice.</w:t>
      </w:r>
    </w:p>
  </w:footnote>
  <w:footnote w:id="163">
    <w:p w14:paraId="08F4F0E8" w14:textId="77777777" w:rsidR="00A7450F" w:rsidRPr="001C6ADA" w:rsidRDefault="00A7450F" w:rsidP="00C835BE">
      <w:pPr>
        <w:pStyle w:val="Voetnoottekst"/>
        <w:rPr>
          <w:lang w:val="en-US"/>
        </w:rPr>
      </w:pPr>
      <w:r w:rsidRPr="00312159">
        <w:rPr>
          <w:rStyle w:val="Voetnootmarkering"/>
        </w:rPr>
        <w:footnoteRef/>
      </w:r>
      <w:r w:rsidRPr="001C6ADA">
        <w:rPr>
          <w:lang w:val="en-US"/>
        </w:rPr>
        <w:t xml:space="preserve"> R v Makin [2004] EWCA Crim 1607.</w:t>
      </w:r>
    </w:p>
  </w:footnote>
  <w:footnote w:id="164">
    <w:p w14:paraId="37CAA3B6" w14:textId="1236A8BD" w:rsidR="00A7450F" w:rsidRPr="00046845" w:rsidRDefault="00A7450F" w:rsidP="41859A08">
      <w:pPr>
        <w:pStyle w:val="Voetnoottekst"/>
        <w:rPr>
          <w:color w:val="000000" w:themeColor="text1"/>
        </w:rPr>
      </w:pPr>
      <w:r>
        <w:rPr>
          <w:rStyle w:val="Voetnootmarkering"/>
        </w:rPr>
        <w:footnoteRef/>
      </w:r>
      <w:r>
        <w:rPr>
          <w:lang w:val="en-US"/>
        </w:rPr>
        <w:t xml:space="preserve"> R v A </w:t>
      </w:r>
      <w:r w:rsidRPr="001C6ADA">
        <w:rPr>
          <w:color w:val="000000"/>
          <w:lang w:val="en-US"/>
        </w:rPr>
        <w:t xml:space="preserve">[2021] EWCA Crim 128; Griffiths &amp; Jackson 2022, p. 271-272. </w:t>
      </w:r>
      <w:r w:rsidRPr="00046845">
        <w:rPr>
          <w:color w:val="000000"/>
        </w:rPr>
        <w:t>In deze zaak betrof het PGP-data van aanbieder EncroChat.</w:t>
      </w:r>
    </w:p>
  </w:footnote>
  <w:footnote w:id="165">
    <w:p w14:paraId="73F75621" w14:textId="77777777" w:rsidR="00A7450F" w:rsidRDefault="00A7450F" w:rsidP="00C835BE">
      <w:pPr>
        <w:pStyle w:val="Voetnoottekst"/>
      </w:pPr>
      <w:r>
        <w:rPr>
          <w:rStyle w:val="Voetnootmarkering"/>
        </w:rPr>
        <w:footnoteRef/>
      </w:r>
      <w:r>
        <w:t xml:space="preserve"> Zie bijvoorbeeld </w:t>
      </w:r>
      <w:r w:rsidRPr="00B87A5D">
        <w:t>R v R</w:t>
      </w:r>
      <w:r>
        <w:t>ichards</w:t>
      </w:r>
      <w:r w:rsidRPr="00B87A5D">
        <w:t xml:space="preserve"> [2015] EWCA Crim 1941.</w:t>
      </w:r>
    </w:p>
  </w:footnote>
  <w:footnote w:id="166">
    <w:p w14:paraId="72B02818" w14:textId="77777777" w:rsidR="00A7450F" w:rsidRDefault="00A7450F" w:rsidP="00C835BE">
      <w:pPr>
        <w:pStyle w:val="Voetnoottekst"/>
      </w:pPr>
      <w:r>
        <w:rPr>
          <w:rStyle w:val="Voetnootmarkering"/>
        </w:rPr>
        <w:footnoteRef/>
      </w:r>
      <w:r>
        <w:t xml:space="preserve"> Van 1876 tot 2009 gold de House of Lords als de hoogste rechtsprekende instantie van Engeland &amp; Wales. Thans komt deze bevoegdheid toe aan het Supreme Court of the United Kingdom.</w:t>
      </w:r>
    </w:p>
  </w:footnote>
  <w:footnote w:id="167">
    <w:p w14:paraId="6AFF2783" w14:textId="77777777" w:rsidR="00A7450F" w:rsidRPr="001C6ADA" w:rsidRDefault="00A7450F" w:rsidP="00C835BE">
      <w:pPr>
        <w:pStyle w:val="Voetnoottekst"/>
        <w:rPr>
          <w:lang w:val="en-US"/>
        </w:rPr>
      </w:pPr>
      <w:r>
        <w:rPr>
          <w:rStyle w:val="Voetnootmarkering"/>
        </w:rPr>
        <w:footnoteRef/>
      </w:r>
      <w:r w:rsidRPr="001C6ADA">
        <w:rPr>
          <w:lang w:val="en-US"/>
        </w:rPr>
        <w:t xml:space="preserve"> R v H &amp; C [2004] UKHL 3, [36].</w:t>
      </w:r>
    </w:p>
  </w:footnote>
  <w:footnote w:id="168">
    <w:p w14:paraId="599BC419" w14:textId="77777777" w:rsidR="00A7450F" w:rsidRPr="001C6ADA" w:rsidRDefault="00A7450F" w:rsidP="00C835BE">
      <w:pPr>
        <w:pStyle w:val="Voetnoottekst"/>
        <w:rPr>
          <w:lang w:val="en-US"/>
        </w:rPr>
      </w:pPr>
      <w:r>
        <w:rPr>
          <w:rStyle w:val="Voetnootmarkering"/>
        </w:rPr>
        <w:footnoteRef/>
      </w:r>
      <w:r w:rsidRPr="001C6ADA">
        <w:rPr>
          <w:lang w:val="en-US"/>
        </w:rPr>
        <w:t xml:space="preserve"> Zie Corker &amp; Parkinson 2009, p. 109; art. 15.4 Criminal Procedure Rules 2020.</w:t>
      </w:r>
    </w:p>
  </w:footnote>
  <w:footnote w:id="169">
    <w:p w14:paraId="47BEE87F" w14:textId="77777777" w:rsidR="00A7450F" w:rsidRPr="001C6ADA" w:rsidRDefault="00A7450F" w:rsidP="00C835BE">
      <w:pPr>
        <w:pStyle w:val="Voetnoottekst"/>
        <w:rPr>
          <w:lang w:val="en-US"/>
        </w:rPr>
      </w:pPr>
      <w:r>
        <w:rPr>
          <w:rStyle w:val="Voetnootmarkering"/>
        </w:rPr>
        <w:footnoteRef/>
      </w:r>
      <w:r w:rsidRPr="001C6ADA">
        <w:rPr>
          <w:lang w:val="en-US"/>
        </w:rPr>
        <w:t xml:space="preserve"> CPS Disclosure Manual, hoofdstuk 15.</w:t>
      </w:r>
    </w:p>
  </w:footnote>
  <w:footnote w:id="170">
    <w:p w14:paraId="01EA1BD2" w14:textId="77777777" w:rsidR="00A7450F" w:rsidRPr="001C6ADA" w:rsidRDefault="00A7450F" w:rsidP="00C835BE">
      <w:pPr>
        <w:pStyle w:val="Voetnoottekst"/>
        <w:rPr>
          <w:lang w:val="en-US"/>
        </w:rPr>
      </w:pPr>
      <w:r>
        <w:rPr>
          <w:rStyle w:val="Voetnootmarkering"/>
        </w:rPr>
        <w:footnoteRef/>
      </w:r>
      <w:r w:rsidRPr="001C6ADA">
        <w:rPr>
          <w:lang w:val="en-US"/>
        </w:rPr>
        <w:t xml:space="preserve"> R v MA [2018] Crown Court (Leeds) 4 WLUK 268.</w:t>
      </w:r>
    </w:p>
  </w:footnote>
  <w:footnote w:id="171">
    <w:p w14:paraId="75C0FD1B" w14:textId="77777777" w:rsidR="00A7450F" w:rsidRPr="001C6ADA" w:rsidRDefault="00A7450F" w:rsidP="009946B1">
      <w:pPr>
        <w:pStyle w:val="Voetnoottekst"/>
        <w:rPr>
          <w:lang w:val="en-US"/>
        </w:rPr>
      </w:pPr>
      <w:r>
        <w:rPr>
          <w:rStyle w:val="Voetnootmarkering"/>
        </w:rPr>
        <w:footnoteRef/>
      </w:r>
      <w:r w:rsidRPr="001C6ADA">
        <w:rPr>
          <w:lang w:val="en-US"/>
        </w:rPr>
        <w:t xml:space="preserve"> R v Flook [2010] 1 CR App R 434.</w:t>
      </w:r>
    </w:p>
  </w:footnote>
  <w:footnote w:id="172">
    <w:p w14:paraId="119FE293" w14:textId="33F961C6" w:rsidR="00A7450F" w:rsidRDefault="00A7450F" w:rsidP="00163CCB">
      <w:pPr>
        <w:pStyle w:val="Voetnoottekst"/>
      </w:pPr>
      <w:r>
        <w:rPr>
          <w:rStyle w:val="Voetnootmarkering"/>
        </w:rPr>
        <w:footnoteRef/>
      </w:r>
      <w:r>
        <w:t xml:space="preserve"> </w:t>
      </w:r>
      <w:r w:rsidR="009357A9" w:rsidRPr="003475D8">
        <w:t xml:space="preserve">Zie voor het gebruik van een expert witness art. 19.1 </w:t>
      </w:r>
      <w:r w:rsidR="00FF68D3" w:rsidRPr="003475D8">
        <w:t xml:space="preserve">e.v. </w:t>
      </w:r>
      <w:r w:rsidR="009357A9" w:rsidRPr="003475D8">
        <w:t>CPR. Cross-examination en het gebruik van een privédetective kennen geen expliciete wettelijke basis, maar vloeien voort uit het adversaire strafproces.</w:t>
      </w:r>
    </w:p>
  </w:footnote>
  <w:footnote w:id="173">
    <w:p w14:paraId="07BAEFEB" w14:textId="77777777" w:rsidR="00A7450F" w:rsidRDefault="00A7450F" w:rsidP="009946B1">
      <w:pPr>
        <w:pStyle w:val="Voetnoottekst"/>
      </w:pPr>
      <w:r>
        <w:rPr>
          <w:rStyle w:val="Voetnootmarkering"/>
        </w:rPr>
        <w:footnoteRef/>
      </w:r>
      <w:r>
        <w:t xml:space="preserve"> Sprack &amp; Engelhardt-Sprack 2019, p. 143.</w:t>
      </w:r>
    </w:p>
  </w:footnote>
  <w:footnote w:id="174">
    <w:p w14:paraId="2992CEA2" w14:textId="77777777" w:rsidR="00A7450F" w:rsidRPr="0037437B" w:rsidRDefault="00A7450F" w:rsidP="009946B1">
      <w:pPr>
        <w:pStyle w:val="Voetnoottekst"/>
      </w:pPr>
      <w:r>
        <w:rPr>
          <w:rStyle w:val="Voetnootmarkering"/>
        </w:rPr>
        <w:footnoteRef/>
      </w:r>
      <w:r w:rsidRPr="0037437B">
        <w:t xml:space="preserve"> R v Alibhai [2004] EWCA Crim 681.</w:t>
      </w:r>
    </w:p>
  </w:footnote>
  <w:footnote w:id="175">
    <w:p w14:paraId="000DE28A" w14:textId="77777777" w:rsidR="00A7450F" w:rsidRPr="0037437B" w:rsidRDefault="00A7450F" w:rsidP="009946B1">
      <w:pPr>
        <w:pStyle w:val="Voetnoottekst"/>
      </w:pPr>
      <w:r>
        <w:rPr>
          <w:rStyle w:val="Voetnootmarkering"/>
        </w:rPr>
        <w:footnoteRef/>
      </w:r>
      <w:r w:rsidRPr="0037437B">
        <w:t xml:space="preserve"> Sprack 2000, p. 133; zie paragraaf 3.3.4.</w:t>
      </w:r>
    </w:p>
  </w:footnote>
  <w:footnote w:id="176">
    <w:p w14:paraId="78A72107" w14:textId="77777777" w:rsidR="00A7450F" w:rsidRPr="001C6ADA" w:rsidRDefault="00A7450F" w:rsidP="004B0E7E">
      <w:pPr>
        <w:pStyle w:val="Voetnoottekst"/>
        <w:rPr>
          <w:lang w:val="en-US"/>
        </w:rPr>
      </w:pPr>
      <w:r w:rsidRPr="00312159">
        <w:rPr>
          <w:rStyle w:val="Voetnootmarkering"/>
        </w:rPr>
        <w:footnoteRef/>
      </w:r>
      <w:r w:rsidRPr="001C6ADA">
        <w:rPr>
          <w:lang w:val="en-US"/>
        </w:rPr>
        <w:t xml:space="preserve"> Art. 7.4.2 ACPO Good Practice Guide for Digital Evidence.</w:t>
      </w:r>
    </w:p>
  </w:footnote>
  <w:footnote w:id="177">
    <w:p w14:paraId="3EAB101D" w14:textId="77777777" w:rsidR="00A7450F" w:rsidRPr="001C6ADA" w:rsidRDefault="00A7450F" w:rsidP="004B0E7E">
      <w:pPr>
        <w:pStyle w:val="Voetnoottekst"/>
        <w:rPr>
          <w:lang w:val="en-US"/>
        </w:rPr>
      </w:pPr>
      <w:r w:rsidRPr="00312159">
        <w:rPr>
          <w:rStyle w:val="Voetnootmarkering"/>
        </w:rPr>
        <w:footnoteRef/>
      </w:r>
      <w:r w:rsidRPr="001C6ADA">
        <w:rPr>
          <w:lang w:val="en-US"/>
        </w:rPr>
        <w:t xml:space="preserve"> Art. 7.4.7 ACPO Good Practice Guide for Digital Evidence.</w:t>
      </w:r>
    </w:p>
  </w:footnote>
  <w:footnote w:id="178">
    <w:p w14:paraId="43960B11" w14:textId="77777777" w:rsidR="00A7450F" w:rsidRPr="001C6ADA" w:rsidRDefault="00A7450F" w:rsidP="004B0E7E">
      <w:pPr>
        <w:pStyle w:val="Voetnoottekst"/>
        <w:rPr>
          <w:lang w:val="en-US"/>
        </w:rPr>
      </w:pPr>
      <w:r w:rsidRPr="00312159">
        <w:rPr>
          <w:rStyle w:val="Voetnootmarkering"/>
        </w:rPr>
        <w:footnoteRef/>
      </w:r>
      <w:r w:rsidRPr="001C6ADA">
        <w:rPr>
          <w:lang w:val="en-US"/>
        </w:rPr>
        <w:t xml:space="preserve"> Horsman 2020, p. 1 &amp; 5.</w:t>
      </w:r>
    </w:p>
  </w:footnote>
  <w:footnote w:id="179">
    <w:p w14:paraId="6E335F8B" w14:textId="77777777" w:rsidR="00A7450F" w:rsidRPr="001C6ADA" w:rsidRDefault="00A7450F" w:rsidP="004B0E7E">
      <w:pPr>
        <w:pStyle w:val="Voetnoottekst"/>
        <w:rPr>
          <w:lang w:val="en-US"/>
        </w:rPr>
      </w:pPr>
      <w:r>
        <w:rPr>
          <w:rStyle w:val="Voetnootmarkering"/>
        </w:rPr>
        <w:footnoteRef/>
      </w:r>
      <w:r w:rsidRPr="001C6ADA">
        <w:rPr>
          <w:lang w:val="en-US"/>
        </w:rPr>
        <w:t xml:space="preserve"> Corker &amp; Parkinson 2009, p. 54-57.</w:t>
      </w:r>
    </w:p>
  </w:footnote>
  <w:footnote w:id="180">
    <w:p w14:paraId="43E54591" w14:textId="77777777" w:rsidR="00A7450F" w:rsidRPr="001C6ADA" w:rsidRDefault="00A7450F" w:rsidP="004B0E7E">
      <w:pPr>
        <w:pStyle w:val="Voetnoottekst"/>
        <w:rPr>
          <w:lang w:val="en-US"/>
        </w:rPr>
      </w:pPr>
      <w:r>
        <w:rPr>
          <w:rStyle w:val="Voetnootmarkering"/>
        </w:rPr>
        <w:footnoteRef/>
      </w:r>
      <w:r w:rsidRPr="001C6ADA">
        <w:rPr>
          <w:lang w:val="en-US"/>
        </w:rPr>
        <w:t xml:space="preserve"> Attorney General’s Guidelines on Disclosure (Annex A), punt 3.</w:t>
      </w:r>
    </w:p>
  </w:footnote>
  <w:footnote w:id="181">
    <w:p w14:paraId="4DAA9F12" w14:textId="77777777" w:rsidR="00A7450F" w:rsidRPr="001C6ADA" w:rsidRDefault="00A7450F" w:rsidP="004B0E7E">
      <w:pPr>
        <w:pStyle w:val="Voetnoottekst"/>
        <w:rPr>
          <w:lang w:val="en-US"/>
        </w:rPr>
      </w:pPr>
      <w:r>
        <w:rPr>
          <w:rStyle w:val="Voetnootmarkering"/>
        </w:rPr>
        <w:footnoteRef/>
      </w:r>
      <w:r w:rsidRPr="001C6ADA">
        <w:rPr>
          <w:lang w:val="en-US"/>
        </w:rPr>
        <w:t xml:space="preserve"> Attorney General’s Guidelines on Disclosure (Annex A), punt 41-42 en 44.</w:t>
      </w:r>
    </w:p>
  </w:footnote>
  <w:footnote w:id="182">
    <w:p w14:paraId="18516497" w14:textId="77777777" w:rsidR="00A7450F" w:rsidRPr="001C6ADA" w:rsidRDefault="00A7450F" w:rsidP="0047380D">
      <w:pPr>
        <w:pStyle w:val="Voetnoottekst"/>
        <w:rPr>
          <w:lang w:val="en-US"/>
        </w:rPr>
      </w:pPr>
      <w:r>
        <w:rPr>
          <w:rStyle w:val="Voetnootmarkering"/>
        </w:rPr>
        <w:footnoteRef/>
      </w:r>
      <w:r w:rsidRPr="001C6ADA">
        <w:rPr>
          <w:lang w:val="en-US"/>
        </w:rPr>
        <w:t xml:space="preserve"> Attorney General’s Guidelines on Disclosure (Annex A), punt 4 en 43.</w:t>
      </w:r>
    </w:p>
  </w:footnote>
  <w:footnote w:id="183">
    <w:p w14:paraId="058CBAEB" w14:textId="77777777" w:rsidR="00A7450F" w:rsidRPr="001C6ADA" w:rsidRDefault="00A7450F" w:rsidP="0047380D">
      <w:pPr>
        <w:pStyle w:val="Voetnoottekst"/>
        <w:rPr>
          <w:lang w:val="en-US"/>
        </w:rPr>
      </w:pPr>
      <w:r>
        <w:rPr>
          <w:rStyle w:val="Voetnootmarkering"/>
        </w:rPr>
        <w:footnoteRef/>
      </w:r>
      <w:r w:rsidRPr="001C6ADA">
        <w:rPr>
          <w:lang w:val="en-US"/>
        </w:rPr>
        <w:t xml:space="preserve"> Attorney General’s Guidelines on Disclosure (Annex B), punt 3.</w:t>
      </w:r>
    </w:p>
  </w:footnote>
  <w:footnote w:id="184">
    <w:p w14:paraId="02EB767B" w14:textId="77777777" w:rsidR="00A7450F" w:rsidRPr="001C6ADA" w:rsidRDefault="00A7450F" w:rsidP="0047380D">
      <w:pPr>
        <w:pStyle w:val="Voetnoottekst"/>
        <w:rPr>
          <w:lang w:val="en-US"/>
        </w:rPr>
      </w:pPr>
      <w:r>
        <w:rPr>
          <w:rStyle w:val="Voetnootmarkering"/>
        </w:rPr>
        <w:footnoteRef/>
      </w:r>
      <w:r w:rsidRPr="001C6ADA">
        <w:rPr>
          <w:lang w:val="en-US"/>
        </w:rPr>
        <w:t xml:space="preserve"> Attorney General’s Guidelines on Disclosure (Annex B), punt 4.</w:t>
      </w:r>
    </w:p>
  </w:footnote>
  <w:footnote w:id="185">
    <w:p w14:paraId="1E2D0D80" w14:textId="77777777" w:rsidR="00A7450F" w:rsidRPr="001C6ADA" w:rsidRDefault="00A7450F" w:rsidP="0047380D">
      <w:pPr>
        <w:pStyle w:val="Voetnoottekst"/>
        <w:rPr>
          <w:lang w:val="en-US"/>
        </w:rPr>
      </w:pPr>
      <w:r>
        <w:rPr>
          <w:rStyle w:val="Voetnootmarkering"/>
        </w:rPr>
        <w:footnoteRef/>
      </w:r>
      <w:r w:rsidRPr="001C6ADA">
        <w:rPr>
          <w:lang w:val="en-US"/>
        </w:rPr>
        <w:t xml:space="preserve"> Attorney General’s Guidelines on Disclosure (Annex B), punt 11.</w:t>
      </w:r>
    </w:p>
  </w:footnote>
  <w:footnote w:id="186">
    <w:p w14:paraId="416B9F8D" w14:textId="77777777" w:rsidR="00A7450F" w:rsidRPr="001C6ADA" w:rsidRDefault="00A7450F" w:rsidP="0047380D">
      <w:pPr>
        <w:pStyle w:val="Voetnoottekst"/>
        <w:rPr>
          <w:lang w:val="en-US"/>
        </w:rPr>
      </w:pPr>
      <w:r>
        <w:rPr>
          <w:rStyle w:val="Voetnootmarkering"/>
        </w:rPr>
        <w:footnoteRef/>
      </w:r>
      <w:r w:rsidRPr="001C6ADA">
        <w:rPr>
          <w:lang w:val="en-US"/>
        </w:rPr>
        <w:t xml:space="preserve"> Attorney General’s Guidelines on Disclosure (Annex B), punt 6 en 8.</w:t>
      </w:r>
    </w:p>
  </w:footnote>
  <w:footnote w:id="187">
    <w:p w14:paraId="11F1C618" w14:textId="7EBB5999" w:rsidR="00A7450F" w:rsidRPr="00046845" w:rsidRDefault="00A7450F" w:rsidP="00E559BF">
      <w:pPr>
        <w:pStyle w:val="Voetnoottekst"/>
        <w:rPr>
          <w:lang w:val="en-US"/>
        </w:rPr>
      </w:pPr>
      <w:r>
        <w:rPr>
          <w:rStyle w:val="Voetnootmarkering"/>
        </w:rPr>
        <w:footnoteRef/>
      </w:r>
      <w:r w:rsidRPr="00046845">
        <w:rPr>
          <w:lang w:val="en-US"/>
        </w:rPr>
        <w:t xml:space="preserve"> </w:t>
      </w:r>
      <w:r w:rsidRPr="001C6ADA">
        <w:rPr>
          <w:lang w:val="en-US"/>
        </w:rPr>
        <w:t xml:space="preserve">Attorney General’s Guidelines on Disclosure (Annex B), punt </w:t>
      </w:r>
      <w:r>
        <w:rPr>
          <w:lang w:val="en-US"/>
        </w:rPr>
        <w:t xml:space="preserve">4: “Pre-charge engagement may, </w:t>
      </w:r>
      <w:r w:rsidRPr="0078025F">
        <w:rPr>
          <w:lang w:val="en-US"/>
        </w:rPr>
        <w:t>among other things,</w:t>
      </w:r>
      <w:r>
        <w:rPr>
          <w:lang w:val="en-US"/>
        </w:rPr>
        <w:t xml:space="preserve"> involve (…)”</w:t>
      </w:r>
      <w:r w:rsidR="00515985">
        <w:rPr>
          <w:lang w:val="en-US"/>
        </w:rPr>
        <w:t>.</w:t>
      </w:r>
    </w:p>
  </w:footnote>
  <w:footnote w:id="188">
    <w:p w14:paraId="4DD2FF66" w14:textId="4542931B" w:rsidR="00A7450F" w:rsidRPr="00046845" w:rsidRDefault="00A7450F">
      <w:pPr>
        <w:pStyle w:val="Voetnoottekst"/>
        <w:rPr>
          <w:lang w:val="en-US"/>
        </w:rPr>
      </w:pPr>
      <w:r>
        <w:rPr>
          <w:rStyle w:val="Voetnootmarkering"/>
        </w:rPr>
        <w:footnoteRef/>
      </w:r>
      <w:r w:rsidRPr="00046845">
        <w:rPr>
          <w:lang w:val="en-US"/>
        </w:rPr>
        <w:t xml:space="preserve"> Zie </w:t>
      </w:r>
      <w:r w:rsidRPr="001C6ADA">
        <w:rPr>
          <w:lang w:val="en-US"/>
        </w:rPr>
        <w:t xml:space="preserve">Attorney General’s Guidelines on Disclosure (Annex B), punt </w:t>
      </w:r>
      <w:r>
        <w:rPr>
          <w:lang w:val="en-US"/>
        </w:rPr>
        <w:t>4.</w:t>
      </w:r>
    </w:p>
  </w:footnote>
  <w:footnote w:id="189">
    <w:p w14:paraId="73FC1937" w14:textId="77777777" w:rsidR="00A7450F" w:rsidRPr="001C6ADA" w:rsidRDefault="00A7450F" w:rsidP="00D93143">
      <w:pPr>
        <w:pStyle w:val="Voetnoottekst"/>
        <w:rPr>
          <w:lang w:val="en-US"/>
        </w:rPr>
      </w:pPr>
      <w:r>
        <w:rPr>
          <w:rStyle w:val="Voetnootmarkering"/>
        </w:rPr>
        <w:footnoteRef/>
      </w:r>
      <w:r w:rsidRPr="001C6ADA">
        <w:rPr>
          <w:lang w:val="en-US"/>
        </w:rPr>
        <w:t xml:space="preserve"> Griffiths 2022, p. 366-367.</w:t>
      </w:r>
    </w:p>
  </w:footnote>
  <w:footnote w:id="190">
    <w:p w14:paraId="29605848" w14:textId="77777777" w:rsidR="00A7450F" w:rsidRPr="001C6ADA" w:rsidRDefault="00A7450F" w:rsidP="00D93143">
      <w:pPr>
        <w:pStyle w:val="Voetnoottekst"/>
        <w:rPr>
          <w:lang w:val="en-US"/>
        </w:rPr>
      </w:pPr>
      <w:r>
        <w:rPr>
          <w:rStyle w:val="Voetnootmarkering"/>
        </w:rPr>
        <w:footnoteRef/>
      </w:r>
      <w:r w:rsidRPr="001C6ADA">
        <w:rPr>
          <w:lang w:val="en-US"/>
        </w:rPr>
        <w:t xml:space="preserve"> Griffiths 2022, p. 370.</w:t>
      </w:r>
    </w:p>
  </w:footnote>
  <w:footnote w:id="191">
    <w:p w14:paraId="70277B06" w14:textId="7C76B714" w:rsidR="00A7450F" w:rsidRPr="00046845" w:rsidRDefault="00A7450F" w:rsidP="00D93143">
      <w:pPr>
        <w:pStyle w:val="Voetnoottekst"/>
        <w:rPr>
          <w:lang w:val="en-US"/>
        </w:rPr>
      </w:pPr>
      <w:r>
        <w:rPr>
          <w:rStyle w:val="Voetnootmarkering"/>
        </w:rPr>
        <w:footnoteRef/>
      </w:r>
      <w:r w:rsidRPr="00046845">
        <w:rPr>
          <w:lang w:val="en-US"/>
        </w:rPr>
        <w:t xml:space="preserve"> </w:t>
      </w:r>
      <w:r w:rsidR="00657200">
        <w:rPr>
          <w:lang w:val="en-US"/>
        </w:rPr>
        <w:t>Zie s. 144 CJA.</w:t>
      </w:r>
    </w:p>
  </w:footnote>
  <w:footnote w:id="192">
    <w:p w14:paraId="19B309D4" w14:textId="77777777" w:rsidR="00A7450F" w:rsidRPr="001C6ADA" w:rsidRDefault="00A7450F" w:rsidP="004B0E7E">
      <w:pPr>
        <w:pStyle w:val="Voetnoottekst"/>
        <w:rPr>
          <w:lang w:val="en-US"/>
        </w:rPr>
      </w:pPr>
      <w:r>
        <w:rPr>
          <w:rStyle w:val="Voetnootmarkering"/>
        </w:rPr>
        <w:footnoteRef/>
      </w:r>
      <w:r w:rsidRPr="001C6ADA">
        <w:rPr>
          <w:lang w:val="en-US"/>
        </w:rPr>
        <w:t xml:space="preserve"> R v Richards [2015] EWCA Crim 1941, [81] – [89].</w:t>
      </w:r>
    </w:p>
  </w:footnote>
  <w:footnote w:id="193">
    <w:p w14:paraId="048CD53F" w14:textId="77777777" w:rsidR="00A7450F" w:rsidRPr="001C6ADA" w:rsidRDefault="00A7450F" w:rsidP="004B0E7E">
      <w:pPr>
        <w:pStyle w:val="Voetnoottekst"/>
        <w:rPr>
          <w:lang w:val="en-US"/>
        </w:rPr>
      </w:pPr>
      <w:r>
        <w:rPr>
          <w:rStyle w:val="Voetnootmarkering"/>
        </w:rPr>
        <w:footnoteRef/>
      </w:r>
      <w:r w:rsidRPr="001C6ADA">
        <w:rPr>
          <w:lang w:val="en-US"/>
        </w:rPr>
        <w:t xml:space="preserve"> R v Richards [2015] EWCA Crim 1941, [101].</w:t>
      </w:r>
    </w:p>
  </w:footnote>
  <w:footnote w:id="194">
    <w:p w14:paraId="29DD9373" w14:textId="77777777" w:rsidR="00A7450F" w:rsidRPr="001C6ADA" w:rsidRDefault="00A7450F" w:rsidP="004B0E7E">
      <w:pPr>
        <w:pStyle w:val="Voetnoottekst"/>
        <w:rPr>
          <w:lang w:val="en-US"/>
        </w:rPr>
      </w:pPr>
      <w:r>
        <w:rPr>
          <w:rStyle w:val="Voetnootmarkering"/>
        </w:rPr>
        <w:footnoteRef/>
      </w:r>
      <w:r w:rsidRPr="001C6ADA">
        <w:rPr>
          <w:lang w:val="en-US"/>
        </w:rPr>
        <w:t xml:space="preserve"> CPS Disclosure Manual (Annex D).</w:t>
      </w:r>
    </w:p>
  </w:footnote>
  <w:footnote w:id="195">
    <w:p w14:paraId="1B510B6C" w14:textId="77777777" w:rsidR="00A7450F" w:rsidRPr="001C6ADA" w:rsidRDefault="00A7450F" w:rsidP="007E41BD">
      <w:pPr>
        <w:pStyle w:val="Voetnoottekst"/>
        <w:rPr>
          <w:lang w:val="en-US"/>
        </w:rPr>
      </w:pPr>
      <w:r>
        <w:rPr>
          <w:rStyle w:val="Voetnootmarkering"/>
        </w:rPr>
        <w:footnoteRef/>
      </w:r>
      <w:r w:rsidRPr="001C6ADA">
        <w:rPr>
          <w:lang w:val="en-US"/>
        </w:rPr>
        <w:t xml:space="preserve"> CPS Disclosure Manual, hoofdstuk 29.</w:t>
      </w:r>
    </w:p>
  </w:footnote>
  <w:footnote w:id="196">
    <w:p w14:paraId="7211AAC6" w14:textId="72F5A7A6" w:rsidR="00A7450F" w:rsidRPr="001C6ADA" w:rsidRDefault="00A7450F">
      <w:pPr>
        <w:pStyle w:val="Voetnoottekst"/>
        <w:rPr>
          <w:lang w:val="en-US"/>
        </w:rPr>
      </w:pPr>
      <w:r>
        <w:rPr>
          <w:rStyle w:val="Voetnootmarkering"/>
        </w:rPr>
        <w:footnoteRef/>
      </w:r>
      <w:r w:rsidRPr="001C6ADA">
        <w:rPr>
          <w:lang w:val="en-US"/>
        </w:rPr>
        <w:t xml:space="preserve"> </w:t>
      </w:r>
      <w:bookmarkStart w:id="14" w:name="_Hlk168257193"/>
      <w:r w:rsidRPr="001C6ADA">
        <w:rPr>
          <w:lang w:val="en-US"/>
        </w:rPr>
        <w:t>R v Michael [2003] EWCA Crim 3764</w:t>
      </w:r>
      <w:bookmarkEnd w:id="14"/>
      <w:r w:rsidRPr="001C6ADA">
        <w:rPr>
          <w:lang w:val="en-US"/>
        </w:rPr>
        <w:t>, [49].</w:t>
      </w:r>
    </w:p>
  </w:footnote>
  <w:footnote w:id="197">
    <w:p w14:paraId="357E7D1D" w14:textId="77777777" w:rsidR="00A7450F" w:rsidRPr="00046845" w:rsidRDefault="00A7450F" w:rsidP="00596412">
      <w:pPr>
        <w:pStyle w:val="Voetnoottekst"/>
        <w:rPr>
          <w:lang w:val="en-US"/>
        </w:rPr>
      </w:pPr>
      <w:r>
        <w:rPr>
          <w:rStyle w:val="Voetnootmarkering"/>
        </w:rPr>
        <w:footnoteRef/>
      </w:r>
      <w:r w:rsidRPr="00046845">
        <w:rPr>
          <w:lang w:val="en-US"/>
        </w:rPr>
        <w:t xml:space="preserve"> Fiori 2015, p. 22.</w:t>
      </w:r>
    </w:p>
  </w:footnote>
  <w:footnote w:id="198">
    <w:p w14:paraId="509298C0" w14:textId="77777777" w:rsidR="00A7450F" w:rsidRPr="001C6ADA" w:rsidRDefault="00A7450F" w:rsidP="00596412">
      <w:pPr>
        <w:pStyle w:val="Voetnoottekst"/>
        <w:rPr>
          <w:lang w:val="en-US"/>
        </w:rPr>
      </w:pPr>
      <w:r>
        <w:rPr>
          <w:rStyle w:val="Voetnootmarkering"/>
        </w:rPr>
        <w:footnoteRef/>
      </w:r>
      <w:r w:rsidRPr="001C6ADA">
        <w:rPr>
          <w:lang w:val="en-US"/>
        </w:rPr>
        <w:t xml:space="preserve"> ‘Crime ‘kingpins’ among 400 jailed after Met Police crack ‘secure’ messaging app’, </w:t>
      </w:r>
      <w:r w:rsidRPr="001C6ADA">
        <w:rPr>
          <w:i/>
          <w:iCs/>
          <w:lang w:val="en-US"/>
        </w:rPr>
        <w:t>The Independent</w:t>
      </w:r>
      <w:r w:rsidRPr="001C6ADA">
        <w:rPr>
          <w:lang w:val="en-US"/>
        </w:rPr>
        <w:t xml:space="preserve"> 9 oktober 2023.</w:t>
      </w:r>
    </w:p>
  </w:footnote>
  <w:footnote w:id="199">
    <w:p w14:paraId="22FAE813" w14:textId="77777777" w:rsidR="00A7450F" w:rsidRDefault="00A7450F" w:rsidP="00596412">
      <w:pPr>
        <w:pStyle w:val="Voetnoottekst"/>
      </w:pPr>
      <w:r>
        <w:rPr>
          <w:rStyle w:val="Voetnootmarkering"/>
        </w:rPr>
        <w:footnoteRef/>
      </w:r>
      <w:r>
        <w:t xml:space="preserve"> Hodgson 2020, p. 175.</w:t>
      </w:r>
    </w:p>
  </w:footnote>
  <w:footnote w:id="200">
    <w:p w14:paraId="0EA5F114" w14:textId="2B6C7CBC" w:rsidR="00A7450F" w:rsidRDefault="00A7450F" w:rsidP="00596412">
      <w:pPr>
        <w:pStyle w:val="Voetnoottekst"/>
      </w:pPr>
      <w:r>
        <w:rPr>
          <w:rStyle w:val="Voetnootmarkering"/>
        </w:rPr>
        <w:footnoteRef/>
      </w:r>
      <w:r>
        <w:t xml:space="preserve"> </w:t>
      </w:r>
      <w:r w:rsidR="00C65A01">
        <w:t xml:space="preserve">Zie Reijntjes 2020, p. </w:t>
      </w:r>
      <w:r w:rsidR="0033438E">
        <w:t>42-44.</w:t>
      </w:r>
    </w:p>
  </w:footnote>
  <w:footnote w:id="201">
    <w:p w14:paraId="0F1E4D62" w14:textId="77777777" w:rsidR="00A7450F" w:rsidRDefault="00A7450F" w:rsidP="00596412">
      <w:pPr>
        <w:pStyle w:val="Voetnoottekst"/>
      </w:pPr>
      <w:r>
        <w:rPr>
          <w:rStyle w:val="Voetnootmarkering"/>
        </w:rPr>
        <w:footnoteRef/>
      </w:r>
      <w:r>
        <w:t xml:space="preserve"> Zie Consultatieversie Wetsvoorstel eerste aanvullingswet nieuw Wetboek van Strafvordering.</w:t>
      </w:r>
    </w:p>
  </w:footnote>
  <w:footnote w:id="202">
    <w:p w14:paraId="188B5629" w14:textId="77777777" w:rsidR="00A7450F" w:rsidRPr="00305FDA" w:rsidRDefault="00A7450F" w:rsidP="00596412">
      <w:pPr>
        <w:pStyle w:val="Voetnoottekst"/>
      </w:pPr>
      <w:r>
        <w:rPr>
          <w:rStyle w:val="Voetnootmarkering"/>
        </w:rPr>
        <w:footnoteRef/>
      </w:r>
      <w:r>
        <w:t xml:space="preserve"> </w:t>
      </w:r>
      <w:r>
        <w:rPr>
          <w:i/>
          <w:iCs/>
        </w:rPr>
        <w:t>Kamerstukken II</w:t>
      </w:r>
      <w:r>
        <w:t xml:space="preserve"> 2015/16, 29 279, nr. 278, p.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07AB" w14:textId="442972CC" w:rsidR="00A7450F" w:rsidRPr="00FC48C4" w:rsidRDefault="00A7450F" w:rsidP="00FC48C4">
    <w:pPr>
      <w:pStyle w:val="Koptekst"/>
      <w:jc w:val="righ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B015" w14:textId="313BE844" w:rsidR="00A7450F" w:rsidRPr="00E41B18" w:rsidRDefault="00A7450F" w:rsidP="00E41B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A78"/>
    <w:multiLevelType w:val="hybridMultilevel"/>
    <w:tmpl w:val="D6BEE2B2"/>
    <w:lvl w:ilvl="0" w:tplc="DB82863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2C56B6"/>
    <w:multiLevelType w:val="hybridMultilevel"/>
    <w:tmpl w:val="D2BE568A"/>
    <w:lvl w:ilvl="0" w:tplc="7114A15A">
      <w:start w:val="1"/>
      <w:numFmt w:val="decimal"/>
      <w:lvlText w:val="%1."/>
      <w:lvlJc w:val="left"/>
      <w:pPr>
        <w:ind w:left="720" w:hanging="360"/>
      </w:pPr>
      <w:rPr>
        <w:rFonts w:ascii="Times New Roman" w:eastAsiaTheme="minorHAnsi" w:hAnsi="Times New Roman" w:cs="Times New Roman"/>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2EF8EC"/>
    <w:multiLevelType w:val="hybridMultilevel"/>
    <w:tmpl w:val="B022948C"/>
    <w:lvl w:ilvl="0" w:tplc="6A220110">
      <w:start w:val="1"/>
      <w:numFmt w:val="decimal"/>
      <w:lvlText w:val="%1."/>
      <w:lvlJc w:val="left"/>
      <w:pPr>
        <w:ind w:left="720" w:hanging="360"/>
      </w:pPr>
    </w:lvl>
    <w:lvl w:ilvl="1" w:tplc="0F48B3D4">
      <w:start w:val="1"/>
      <w:numFmt w:val="lowerLetter"/>
      <w:lvlText w:val="%2."/>
      <w:lvlJc w:val="left"/>
      <w:pPr>
        <w:ind w:left="1440" w:hanging="360"/>
      </w:pPr>
    </w:lvl>
    <w:lvl w:ilvl="2" w:tplc="7F987562">
      <w:start w:val="1"/>
      <w:numFmt w:val="lowerRoman"/>
      <w:lvlText w:val="%3."/>
      <w:lvlJc w:val="right"/>
      <w:pPr>
        <w:ind w:left="2160" w:hanging="180"/>
      </w:pPr>
    </w:lvl>
    <w:lvl w:ilvl="3" w:tplc="90FC8EAA">
      <w:start w:val="1"/>
      <w:numFmt w:val="decimal"/>
      <w:lvlText w:val="%4."/>
      <w:lvlJc w:val="left"/>
      <w:pPr>
        <w:ind w:left="2880" w:hanging="360"/>
      </w:pPr>
    </w:lvl>
    <w:lvl w:ilvl="4" w:tplc="908CD680">
      <w:start w:val="1"/>
      <w:numFmt w:val="lowerLetter"/>
      <w:lvlText w:val="%5."/>
      <w:lvlJc w:val="left"/>
      <w:pPr>
        <w:ind w:left="3600" w:hanging="360"/>
      </w:pPr>
    </w:lvl>
    <w:lvl w:ilvl="5" w:tplc="697047F8">
      <w:start w:val="1"/>
      <w:numFmt w:val="lowerRoman"/>
      <w:lvlText w:val="%6."/>
      <w:lvlJc w:val="right"/>
      <w:pPr>
        <w:ind w:left="4320" w:hanging="180"/>
      </w:pPr>
    </w:lvl>
    <w:lvl w:ilvl="6" w:tplc="60DEC018">
      <w:start w:val="1"/>
      <w:numFmt w:val="decimal"/>
      <w:lvlText w:val="%7."/>
      <w:lvlJc w:val="left"/>
      <w:pPr>
        <w:ind w:left="5040" w:hanging="360"/>
      </w:pPr>
    </w:lvl>
    <w:lvl w:ilvl="7" w:tplc="F7EE05FA">
      <w:start w:val="1"/>
      <w:numFmt w:val="lowerLetter"/>
      <w:lvlText w:val="%8."/>
      <w:lvlJc w:val="left"/>
      <w:pPr>
        <w:ind w:left="5760" w:hanging="360"/>
      </w:pPr>
    </w:lvl>
    <w:lvl w:ilvl="8" w:tplc="81FC35BC">
      <w:start w:val="1"/>
      <w:numFmt w:val="lowerRoman"/>
      <w:lvlText w:val="%9."/>
      <w:lvlJc w:val="right"/>
      <w:pPr>
        <w:ind w:left="6480" w:hanging="180"/>
      </w:pPr>
    </w:lvl>
  </w:abstractNum>
  <w:abstractNum w:abstractNumId="3" w15:restartNumberingAfterBreak="0">
    <w:nsid w:val="40AD7901"/>
    <w:multiLevelType w:val="hybridMultilevel"/>
    <w:tmpl w:val="F5987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FB5B8C"/>
    <w:multiLevelType w:val="hybridMultilevel"/>
    <w:tmpl w:val="183E4084"/>
    <w:lvl w:ilvl="0" w:tplc="D7CA1DF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E35CE1"/>
    <w:multiLevelType w:val="hybridMultilevel"/>
    <w:tmpl w:val="F5987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AF71D1"/>
    <w:multiLevelType w:val="hybridMultilevel"/>
    <w:tmpl w:val="5A4208A2"/>
    <w:lvl w:ilvl="0" w:tplc="BA1AF53A">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E4"/>
    <w:rsid w:val="00000A66"/>
    <w:rsid w:val="00001281"/>
    <w:rsid w:val="000013B9"/>
    <w:rsid w:val="00001DF4"/>
    <w:rsid w:val="000020CE"/>
    <w:rsid w:val="000025C9"/>
    <w:rsid w:val="000038A4"/>
    <w:rsid w:val="00003B96"/>
    <w:rsid w:val="0000662D"/>
    <w:rsid w:val="00007A62"/>
    <w:rsid w:val="00007EAC"/>
    <w:rsid w:val="00011E88"/>
    <w:rsid w:val="00013160"/>
    <w:rsid w:val="000134C3"/>
    <w:rsid w:val="000163E4"/>
    <w:rsid w:val="00016811"/>
    <w:rsid w:val="00016E3A"/>
    <w:rsid w:val="00017F3B"/>
    <w:rsid w:val="00020B57"/>
    <w:rsid w:val="00020E5A"/>
    <w:rsid w:val="0002606D"/>
    <w:rsid w:val="00026814"/>
    <w:rsid w:val="000271FF"/>
    <w:rsid w:val="000308A9"/>
    <w:rsid w:val="00030DB0"/>
    <w:rsid w:val="00033211"/>
    <w:rsid w:val="00033A31"/>
    <w:rsid w:val="00033D71"/>
    <w:rsid w:val="0003447B"/>
    <w:rsid w:val="00035585"/>
    <w:rsid w:val="0004064C"/>
    <w:rsid w:val="000435A7"/>
    <w:rsid w:val="00043E51"/>
    <w:rsid w:val="000457F7"/>
    <w:rsid w:val="00046106"/>
    <w:rsid w:val="00046188"/>
    <w:rsid w:val="00046845"/>
    <w:rsid w:val="00046C7D"/>
    <w:rsid w:val="00051B45"/>
    <w:rsid w:val="000538B1"/>
    <w:rsid w:val="000541A5"/>
    <w:rsid w:val="00055A64"/>
    <w:rsid w:val="000563C9"/>
    <w:rsid w:val="00056AAC"/>
    <w:rsid w:val="00056BAB"/>
    <w:rsid w:val="00060A71"/>
    <w:rsid w:val="000620B8"/>
    <w:rsid w:val="00062835"/>
    <w:rsid w:val="000636C1"/>
    <w:rsid w:val="00063917"/>
    <w:rsid w:val="00065520"/>
    <w:rsid w:val="000662C3"/>
    <w:rsid w:val="000663CF"/>
    <w:rsid w:val="00066A17"/>
    <w:rsid w:val="00067637"/>
    <w:rsid w:val="000700B3"/>
    <w:rsid w:val="000704DE"/>
    <w:rsid w:val="00070C7F"/>
    <w:rsid w:val="00072687"/>
    <w:rsid w:val="0007519F"/>
    <w:rsid w:val="00083150"/>
    <w:rsid w:val="00084412"/>
    <w:rsid w:val="000848B4"/>
    <w:rsid w:val="000865DC"/>
    <w:rsid w:val="00086B01"/>
    <w:rsid w:val="000905FE"/>
    <w:rsid w:val="00090B3B"/>
    <w:rsid w:val="00090D06"/>
    <w:rsid w:val="00091109"/>
    <w:rsid w:val="000915CA"/>
    <w:rsid w:val="00093DE9"/>
    <w:rsid w:val="000945C1"/>
    <w:rsid w:val="0009461B"/>
    <w:rsid w:val="00097437"/>
    <w:rsid w:val="000977E5"/>
    <w:rsid w:val="000A1919"/>
    <w:rsid w:val="000A2CE8"/>
    <w:rsid w:val="000A4BC4"/>
    <w:rsid w:val="000A5A02"/>
    <w:rsid w:val="000A5A03"/>
    <w:rsid w:val="000A62E6"/>
    <w:rsid w:val="000A685F"/>
    <w:rsid w:val="000A6A00"/>
    <w:rsid w:val="000B138A"/>
    <w:rsid w:val="000B43D0"/>
    <w:rsid w:val="000B55B1"/>
    <w:rsid w:val="000B5FFF"/>
    <w:rsid w:val="000B7625"/>
    <w:rsid w:val="000C1D3C"/>
    <w:rsid w:val="000C1E70"/>
    <w:rsid w:val="000C2708"/>
    <w:rsid w:val="000C2F42"/>
    <w:rsid w:val="000C535D"/>
    <w:rsid w:val="000C5B8E"/>
    <w:rsid w:val="000C6A8A"/>
    <w:rsid w:val="000C6ED8"/>
    <w:rsid w:val="000C787D"/>
    <w:rsid w:val="000D1A9A"/>
    <w:rsid w:val="000D33D1"/>
    <w:rsid w:val="000D40A0"/>
    <w:rsid w:val="000D52D7"/>
    <w:rsid w:val="000D6AC9"/>
    <w:rsid w:val="000E1962"/>
    <w:rsid w:val="000E2AF5"/>
    <w:rsid w:val="000E3A2E"/>
    <w:rsid w:val="000E63A2"/>
    <w:rsid w:val="000E6F4C"/>
    <w:rsid w:val="000F04B0"/>
    <w:rsid w:val="000F04B8"/>
    <w:rsid w:val="000F0BB3"/>
    <w:rsid w:val="000F2226"/>
    <w:rsid w:val="000F284D"/>
    <w:rsid w:val="000F3142"/>
    <w:rsid w:val="000F4201"/>
    <w:rsid w:val="000F4BED"/>
    <w:rsid w:val="000F6086"/>
    <w:rsid w:val="000F6AFC"/>
    <w:rsid w:val="000F768E"/>
    <w:rsid w:val="00103287"/>
    <w:rsid w:val="001061FB"/>
    <w:rsid w:val="00106982"/>
    <w:rsid w:val="001114A1"/>
    <w:rsid w:val="00111C2A"/>
    <w:rsid w:val="00113C76"/>
    <w:rsid w:val="00120598"/>
    <w:rsid w:val="00121D7D"/>
    <w:rsid w:val="00125A67"/>
    <w:rsid w:val="001264F3"/>
    <w:rsid w:val="00126D66"/>
    <w:rsid w:val="00130833"/>
    <w:rsid w:val="00132EFA"/>
    <w:rsid w:val="00134F08"/>
    <w:rsid w:val="001356F7"/>
    <w:rsid w:val="001374A5"/>
    <w:rsid w:val="0014053E"/>
    <w:rsid w:val="0014057E"/>
    <w:rsid w:val="001432B4"/>
    <w:rsid w:val="00144465"/>
    <w:rsid w:val="00144499"/>
    <w:rsid w:val="00144591"/>
    <w:rsid w:val="00146006"/>
    <w:rsid w:val="001512F8"/>
    <w:rsid w:val="00152CDD"/>
    <w:rsid w:val="00153556"/>
    <w:rsid w:val="0015462D"/>
    <w:rsid w:val="00154704"/>
    <w:rsid w:val="001559B7"/>
    <w:rsid w:val="001573C9"/>
    <w:rsid w:val="00157592"/>
    <w:rsid w:val="001610C5"/>
    <w:rsid w:val="0016222A"/>
    <w:rsid w:val="00162F25"/>
    <w:rsid w:val="00163077"/>
    <w:rsid w:val="00163CCB"/>
    <w:rsid w:val="0016529E"/>
    <w:rsid w:val="00165655"/>
    <w:rsid w:val="00165D40"/>
    <w:rsid w:val="00166C30"/>
    <w:rsid w:val="00170979"/>
    <w:rsid w:val="001723F0"/>
    <w:rsid w:val="00175418"/>
    <w:rsid w:val="00177515"/>
    <w:rsid w:val="00177AFA"/>
    <w:rsid w:val="00177C85"/>
    <w:rsid w:val="001804FF"/>
    <w:rsid w:val="0018060B"/>
    <w:rsid w:val="0018189D"/>
    <w:rsid w:val="00183D75"/>
    <w:rsid w:val="00184605"/>
    <w:rsid w:val="00184C8D"/>
    <w:rsid w:val="00186E37"/>
    <w:rsid w:val="00187286"/>
    <w:rsid w:val="001875DF"/>
    <w:rsid w:val="001901BD"/>
    <w:rsid w:val="0019082D"/>
    <w:rsid w:val="00192FBA"/>
    <w:rsid w:val="0019325B"/>
    <w:rsid w:val="00193420"/>
    <w:rsid w:val="001942A7"/>
    <w:rsid w:val="0019528C"/>
    <w:rsid w:val="00195EB7"/>
    <w:rsid w:val="00196843"/>
    <w:rsid w:val="0019736E"/>
    <w:rsid w:val="001A0122"/>
    <w:rsid w:val="001A17F8"/>
    <w:rsid w:val="001A1F7A"/>
    <w:rsid w:val="001A3DB4"/>
    <w:rsid w:val="001A5CF5"/>
    <w:rsid w:val="001A7950"/>
    <w:rsid w:val="001B17EF"/>
    <w:rsid w:val="001B407E"/>
    <w:rsid w:val="001B6767"/>
    <w:rsid w:val="001B69E6"/>
    <w:rsid w:val="001B767D"/>
    <w:rsid w:val="001C12FD"/>
    <w:rsid w:val="001C19EB"/>
    <w:rsid w:val="001C1EF7"/>
    <w:rsid w:val="001C33C6"/>
    <w:rsid w:val="001C627F"/>
    <w:rsid w:val="001C64C6"/>
    <w:rsid w:val="001C6ADA"/>
    <w:rsid w:val="001C7FFA"/>
    <w:rsid w:val="001D0BA6"/>
    <w:rsid w:val="001D0ECD"/>
    <w:rsid w:val="001D16BF"/>
    <w:rsid w:val="001D1B36"/>
    <w:rsid w:val="001D2F54"/>
    <w:rsid w:val="001D32BD"/>
    <w:rsid w:val="001D384C"/>
    <w:rsid w:val="001D5038"/>
    <w:rsid w:val="001D608C"/>
    <w:rsid w:val="001D77F6"/>
    <w:rsid w:val="001E1EA4"/>
    <w:rsid w:val="001E3497"/>
    <w:rsid w:val="001E486F"/>
    <w:rsid w:val="001E493A"/>
    <w:rsid w:val="001E578A"/>
    <w:rsid w:val="001F288D"/>
    <w:rsid w:val="001F2DCD"/>
    <w:rsid w:val="001F2F9E"/>
    <w:rsid w:val="001F7FC9"/>
    <w:rsid w:val="002032F7"/>
    <w:rsid w:val="002034C6"/>
    <w:rsid w:val="00203A3C"/>
    <w:rsid w:val="00204DB3"/>
    <w:rsid w:val="00205686"/>
    <w:rsid w:val="0020725F"/>
    <w:rsid w:val="00210B55"/>
    <w:rsid w:val="00211E94"/>
    <w:rsid w:val="00212772"/>
    <w:rsid w:val="0021315C"/>
    <w:rsid w:val="00213D16"/>
    <w:rsid w:val="00215D2C"/>
    <w:rsid w:val="00215FE3"/>
    <w:rsid w:val="002160BC"/>
    <w:rsid w:val="0021616B"/>
    <w:rsid w:val="0021789C"/>
    <w:rsid w:val="002178EE"/>
    <w:rsid w:val="00220394"/>
    <w:rsid w:val="00221A33"/>
    <w:rsid w:val="00224338"/>
    <w:rsid w:val="00225269"/>
    <w:rsid w:val="0022567D"/>
    <w:rsid w:val="00225B29"/>
    <w:rsid w:val="00227B88"/>
    <w:rsid w:val="00230D2A"/>
    <w:rsid w:val="00231769"/>
    <w:rsid w:val="002324A5"/>
    <w:rsid w:val="00234BF8"/>
    <w:rsid w:val="00234D4C"/>
    <w:rsid w:val="00234EA8"/>
    <w:rsid w:val="00235514"/>
    <w:rsid w:val="00237ABF"/>
    <w:rsid w:val="00240113"/>
    <w:rsid w:val="00240400"/>
    <w:rsid w:val="00240E84"/>
    <w:rsid w:val="002425EF"/>
    <w:rsid w:val="002433B8"/>
    <w:rsid w:val="0024400F"/>
    <w:rsid w:val="002448D4"/>
    <w:rsid w:val="00244AEE"/>
    <w:rsid w:val="00246178"/>
    <w:rsid w:val="0024631D"/>
    <w:rsid w:val="00247B71"/>
    <w:rsid w:val="00251362"/>
    <w:rsid w:val="00251E79"/>
    <w:rsid w:val="00252D59"/>
    <w:rsid w:val="002531ED"/>
    <w:rsid w:val="002534FD"/>
    <w:rsid w:val="002535A4"/>
    <w:rsid w:val="0025364E"/>
    <w:rsid w:val="00254B3B"/>
    <w:rsid w:val="00255B1C"/>
    <w:rsid w:val="002573A5"/>
    <w:rsid w:val="0026215C"/>
    <w:rsid w:val="00263B27"/>
    <w:rsid w:val="00263DF3"/>
    <w:rsid w:val="002660E9"/>
    <w:rsid w:val="002673D6"/>
    <w:rsid w:val="00273859"/>
    <w:rsid w:val="002747CA"/>
    <w:rsid w:val="002765C8"/>
    <w:rsid w:val="002835C0"/>
    <w:rsid w:val="00284DC5"/>
    <w:rsid w:val="00285763"/>
    <w:rsid w:val="002861B7"/>
    <w:rsid w:val="00286223"/>
    <w:rsid w:val="00286A13"/>
    <w:rsid w:val="002901EA"/>
    <w:rsid w:val="00291BB5"/>
    <w:rsid w:val="00291E71"/>
    <w:rsid w:val="002928F8"/>
    <w:rsid w:val="00292963"/>
    <w:rsid w:val="002937AE"/>
    <w:rsid w:val="0029391F"/>
    <w:rsid w:val="0029485D"/>
    <w:rsid w:val="00295CE5"/>
    <w:rsid w:val="00296DA7"/>
    <w:rsid w:val="002971C7"/>
    <w:rsid w:val="002A0189"/>
    <w:rsid w:val="002A0C62"/>
    <w:rsid w:val="002A2014"/>
    <w:rsid w:val="002A20E2"/>
    <w:rsid w:val="002A277B"/>
    <w:rsid w:val="002A3203"/>
    <w:rsid w:val="002A45A8"/>
    <w:rsid w:val="002A4BAC"/>
    <w:rsid w:val="002A5E6C"/>
    <w:rsid w:val="002A6602"/>
    <w:rsid w:val="002A7199"/>
    <w:rsid w:val="002B006E"/>
    <w:rsid w:val="002B0A3A"/>
    <w:rsid w:val="002B0C34"/>
    <w:rsid w:val="002B295C"/>
    <w:rsid w:val="002B38B5"/>
    <w:rsid w:val="002B3B74"/>
    <w:rsid w:val="002B3D14"/>
    <w:rsid w:val="002B455A"/>
    <w:rsid w:val="002B4ED8"/>
    <w:rsid w:val="002B5244"/>
    <w:rsid w:val="002B6536"/>
    <w:rsid w:val="002B777E"/>
    <w:rsid w:val="002B77B1"/>
    <w:rsid w:val="002B78D5"/>
    <w:rsid w:val="002C03B6"/>
    <w:rsid w:val="002C071A"/>
    <w:rsid w:val="002C1083"/>
    <w:rsid w:val="002C1853"/>
    <w:rsid w:val="002C6C88"/>
    <w:rsid w:val="002C79AD"/>
    <w:rsid w:val="002D028C"/>
    <w:rsid w:val="002D2669"/>
    <w:rsid w:val="002D2978"/>
    <w:rsid w:val="002D2EFD"/>
    <w:rsid w:val="002D3914"/>
    <w:rsid w:val="002D3F04"/>
    <w:rsid w:val="002D74BE"/>
    <w:rsid w:val="002D7A19"/>
    <w:rsid w:val="002D7FAA"/>
    <w:rsid w:val="002E0243"/>
    <w:rsid w:val="002E17A1"/>
    <w:rsid w:val="002E25CF"/>
    <w:rsid w:val="002E2B9A"/>
    <w:rsid w:val="002E3DE9"/>
    <w:rsid w:val="002E4899"/>
    <w:rsid w:val="002E59A3"/>
    <w:rsid w:val="002E7360"/>
    <w:rsid w:val="002F10CD"/>
    <w:rsid w:val="002F1670"/>
    <w:rsid w:val="002F19B9"/>
    <w:rsid w:val="002F2328"/>
    <w:rsid w:val="002F30BF"/>
    <w:rsid w:val="002F5FB9"/>
    <w:rsid w:val="002F740A"/>
    <w:rsid w:val="002F7489"/>
    <w:rsid w:val="002F7717"/>
    <w:rsid w:val="002F7F1B"/>
    <w:rsid w:val="00301260"/>
    <w:rsid w:val="0030341E"/>
    <w:rsid w:val="003055CA"/>
    <w:rsid w:val="00305A29"/>
    <w:rsid w:val="00306407"/>
    <w:rsid w:val="00307E40"/>
    <w:rsid w:val="00310BE1"/>
    <w:rsid w:val="003129F5"/>
    <w:rsid w:val="00314E55"/>
    <w:rsid w:val="00320E4C"/>
    <w:rsid w:val="0032410D"/>
    <w:rsid w:val="0032418B"/>
    <w:rsid w:val="00324ACF"/>
    <w:rsid w:val="00324E74"/>
    <w:rsid w:val="00327545"/>
    <w:rsid w:val="00332D0F"/>
    <w:rsid w:val="00332F70"/>
    <w:rsid w:val="0033302F"/>
    <w:rsid w:val="003333BB"/>
    <w:rsid w:val="003339E1"/>
    <w:rsid w:val="0033438E"/>
    <w:rsid w:val="00334FAF"/>
    <w:rsid w:val="00335B5D"/>
    <w:rsid w:val="003405E0"/>
    <w:rsid w:val="00343A58"/>
    <w:rsid w:val="003448AC"/>
    <w:rsid w:val="003475D8"/>
    <w:rsid w:val="00347F37"/>
    <w:rsid w:val="003503A9"/>
    <w:rsid w:val="003509CA"/>
    <w:rsid w:val="00350DCD"/>
    <w:rsid w:val="0035149E"/>
    <w:rsid w:val="0035166F"/>
    <w:rsid w:val="00354F01"/>
    <w:rsid w:val="00355458"/>
    <w:rsid w:val="00356818"/>
    <w:rsid w:val="003617A0"/>
    <w:rsid w:val="003628A7"/>
    <w:rsid w:val="00364AC6"/>
    <w:rsid w:val="00365177"/>
    <w:rsid w:val="0036600A"/>
    <w:rsid w:val="003707AE"/>
    <w:rsid w:val="00370820"/>
    <w:rsid w:val="00372AF2"/>
    <w:rsid w:val="0037435A"/>
    <w:rsid w:val="0037437B"/>
    <w:rsid w:val="0037539C"/>
    <w:rsid w:val="00375ACC"/>
    <w:rsid w:val="003761A6"/>
    <w:rsid w:val="00377244"/>
    <w:rsid w:val="0038213D"/>
    <w:rsid w:val="003839A3"/>
    <w:rsid w:val="00383FDE"/>
    <w:rsid w:val="003841AB"/>
    <w:rsid w:val="003844AA"/>
    <w:rsid w:val="0039148E"/>
    <w:rsid w:val="00392B96"/>
    <w:rsid w:val="00392C5E"/>
    <w:rsid w:val="00392EA6"/>
    <w:rsid w:val="003933FD"/>
    <w:rsid w:val="00393A45"/>
    <w:rsid w:val="00394A90"/>
    <w:rsid w:val="00396267"/>
    <w:rsid w:val="00396FCE"/>
    <w:rsid w:val="003A02B7"/>
    <w:rsid w:val="003A16D3"/>
    <w:rsid w:val="003A2D84"/>
    <w:rsid w:val="003A6950"/>
    <w:rsid w:val="003B1ECF"/>
    <w:rsid w:val="003B3B41"/>
    <w:rsid w:val="003B5DF8"/>
    <w:rsid w:val="003B6257"/>
    <w:rsid w:val="003B635E"/>
    <w:rsid w:val="003C1282"/>
    <w:rsid w:val="003C1FBA"/>
    <w:rsid w:val="003C2FE8"/>
    <w:rsid w:val="003C3C71"/>
    <w:rsid w:val="003C5D97"/>
    <w:rsid w:val="003C706D"/>
    <w:rsid w:val="003C7F32"/>
    <w:rsid w:val="003D4021"/>
    <w:rsid w:val="003D4878"/>
    <w:rsid w:val="003D6EEE"/>
    <w:rsid w:val="003D7A77"/>
    <w:rsid w:val="003E1908"/>
    <w:rsid w:val="003E3EAD"/>
    <w:rsid w:val="003E5BD2"/>
    <w:rsid w:val="003E6F45"/>
    <w:rsid w:val="003F0DAC"/>
    <w:rsid w:val="003F201E"/>
    <w:rsid w:val="003F3E00"/>
    <w:rsid w:val="003F4A13"/>
    <w:rsid w:val="003F5DB9"/>
    <w:rsid w:val="003F6969"/>
    <w:rsid w:val="003F78E8"/>
    <w:rsid w:val="00401B8A"/>
    <w:rsid w:val="004036CA"/>
    <w:rsid w:val="0040381C"/>
    <w:rsid w:val="00403AD2"/>
    <w:rsid w:val="00406E7B"/>
    <w:rsid w:val="00413019"/>
    <w:rsid w:val="00413A14"/>
    <w:rsid w:val="00413F2B"/>
    <w:rsid w:val="004143E6"/>
    <w:rsid w:val="00414B9E"/>
    <w:rsid w:val="00416974"/>
    <w:rsid w:val="00417F6E"/>
    <w:rsid w:val="00420993"/>
    <w:rsid w:val="00420E91"/>
    <w:rsid w:val="004217EC"/>
    <w:rsid w:val="004246B3"/>
    <w:rsid w:val="00424B35"/>
    <w:rsid w:val="00424CEB"/>
    <w:rsid w:val="00424E49"/>
    <w:rsid w:val="00425020"/>
    <w:rsid w:val="0042758B"/>
    <w:rsid w:val="0043354B"/>
    <w:rsid w:val="00433DAF"/>
    <w:rsid w:val="00435539"/>
    <w:rsid w:val="004373E3"/>
    <w:rsid w:val="00441B2E"/>
    <w:rsid w:val="00442B8E"/>
    <w:rsid w:val="00442EC8"/>
    <w:rsid w:val="004430B3"/>
    <w:rsid w:val="00443F12"/>
    <w:rsid w:val="00443F61"/>
    <w:rsid w:val="00443FDB"/>
    <w:rsid w:val="00444E97"/>
    <w:rsid w:val="004462E9"/>
    <w:rsid w:val="004470B2"/>
    <w:rsid w:val="004476A1"/>
    <w:rsid w:val="00450085"/>
    <w:rsid w:val="004502A1"/>
    <w:rsid w:val="00450A50"/>
    <w:rsid w:val="00451C61"/>
    <w:rsid w:val="004538DB"/>
    <w:rsid w:val="004548C4"/>
    <w:rsid w:val="00456621"/>
    <w:rsid w:val="0045723F"/>
    <w:rsid w:val="00457572"/>
    <w:rsid w:val="00461591"/>
    <w:rsid w:val="0046218D"/>
    <w:rsid w:val="00463FDB"/>
    <w:rsid w:val="004643D5"/>
    <w:rsid w:val="00464772"/>
    <w:rsid w:val="00465276"/>
    <w:rsid w:val="00467ADF"/>
    <w:rsid w:val="00467C63"/>
    <w:rsid w:val="004708E1"/>
    <w:rsid w:val="00470DF5"/>
    <w:rsid w:val="00472E55"/>
    <w:rsid w:val="00472FBC"/>
    <w:rsid w:val="0047380D"/>
    <w:rsid w:val="004744BF"/>
    <w:rsid w:val="0047506D"/>
    <w:rsid w:val="00477215"/>
    <w:rsid w:val="00477268"/>
    <w:rsid w:val="00477F9B"/>
    <w:rsid w:val="0048099F"/>
    <w:rsid w:val="00481C26"/>
    <w:rsid w:val="004837AF"/>
    <w:rsid w:val="00485497"/>
    <w:rsid w:val="00485CE2"/>
    <w:rsid w:val="00487DA4"/>
    <w:rsid w:val="004919F0"/>
    <w:rsid w:val="004924F7"/>
    <w:rsid w:val="00492DC3"/>
    <w:rsid w:val="0049467E"/>
    <w:rsid w:val="00497A35"/>
    <w:rsid w:val="00497DB2"/>
    <w:rsid w:val="004A05B7"/>
    <w:rsid w:val="004A118E"/>
    <w:rsid w:val="004A12BB"/>
    <w:rsid w:val="004A1459"/>
    <w:rsid w:val="004A2CAF"/>
    <w:rsid w:val="004A5237"/>
    <w:rsid w:val="004A7C49"/>
    <w:rsid w:val="004B0754"/>
    <w:rsid w:val="004B0E7E"/>
    <w:rsid w:val="004B22E7"/>
    <w:rsid w:val="004B394C"/>
    <w:rsid w:val="004B3FCF"/>
    <w:rsid w:val="004B64D7"/>
    <w:rsid w:val="004B736E"/>
    <w:rsid w:val="004C0260"/>
    <w:rsid w:val="004C15A5"/>
    <w:rsid w:val="004C21E3"/>
    <w:rsid w:val="004C2840"/>
    <w:rsid w:val="004C2F11"/>
    <w:rsid w:val="004C3EF4"/>
    <w:rsid w:val="004C4238"/>
    <w:rsid w:val="004C50A4"/>
    <w:rsid w:val="004C5C52"/>
    <w:rsid w:val="004C60AA"/>
    <w:rsid w:val="004C7D63"/>
    <w:rsid w:val="004D194A"/>
    <w:rsid w:val="004D1DD6"/>
    <w:rsid w:val="004D33AE"/>
    <w:rsid w:val="004D48E6"/>
    <w:rsid w:val="004D554A"/>
    <w:rsid w:val="004D7DB9"/>
    <w:rsid w:val="004D7EF1"/>
    <w:rsid w:val="004E0EC6"/>
    <w:rsid w:val="004E1789"/>
    <w:rsid w:val="004E1DA2"/>
    <w:rsid w:val="004E2810"/>
    <w:rsid w:val="004E34B6"/>
    <w:rsid w:val="004E3F54"/>
    <w:rsid w:val="004E440C"/>
    <w:rsid w:val="004E4CA4"/>
    <w:rsid w:val="004E5A35"/>
    <w:rsid w:val="004F003C"/>
    <w:rsid w:val="004F01A3"/>
    <w:rsid w:val="004F087F"/>
    <w:rsid w:val="004F0CEF"/>
    <w:rsid w:val="004F1156"/>
    <w:rsid w:val="004F20B5"/>
    <w:rsid w:val="004F6399"/>
    <w:rsid w:val="00501DD8"/>
    <w:rsid w:val="005024A3"/>
    <w:rsid w:val="00502BDB"/>
    <w:rsid w:val="00503849"/>
    <w:rsid w:val="005040E4"/>
    <w:rsid w:val="005064B9"/>
    <w:rsid w:val="00510FE6"/>
    <w:rsid w:val="00511C94"/>
    <w:rsid w:val="00512640"/>
    <w:rsid w:val="005148BD"/>
    <w:rsid w:val="00514AA7"/>
    <w:rsid w:val="00515985"/>
    <w:rsid w:val="00516B30"/>
    <w:rsid w:val="00516EE9"/>
    <w:rsid w:val="00517205"/>
    <w:rsid w:val="005209E3"/>
    <w:rsid w:val="00520BA1"/>
    <w:rsid w:val="00521290"/>
    <w:rsid w:val="005219C1"/>
    <w:rsid w:val="00522246"/>
    <w:rsid w:val="005245F2"/>
    <w:rsid w:val="005253D7"/>
    <w:rsid w:val="0052631D"/>
    <w:rsid w:val="005269D6"/>
    <w:rsid w:val="00527186"/>
    <w:rsid w:val="00527DFC"/>
    <w:rsid w:val="00532BB7"/>
    <w:rsid w:val="005340A4"/>
    <w:rsid w:val="0053757F"/>
    <w:rsid w:val="00544038"/>
    <w:rsid w:val="00544557"/>
    <w:rsid w:val="00547C7D"/>
    <w:rsid w:val="00550CF7"/>
    <w:rsid w:val="00551ADE"/>
    <w:rsid w:val="00555260"/>
    <w:rsid w:val="0055532D"/>
    <w:rsid w:val="005566A3"/>
    <w:rsid w:val="0055782C"/>
    <w:rsid w:val="00557EBB"/>
    <w:rsid w:val="005603F6"/>
    <w:rsid w:val="00560C44"/>
    <w:rsid w:val="0056115B"/>
    <w:rsid w:val="00562500"/>
    <w:rsid w:val="00562E33"/>
    <w:rsid w:val="005664EE"/>
    <w:rsid w:val="00571ECE"/>
    <w:rsid w:val="0057362B"/>
    <w:rsid w:val="00573B36"/>
    <w:rsid w:val="00575524"/>
    <w:rsid w:val="005757FA"/>
    <w:rsid w:val="0057795A"/>
    <w:rsid w:val="005800D8"/>
    <w:rsid w:val="0058106D"/>
    <w:rsid w:val="005812C7"/>
    <w:rsid w:val="00581A4E"/>
    <w:rsid w:val="00582B7E"/>
    <w:rsid w:val="005833F2"/>
    <w:rsid w:val="00586026"/>
    <w:rsid w:val="0058663C"/>
    <w:rsid w:val="00587330"/>
    <w:rsid w:val="00594A85"/>
    <w:rsid w:val="00594CCA"/>
    <w:rsid w:val="00594D2A"/>
    <w:rsid w:val="005960DF"/>
    <w:rsid w:val="00596412"/>
    <w:rsid w:val="0059749C"/>
    <w:rsid w:val="005A0834"/>
    <w:rsid w:val="005A0B2E"/>
    <w:rsid w:val="005A1144"/>
    <w:rsid w:val="005A1E26"/>
    <w:rsid w:val="005A3558"/>
    <w:rsid w:val="005A6E22"/>
    <w:rsid w:val="005A7C72"/>
    <w:rsid w:val="005B113E"/>
    <w:rsid w:val="005B1381"/>
    <w:rsid w:val="005B1872"/>
    <w:rsid w:val="005B31BF"/>
    <w:rsid w:val="005B5E97"/>
    <w:rsid w:val="005B778B"/>
    <w:rsid w:val="005C132E"/>
    <w:rsid w:val="005C332F"/>
    <w:rsid w:val="005C4BA3"/>
    <w:rsid w:val="005C6937"/>
    <w:rsid w:val="005C766A"/>
    <w:rsid w:val="005D3799"/>
    <w:rsid w:val="005D6460"/>
    <w:rsid w:val="005D6AA5"/>
    <w:rsid w:val="005D6C4C"/>
    <w:rsid w:val="005E1F85"/>
    <w:rsid w:val="005E29F8"/>
    <w:rsid w:val="005E4AFA"/>
    <w:rsid w:val="005E67BA"/>
    <w:rsid w:val="005E7A5F"/>
    <w:rsid w:val="005F4B9D"/>
    <w:rsid w:val="005F4EC6"/>
    <w:rsid w:val="005F503A"/>
    <w:rsid w:val="005F703D"/>
    <w:rsid w:val="005F792F"/>
    <w:rsid w:val="00601F65"/>
    <w:rsid w:val="00602E6F"/>
    <w:rsid w:val="00603321"/>
    <w:rsid w:val="0060502C"/>
    <w:rsid w:val="006059BE"/>
    <w:rsid w:val="00606702"/>
    <w:rsid w:val="00610A46"/>
    <w:rsid w:val="00614A23"/>
    <w:rsid w:val="00615199"/>
    <w:rsid w:val="006152FC"/>
    <w:rsid w:val="00615C2B"/>
    <w:rsid w:val="006161F7"/>
    <w:rsid w:val="00616D94"/>
    <w:rsid w:val="00621D67"/>
    <w:rsid w:val="0062232A"/>
    <w:rsid w:val="00622FEE"/>
    <w:rsid w:val="0062479E"/>
    <w:rsid w:val="006253F0"/>
    <w:rsid w:val="00626116"/>
    <w:rsid w:val="00626F2F"/>
    <w:rsid w:val="006277FA"/>
    <w:rsid w:val="006308FC"/>
    <w:rsid w:val="00631F7C"/>
    <w:rsid w:val="006334C8"/>
    <w:rsid w:val="00633762"/>
    <w:rsid w:val="006352D8"/>
    <w:rsid w:val="00641EE9"/>
    <w:rsid w:val="006466A1"/>
    <w:rsid w:val="00647561"/>
    <w:rsid w:val="00647DA2"/>
    <w:rsid w:val="00651B0D"/>
    <w:rsid w:val="006528DC"/>
    <w:rsid w:val="00652C7B"/>
    <w:rsid w:val="00652D74"/>
    <w:rsid w:val="006546CD"/>
    <w:rsid w:val="00655307"/>
    <w:rsid w:val="00655999"/>
    <w:rsid w:val="00657200"/>
    <w:rsid w:val="00660591"/>
    <w:rsid w:val="00660FC0"/>
    <w:rsid w:val="0066405E"/>
    <w:rsid w:val="006645FF"/>
    <w:rsid w:val="006657DB"/>
    <w:rsid w:val="006663AE"/>
    <w:rsid w:val="006668A0"/>
    <w:rsid w:val="00666A0B"/>
    <w:rsid w:val="0066778D"/>
    <w:rsid w:val="0066792A"/>
    <w:rsid w:val="0066794F"/>
    <w:rsid w:val="0067053F"/>
    <w:rsid w:val="006713A3"/>
    <w:rsid w:val="006717AD"/>
    <w:rsid w:val="00673364"/>
    <w:rsid w:val="0067416D"/>
    <w:rsid w:val="00674501"/>
    <w:rsid w:val="00675A6D"/>
    <w:rsid w:val="00675B89"/>
    <w:rsid w:val="00676A40"/>
    <w:rsid w:val="00677EFE"/>
    <w:rsid w:val="006832B2"/>
    <w:rsid w:val="00683BD7"/>
    <w:rsid w:val="00684B9D"/>
    <w:rsid w:val="006851EC"/>
    <w:rsid w:val="00685264"/>
    <w:rsid w:val="006859D7"/>
    <w:rsid w:val="006869AC"/>
    <w:rsid w:val="006870BA"/>
    <w:rsid w:val="006877D1"/>
    <w:rsid w:val="00687C7F"/>
    <w:rsid w:val="00687F4C"/>
    <w:rsid w:val="006920AA"/>
    <w:rsid w:val="006920E9"/>
    <w:rsid w:val="00693B2D"/>
    <w:rsid w:val="006946C9"/>
    <w:rsid w:val="006952AC"/>
    <w:rsid w:val="00697DF4"/>
    <w:rsid w:val="00697E26"/>
    <w:rsid w:val="006A286A"/>
    <w:rsid w:val="006A3C6A"/>
    <w:rsid w:val="006A4651"/>
    <w:rsid w:val="006A7180"/>
    <w:rsid w:val="006B0A13"/>
    <w:rsid w:val="006B0C1D"/>
    <w:rsid w:val="006B0EB0"/>
    <w:rsid w:val="006B14B9"/>
    <w:rsid w:val="006B1B84"/>
    <w:rsid w:val="006B2D28"/>
    <w:rsid w:val="006B3CBD"/>
    <w:rsid w:val="006B5613"/>
    <w:rsid w:val="006B564A"/>
    <w:rsid w:val="006B63EF"/>
    <w:rsid w:val="006C0DAE"/>
    <w:rsid w:val="006C1B16"/>
    <w:rsid w:val="006C252D"/>
    <w:rsid w:val="006D02B8"/>
    <w:rsid w:val="006D136D"/>
    <w:rsid w:val="006D3514"/>
    <w:rsid w:val="006D3B86"/>
    <w:rsid w:val="006D6B61"/>
    <w:rsid w:val="006E0083"/>
    <w:rsid w:val="006E14BB"/>
    <w:rsid w:val="006E23D8"/>
    <w:rsid w:val="006E28F2"/>
    <w:rsid w:val="006E3E7F"/>
    <w:rsid w:val="006E4631"/>
    <w:rsid w:val="006E5060"/>
    <w:rsid w:val="006E51B1"/>
    <w:rsid w:val="006E7590"/>
    <w:rsid w:val="006F05CE"/>
    <w:rsid w:val="006F0A7C"/>
    <w:rsid w:val="006F0CD6"/>
    <w:rsid w:val="006F30C1"/>
    <w:rsid w:val="006F3AD3"/>
    <w:rsid w:val="006F4567"/>
    <w:rsid w:val="006F4F88"/>
    <w:rsid w:val="006F6A92"/>
    <w:rsid w:val="007007EE"/>
    <w:rsid w:val="0070573B"/>
    <w:rsid w:val="00705804"/>
    <w:rsid w:val="00706222"/>
    <w:rsid w:val="00706394"/>
    <w:rsid w:val="0070721F"/>
    <w:rsid w:val="007102D0"/>
    <w:rsid w:val="00710F1B"/>
    <w:rsid w:val="0071141D"/>
    <w:rsid w:val="0071203D"/>
    <w:rsid w:val="00713383"/>
    <w:rsid w:val="007137B3"/>
    <w:rsid w:val="00713878"/>
    <w:rsid w:val="007151E5"/>
    <w:rsid w:val="0071574F"/>
    <w:rsid w:val="007163DB"/>
    <w:rsid w:val="00716589"/>
    <w:rsid w:val="00717245"/>
    <w:rsid w:val="0071764B"/>
    <w:rsid w:val="00720FAC"/>
    <w:rsid w:val="00726B3B"/>
    <w:rsid w:val="007333E8"/>
    <w:rsid w:val="007352D7"/>
    <w:rsid w:val="00735C0B"/>
    <w:rsid w:val="00736949"/>
    <w:rsid w:val="007374CE"/>
    <w:rsid w:val="0074021A"/>
    <w:rsid w:val="0074025A"/>
    <w:rsid w:val="0074143C"/>
    <w:rsid w:val="00744DF7"/>
    <w:rsid w:val="00747652"/>
    <w:rsid w:val="00751649"/>
    <w:rsid w:val="007526D6"/>
    <w:rsid w:val="00752AA1"/>
    <w:rsid w:val="00753C5E"/>
    <w:rsid w:val="00754372"/>
    <w:rsid w:val="0075453E"/>
    <w:rsid w:val="00756D50"/>
    <w:rsid w:val="0075763D"/>
    <w:rsid w:val="00760522"/>
    <w:rsid w:val="00760AC3"/>
    <w:rsid w:val="00760C37"/>
    <w:rsid w:val="00762B6E"/>
    <w:rsid w:val="007633FC"/>
    <w:rsid w:val="00765994"/>
    <w:rsid w:val="0076604D"/>
    <w:rsid w:val="007662F9"/>
    <w:rsid w:val="00766446"/>
    <w:rsid w:val="00766931"/>
    <w:rsid w:val="0077093E"/>
    <w:rsid w:val="00771E10"/>
    <w:rsid w:val="00771F48"/>
    <w:rsid w:val="007729FC"/>
    <w:rsid w:val="007743C0"/>
    <w:rsid w:val="00774868"/>
    <w:rsid w:val="007752D7"/>
    <w:rsid w:val="00776C0D"/>
    <w:rsid w:val="0078025F"/>
    <w:rsid w:val="00781797"/>
    <w:rsid w:val="007837EB"/>
    <w:rsid w:val="0078462C"/>
    <w:rsid w:val="0078516F"/>
    <w:rsid w:val="007860BD"/>
    <w:rsid w:val="007862B5"/>
    <w:rsid w:val="007866D2"/>
    <w:rsid w:val="00787BD8"/>
    <w:rsid w:val="0079124A"/>
    <w:rsid w:val="00791E0B"/>
    <w:rsid w:val="0079263A"/>
    <w:rsid w:val="00793CEC"/>
    <w:rsid w:val="00794001"/>
    <w:rsid w:val="007945CE"/>
    <w:rsid w:val="00795B38"/>
    <w:rsid w:val="007A2554"/>
    <w:rsid w:val="007A29B7"/>
    <w:rsid w:val="007A3EDE"/>
    <w:rsid w:val="007A6405"/>
    <w:rsid w:val="007B0EF4"/>
    <w:rsid w:val="007B122A"/>
    <w:rsid w:val="007B17A6"/>
    <w:rsid w:val="007B3898"/>
    <w:rsid w:val="007B3D4B"/>
    <w:rsid w:val="007B5AFA"/>
    <w:rsid w:val="007B7CC2"/>
    <w:rsid w:val="007C02BE"/>
    <w:rsid w:val="007C091C"/>
    <w:rsid w:val="007C418C"/>
    <w:rsid w:val="007C47CB"/>
    <w:rsid w:val="007C4ABF"/>
    <w:rsid w:val="007D01D3"/>
    <w:rsid w:val="007D0383"/>
    <w:rsid w:val="007D0BDE"/>
    <w:rsid w:val="007D1C43"/>
    <w:rsid w:val="007D342F"/>
    <w:rsid w:val="007D3D24"/>
    <w:rsid w:val="007D65E9"/>
    <w:rsid w:val="007D7600"/>
    <w:rsid w:val="007E0487"/>
    <w:rsid w:val="007E2E0D"/>
    <w:rsid w:val="007E326E"/>
    <w:rsid w:val="007E41BD"/>
    <w:rsid w:val="007E646D"/>
    <w:rsid w:val="007E7C0E"/>
    <w:rsid w:val="007F0F05"/>
    <w:rsid w:val="007F10CB"/>
    <w:rsid w:val="007F3966"/>
    <w:rsid w:val="007F441C"/>
    <w:rsid w:val="007F4EBA"/>
    <w:rsid w:val="007F5111"/>
    <w:rsid w:val="007F757E"/>
    <w:rsid w:val="00800466"/>
    <w:rsid w:val="00801587"/>
    <w:rsid w:val="00803547"/>
    <w:rsid w:val="008039B9"/>
    <w:rsid w:val="00803D4D"/>
    <w:rsid w:val="00804156"/>
    <w:rsid w:val="0080527C"/>
    <w:rsid w:val="00806CE1"/>
    <w:rsid w:val="008071E0"/>
    <w:rsid w:val="00807C7C"/>
    <w:rsid w:val="00810D06"/>
    <w:rsid w:val="008117ED"/>
    <w:rsid w:val="00811810"/>
    <w:rsid w:val="00815035"/>
    <w:rsid w:val="0081604B"/>
    <w:rsid w:val="00816522"/>
    <w:rsid w:val="00816746"/>
    <w:rsid w:val="0081728D"/>
    <w:rsid w:val="00817E9A"/>
    <w:rsid w:val="00820107"/>
    <w:rsid w:val="00821321"/>
    <w:rsid w:val="00821865"/>
    <w:rsid w:val="00821CDD"/>
    <w:rsid w:val="00822A32"/>
    <w:rsid w:val="0082353F"/>
    <w:rsid w:val="0082406B"/>
    <w:rsid w:val="00825A2C"/>
    <w:rsid w:val="00825FB0"/>
    <w:rsid w:val="00826159"/>
    <w:rsid w:val="00826858"/>
    <w:rsid w:val="00826948"/>
    <w:rsid w:val="00827542"/>
    <w:rsid w:val="00827AC0"/>
    <w:rsid w:val="00830ACF"/>
    <w:rsid w:val="00833992"/>
    <w:rsid w:val="00833A77"/>
    <w:rsid w:val="00833D40"/>
    <w:rsid w:val="00834033"/>
    <w:rsid w:val="0083490A"/>
    <w:rsid w:val="00837C40"/>
    <w:rsid w:val="00841618"/>
    <w:rsid w:val="00841E33"/>
    <w:rsid w:val="00842BB4"/>
    <w:rsid w:val="00842FFE"/>
    <w:rsid w:val="00843D65"/>
    <w:rsid w:val="00844B75"/>
    <w:rsid w:val="00844E46"/>
    <w:rsid w:val="008473F7"/>
    <w:rsid w:val="008502F7"/>
    <w:rsid w:val="008510FE"/>
    <w:rsid w:val="008519C1"/>
    <w:rsid w:val="00852A92"/>
    <w:rsid w:val="00853DE4"/>
    <w:rsid w:val="008541CD"/>
    <w:rsid w:val="008542E4"/>
    <w:rsid w:val="00854350"/>
    <w:rsid w:val="00854630"/>
    <w:rsid w:val="008546EE"/>
    <w:rsid w:val="00855AC2"/>
    <w:rsid w:val="00855D9F"/>
    <w:rsid w:val="0086131A"/>
    <w:rsid w:val="008622F9"/>
    <w:rsid w:val="008629EE"/>
    <w:rsid w:val="008631B9"/>
    <w:rsid w:val="00867127"/>
    <w:rsid w:val="008679AD"/>
    <w:rsid w:val="0087032E"/>
    <w:rsid w:val="00871515"/>
    <w:rsid w:val="00871AB3"/>
    <w:rsid w:val="008732FE"/>
    <w:rsid w:val="008735B1"/>
    <w:rsid w:val="008808AB"/>
    <w:rsid w:val="00880CAC"/>
    <w:rsid w:val="00881E09"/>
    <w:rsid w:val="008822B2"/>
    <w:rsid w:val="00883417"/>
    <w:rsid w:val="00883E28"/>
    <w:rsid w:val="00884C37"/>
    <w:rsid w:val="00885108"/>
    <w:rsid w:val="00885C1E"/>
    <w:rsid w:val="00886556"/>
    <w:rsid w:val="00886CDB"/>
    <w:rsid w:val="008906A0"/>
    <w:rsid w:val="008908B8"/>
    <w:rsid w:val="00890E08"/>
    <w:rsid w:val="00892024"/>
    <w:rsid w:val="0089331F"/>
    <w:rsid w:val="00896E21"/>
    <w:rsid w:val="008A0ADC"/>
    <w:rsid w:val="008A220B"/>
    <w:rsid w:val="008A24B8"/>
    <w:rsid w:val="008A2D2B"/>
    <w:rsid w:val="008A34E7"/>
    <w:rsid w:val="008A5FE4"/>
    <w:rsid w:val="008A752F"/>
    <w:rsid w:val="008B06CC"/>
    <w:rsid w:val="008B1357"/>
    <w:rsid w:val="008B2632"/>
    <w:rsid w:val="008B31FA"/>
    <w:rsid w:val="008B45B6"/>
    <w:rsid w:val="008B69CA"/>
    <w:rsid w:val="008B747D"/>
    <w:rsid w:val="008B7F3C"/>
    <w:rsid w:val="008C0FB9"/>
    <w:rsid w:val="008C17C6"/>
    <w:rsid w:val="008C286C"/>
    <w:rsid w:val="008C55AC"/>
    <w:rsid w:val="008C5873"/>
    <w:rsid w:val="008C7B22"/>
    <w:rsid w:val="008D0A8E"/>
    <w:rsid w:val="008D0E65"/>
    <w:rsid w:val="008D3353"/>
    <w:rsid w:val="008D55AC"/>
    <w:rsid w:val="008D5915"/>
    <w:rsid w:val="008D7C35"/>
    <w:rsid w:val="008E05C9"/>
    <w:rsid w:val="008E0939"/>
    <w:rsid w:val="008E13E3"/>
    <w:rsid w:val="008E419E"/>
    <w:rsid w:val="008E5DF7"/>
    <w:rsid w:val="008E716F"/>
    <w:rsid w:val="008F128B"/>
    <w:rsid w:val="008F14A3"/>
    <w:rsid w:val="008F1E5C"/>
    <w:rsid w:val="008F2458"/>
    <w:rsid w:val="008F397A"/>
    <w:rsid w:val="008F457B"/>
    <w:rsid w:val="008F53C7"/>
    <w:rsid w:val="008F5EF5"/>
    <w:rsid w:val="008F64FE"/>
    <w:rsid w:val="008F7119"/>
    <w:rsid w:val="00900297"/>
    <w:rsid w:val="00900445"/>
    <w:rsid w:val="00902DD2"/>
    <w:rsid w:val="00903290"/>
    <w:rsid w:val="00903A62"/>
    <w:rsid w:val="00903F46"/>
    <w:rsid w:val="00903F5B"/>
    <w:rsid w:val="0090541C"/>
    <w:rsid w:val="009109E1"/>
    <w:rsid w:val="00910C5B"/>
    <w:rsid w:val="00914107"/>
    <w:rsid w:val="00914B34"/>
    <w:rsid w:val="009166CE"/>
    <w:rsid w:val="00916790"/>
    <w:rsid w:val="00922C91"/>
    <w:rsid w:val="009232AC"/>
    <w:rsid w:val="009233EA"/>
    <w:rsid w:val="0092542D"/>
    <w:rsid w:val="00926112"/>
    <w:rsid w:val="00926261"/>
    <w:rsid w:val="00926E09"/>
    <w:rsid w:val="00927043"/>
    <w:rsid w:val="009271C8"/>
    <w:rsid w:val="0093111B"/>
    <w:rsid w:val="00932372"/>
    <w:rsid w:val="00932715"/>
    <w:rsid w:val="00933BB7"/>
    <w:rsid w:val="00934535"/>
    <w:rsid w:val="009357A9"/>
    <w:rsid w:val="0093592A"/>
    <w:rsid w:val="00936A58"/>
    <w:rsid w:val="00937D85"/>
    <w:rsid w:val="009402EE"/>
    <w:rsid w:val="009411AD"/>
    <w:rsid w:val="009434BD"/>
    <w:rsid w:val="00943A0E"/>
    <w:rsid w:val="00946649"/>
    <w:rsid w:val="0094671C"/>
    <w:rsid w:val="0094768F"/>
    <w:rsid w:val="009515C0"/>
    <w:rsid w:val="00953E10"/>
    <w:rsid w:val="00954700"/>
    <w:rsid w:val="009568A1"/>
    <w:rsid w:val="00957907"/>
    <w:rsid w:val="00957982"/>
    <w:rsid w:val="00962258"/>
    <w:rsid w:val="00962626"/>
    <w:rsid w:val="00962A49"/>
    <w:rsid w:val="00962B93"/>
    <w:rsid w:val="009637CE"/>
    <w:rsid w:val="00963E9F"/>
    <w:rsid w:val="00964F81"/>
    <w:rsid w:val="00966A3E"/>
    <w:rsid w:val="0096717B"/>
    <w:rsid w:val="00967682"/>
    <w:rsid w:val="00970FB9"/>
    <w:rsid w:val="009724C8"/>
    <w:rsid w:val="00974F7D"/>
    <w:rsid w:val="00976118"/>
    <w:rsid w:val="00976260"/>
    <w:rsid w:val="00980707"/>
    <w:rsid w:val="0098114B"/>
    <w:rsid w:val="00981621"/>
    <w:rsid w:val="00982C53"/>
    <w:rsid w:val="00984535"/>
    <w:rsid w:val="009852E7"/>
    <w:rsid w:val="00985893"/>
    <w:rsid w:val="00985A05"/>
    <w:rsid w:val="009900BC"/>
    <w:rsid w:val="00990292"/>
    <w:rsid w:val="00990648"/>
    <w:rsid w:val="00992676"/>
    <w:rsid w:val="00992A4F"/>
    <w:rsid w:val="00992BC1"/>
    <w:rsid w:val="00993CEF"/>
    <w:rsid w:val="009946B1"/>
    <w:rsid w:val="00994B26"/>
    <w:rsid w:val="009A0EA7"/>
    <w:rsid w:val="009A17A8"/>
    <w:rsid w:val="009A2A32"/>
    <w:rsid w:val="009A57AC"/>
    <w:rsid w:val="009B0173"/>
    <w:rsid w:val="009B0741"/>
    <w:rsid w:val="009B123D"/>
    <w:rsid w:val="009B166B"/>
    <w:rsid w:val="009B2345"/>
    <w:rsid w:val="009B338A"/>
    <w:rsid w:val="009B41CA"/>
    <w:rsid w:val="009B4E37"/>
    <w:rsid w:val="009B559B"/>
    <w:rsid w:val="009B71DE"/>
    <w:rsid w:val="009C0432"/>
    <w:rsid w:val="009C04C8"/>
    <w:rsid w:val="009C1129"/>
    <w:rsid w:val="009C1714"/>
    <w:rsid w:val="009C2E7D"/>
    <w:rsid w:val="009C43BA"/>
    <w:rsid w:val="009C4B07"/>
    <w:rsid w:val="009C4D48"/>
    <w:rsid w:val="009C7575"/>
    <w:rsid w:val="009C764B"/>
    <w:rsid w:val="009D0EF9"/>
    <w:rsid w:val="009D0F09"/>
    <w:rsid w:val="009D1D3F"/>
    <w:rsid w:val="009D1E48"/>
    <w:rsid w:val="009D36C5"/>
    <w:rsid w:val="009D5724"/>
    <w:rsid w:val="009D6345"/>
    <w:rsid w:val="009D6882"/>
    <w:rsid w:val="009D6A26"/>
    <w:rsid w:val="009E2C6F"/>
    <w:rsid w:val="009E4047"/>
    <w:rsid w:val="009E41C4"/>
    <w:rsid w:val="009E4DE1"/>
    <w:rsid w:val="009E53D0"/>
    <w:rsid w:val="009E670B"/>
    <w:rsid w:val="009E7E80"/>
    <w:rsid w:val="009E7EF9"/>
    <w:rsid w:val="009F1588"/>
    <w:rsid w:val="009F1A7F"/>
    <w:rsid w:val="009F2276"/>
    <w:rsid w:val="009F431C"/>
    <w:rsid w:val="009F716D"/>
    <w:rsid w:val="009F76F1"/>
    <w:rsid w:val="009F7A8A"/>
    <w:rsid w:val="009F7CC4"/>
    <w:rsid w:val="00A001E6"/>
    <w:rsid w:val="00A012C4"/>
    <w:rsid w:val="00A05554"/>
    <w:rsid w:val="00A108B3"/>
    <w:rsid w:val="00A13834"/>
    <w:rsid w:val="00A15C8D"/>
    <w:rsid w:val="00A17C89"/>
    <w:rsid w:val="00A20FEB"/>
    <w:rsid w:val="00A21307"/>
    <w:rsid w:val="00A253B2"/>
    <w:rsid w:val="00A2652B"/>
    <w:rsid w:val="00A27127"/>
    <w:rsid w:val="00A3027A"/>
    <w:rsid w:val="00A30A7F"/>
    <w:rsid w:val="00A31A26"/>
    <w:rsid w:val="00A3281F"/>
    <w:rsid w:val="00A32E75"/>
    <w:rsid w:val="00A3506F"/>
    <w:rsid w:val="00A374B0"/>
    <w:rsid w:val="00A37FC6"/>
    <w:rsid w:val="00A41B8C"/>
    <w:rsid w:val="00A4294A"/>
    <w:rsid w:val="00A43A63"/>
    <w:rsid w:val="00A43BD6"/>
    <w:rsid w:val="00A4543F"/>
    <w:rsid w:val="00A467F2"/>
    <w:rsid w:val="00A4707B"/>
    <w:rsid w:val="00A5168B"/>
    <w:rsid w:val="00A522DA"/>
    <w:rsid w:val="00A52572"/>
    <w:rsid w:val="00A530CC"/>
    <w:rsid w:val="00A55B35"/>
    <w:rsid w:val="00A577B7"/>
    <w:rsid w:val="00A578A8"/>
    <w:rsid w:val="00A60366"/>
    <w:rsid w:val="00A605A8"/>
    <w:rsid w:val="00A63A93"/>
    <w:rsid w:val="00A64EFD"/>
    <w:rsid w:val="00A6704F"/>
    <w:rsid w:val="00A6722F"/>
    <w:rsid w:val="00A700B7"/>
    <w:rsid w:val="00A70DEF"/>
    <w:rsid w:val="00A71CF6"/>
    <w:rsid w:val="00A73C71"/>
    <w:rsid w:val="00A7450F"/>
    <w:rsid w:val="00A74703"/>
    <w:rsid w:val="00A7670D"/>
    <w:rsid w:val="00A76E04"/>
    <w:rsid w:val="00A76E60"/>
    <w:rsid w:val="00A80FC7"/>
    <w:rsid w:val="00A82C61"/>
    <w:rsid w:val="00A8481F"/>
    <w:rsid w:val="00A87054"/>
    <w:rsid w:val="00A912CF"/>
    <w:rsid w:val="00A917B1"/>
    <w:rsid w:val="00A93951"/>
    <w:rsid w:val="00A93C9D"/>
    <w:rsid w:val="00A94F3C"/>
    <w:rsid w:val="00A95611"/>
    <w:rsid w:val="00A968FF"/>
    <w:rsid w:val="00A97102"/>
    <w:rsid w:val="00A9769E"/>
    <w:rsid w:val="00A976FC"/>
    <w:rsid w:val="00A97D11"/>
    <w:rsid w:val="00AA0A0C"/>
    <w:rsid w:val="00AA0A46"/>
    <w:rsid w:val="00AA18CC"/>
    <w:rsid w:val="00AA5F44"/>
    <w:rsid w:val="00AA6C84"/>
    <w:rsid w:val="00AA79B5"/>
    <w:rsid w:val="00AB0C4F"/>
    <w:rsid w:val="00AB20AD"/>
    <w:rsid w:val="00AB3F84"/>
    <w:rsid w:val="00AB4400"/>
    <w:rsid w:val="00AB49FE"/>
    <w:rsid w:val="00AB5070"/>
    <w:rsid w:val="00AB5CDA"/>
    <w:rsid w:val="00AB60FA"/>
    <w:rsid w:val="00AB6574"/>
    <w:rsid w:val="00AB7285"/>
    <w:rsid w:val="00AB72B0"/>
    <w:rsid w:val="00AB7663"/>
    <w:rsid w:val="00AB7CC3"/>
    <w:rsid w:val="00AC137A"/>
    <w:rsid w:val="00AC2667"/>
    <w:rsid w:val="00AC2A0C"/>
    <w:rsid w:val="00AC2CA3"/>
    <w:rsid w:val="00AC3DDD"/>
    <w:rsid w:val="00AC4D05"/>
    <w:rsid w:val="00AC7D57"/>
    <w:rsid w:val="00AD02B8"/>
    <w:rsid w:val="00AD0BE0"/>
    <w:rsid w:val="00AD4D77"/>
    <w:rsid w:val="00AD4FF6"/>
    <w:rsid w:val="00AD5944"/>
    <w:rsid w:val="00AD5B4F"/>
    <w:rsid w:val="00AD5CB6"/>
    <w:rsid w:val="00AD6370"/>
    <w:rsid w:val="00AE0930"/>
    <w:rsid w:val="00AE1585"/>
    <w:rsid w:val="00AE2210"/>
    <w:rsid w:val="00AE345D"/>
    <w:rsid w:val="00AE382F"/>
    <w:rsid w:val="00AE3A36"/>
    <w:rsid w:val="00AE563A"/>
    <w:rsid w:val="00AE73B0"/>
    <w:rsid w:val="00AE7823"/>
    <w:rsid w:val="00AF101A"/>
    <w:rsid w:val="00AF14D3"/>
    <w:rsid w:val="00AF3F60"/>
    <w:rsid w:val="00AF4BB6"/>
    <w:rsid w:val="00AF59D5"/>
    <w:rsid w:val="00AF7713"/>
    <w:rsid w:val="00AF7C06"/>
    <w:rsid w:val="00AF7ECC"/>
    <w:rsid w:val="00B01C29"/>
    <w:rsid w:val="00B022D7"/>
    <w:rsid w:val="00B02CF1"/>
    <w:rsid w:val="00B02D38"/>
    <w:rsid w:val="00B03D64"/>
    <w:rsid w:val="00B05D8D"/>
    <w:rsid w:val="00B07A86"/>
    <w:rsid w:val="00B1082E"/>
    <w:rsid w:val="00B1134B"/>
    <w:rsid w:val="00B1144A"/>
    <w:rsid w:val="00B1429F"/>
    <w:rsid w:val="00B15E9C"/>
    <w:rsid w:val="00B16287"/>
    <w:rsid w:val="00B17B12"/>
    <w:rsid w:val="00B20E1B"/>
    <w:rsid w:val="00B217A9"/>
    <w:rsid w:val="00B219EC"/>
    <w:rsid w:val="00B228A1"/>
    <w:rsid w:val="00B238FD"/>
    <w:rsid w:val="00B26042"/>
    <w:rsid w:val="00B27214"/>
    <w:rsid w:val="00B3054A"/>
    <w:rsid w:val="00B31C45"/>
    <w:rsid w:val="00B32063"/>
    <w:rsid w:val="00B32FF7"/>
    <w:rsid w:val="00B338ED"/>
    <w:rsid w:val="00B33C82"/>
    <w:rsid w:val="00B34A5F"/>
    <w:rsid w:val="00B34A90"/>
    <w:rsid w:val="00B34FB0"/>
    <w:rsid w:val="00B36546"/>
    <w:rsid w:val="00B42AF9"/>
    <w:rsid w:val="00B456D9"/>
    <w:rsid w:val="00B45A46"/>
    <w:rsid w:val="00B4722F"/>
    <w:rsid w:val="00B47B27"/>
    <w:rsid w:val="00B50256"/>
    <w:rsid w:val="00B51AEE"/>
    <w:rsid w:val="00B531F9"/>
    <w:rsid w:val="00B54557"/>
    <w:rsid w:val="00B54C4A"/>
    <w:rsid w:val="00B551BB"/>
    <w:rsid w:val="00B56DAB"/>
    <w:rsid w:val="00B60B40"/>
    <w:rsid w:val="00B63149"/>
    <w:rsid w:val="00B637B2"/>
    <w:rsid w:val="00B6450D"/>
    <w:rsid w:val="00B65063"/>
    <w:rsid w:val="00B655F4"/>
    <w:rsid w:val="00B659E4"/>
    <w:rsid w:val="00B676FA"/>
    <w:rsid w:val="00B67F5F"/>
    <w:rsid w:val="00B72238"/>
    <w:rsid w:val="00B727E1"/>
    <w:rsid w:val="00B734F9"/>
    <w:rsid w:val="00B752FC"/>
    <w:rsid w:val="00B771D1"/>
    <w:rsid w:val="00B80098"/>
    <w:rsid w:val="00B806D8"/>
    <w:rsid w:val="00B828A6"/>
    <w:rsid w:val="00B8403E"/>
    <w:rsid w:val="00B84353"/>
    <w:rsid w:val="00B843E4"/>
    <w:rsid w:val="00B85342"/>
    <w:rsid w:val="00B85736"/>
    <w:rsid w:val="00B870D1"/>
    <w:rsid w:val="00B87B0C"/>
    <w:rsid w:val="00B90157"/>
    <w:rsid w:val="00B90A5F"/>
    <w:rsid w:val="00B9206E"/>
    <w:rsid w:val="00B95EFD"/>
    <w:rsid w:val="00BA1053"/>
    <w:rsid w:val="00BA11A5"/>
    <w:rsid w:val="00BA3256"/>
    <w:rsid w:val="00BA39E9"/>
    <w:rsid w:val="00BA5085"/>
    <w:rsid w:val="00BA50E2"/>
    <w:rsid w:val="00BA68E3"/>
    <w:rsid w:val="00BA736A"/>
    <w:rsid w:val="00BA76A1"/>
    <w:rsid w:val="00BA77D7"/>
    <w:rsid w:val="00BB0796"/>
    <w:rsid w:val="00BB2D77"/>
    <w:rsid w:val="00BB46DF"/>
    <w:rsid w:val="00BC2418"/>
    <w:rsid w:val="00BC3992"/>
    <w:rsid w:val="00BC39E8"/>
    <w:rsid w:val="00BC4032"/>
    <w:rsid w:val="00BC722F"/>
    <w:rsid w:val="00BC76C4"/>
    <w:rsid w:val="00BD0A87"/>
    <w:rsid w:val="00BD0CF5"/>
    <w:rsid w:val="00BD0DF0"/>
    <w:rsid w:val="00BD236D"/>
    <w:rsid w:val="00BD5B8F"/>
    <w:rsid w:val="00BD6812"/>
    <w:rsid w:val="00BE0C68"/>
    <w:rsid w:val="00BE0E04"/>
    <w:rsid w:val="00BE143D"/>
    <w:rsid w:val="00BE2379"/>
    <w:rsid w:val="00BE2C30"/>
    <w:rsid w:val="00BE31EE"/>
    <w:rsid w:val="00BE67B7"/>
    <w:rsid w:val="00BE7730"/>
    <w:rsid w:val="00BF2691"/>
    <w:rsid w:val="00BF63E1"/>
    <w:rsid w:val="00C02C35"/>
    <w:rsid w:val="00C0448A"/>
    <w:rsid w:val="00C10571"/>
    <w:rsid w:val="00C10A41"/>
    <w:rsid w:val="00C1171B"/>
    <w:rsid w:val="00C1297A"/>
    <w:rsid w:val="00C137F0"/>
    <w:rsid w:val="00C15D65"/>
    <w:rsid w:val="00C20252"/>
    <w:rsid w:val="00C24A60"/>
    <w:rsid w:val="00C24CDD"/>
    <w:rsid w:val="00C2567E"/>
    <w:rsid w:val="00C25E69"/>
    <w:rsid w:val="00C2646B"/>
    <w:rsid w:val="00C27F8C"/>
    <w:rsid w:val="00C304F7"/>
    <w:rsid w:val="00C3078E"/>
    <w:rsid w:val="00C3172B"/>
    <w:rsid w:val="00C3326D"/>
    <w:rsid w:val="00C34100"/>
    <w:rsid w:val="00C35630"/>
    <w:rsid w:val="00C35665"/>
    <w:rsid w:val="00C36BE0"/>
    <w:rsid w:val="00C40ACA"/>
    <w:rsid w:val="00C419E9"/>
    <w:rsid w:val="00C41C0C"/>
    <w:rsid w:val="00C42DAE"/>
    <w:rsid w:val="00C45E36"/>
    <w:rsid w:val="00C52267"/>
    <w:rsid w:val="00C52E25"/>
    <w:rsid w:val="00C538F9"/>
    <w:rsid w:val="00C5487E"/>
    <w:rsid w:val="00C552D2"/>
    <w:rsid w:val="00C553C1"/>
    <w:rsid w:val="00C570CC"/>
    <w:rsid w:val="00C576E7"/>
    <w:rsid w:val="00C57B38"/>
    <w:rsid w:val="00C60032"/>
    <w:rsid w:val="00C61E0C"/>
    <w:rsid w:val="00C625E8"/>
    <w:rsid w:val="00C64149"/>
    <w:rsid w:val="00C643C4"/>
    <w:rsid w:val="00C64B95"/>
    <w:rsid w:val="00C65A01"/>
    <w:rsid w:val="00C67685"/>
    <w:rsid w:val="00C72DD8"/>
    <w:rsid w:val="00C732E5"/>
    <w:rsid w:val="00C736E2"/>
    <w:rsid w:val="00C73DBE"/>
    <w:rsid w:val="00C77B28"/>
    <w:rsid w:val="00C8058B"/>
    <w:rsid w:val="00C81495"/>
    <w:rsid w:val="00C825EF"/>
    <w:rsid w:val="00C82E59"/>
    <w:rsid w:val="00C833F2"/>
    <w:rsid w:val="00C835BE"/>
    <w:rsid w:val="00C8370E"/>
    <w:rsid w:val="00C83A76"/>
    <w:rsid w:val="00C84122"/>
    <w:rsid w:val="00C84974"/>
    <w:rsid w:val="00C860D8"/>
    <w:rsid w:val="00C91C68"/>
    <w:rsid w:val="00C9657F"/>
    <w:rsid w:val="00C967F4"/>
    <w:rsid w:val="00C97403"/>
    <w:rsid w:val="00C9793B"/>
    <w:rsid w:val="00C97FEE"/>
    <w:rsid w:val="00CA11C8"/>
    <w:rsid w:val="00CA3A5F"/>
    <w:rsid w:val="00CA4933"/>
    <w:rsid w:val="00CA5B87"/>
    <w:rsid w:val="00CA680E"/>
    <w:rsid w:val="00CA71B3"/>
    <w:rsid w:val="00CB0585"/>
    <w:rsid w:val="00CB09B4"/>
    <w:rsid w:val="00CB2C4C"/>
    <w:rsid w:val="00CB529F"/>
    <w:rsid w:val="00CC0BDE"/>
    <w:rsid w:val="00CC1BAF"/>
    <w:rsid w:val="00CC24FF"/>
    <w:rsid w:val="00CC781E"/>
    <w:rsid w:val="00CC7E0C"/>
    <w:rsid w:val="00CC7F3D"/>
    <w:rsid w:val="00CD41A3"/>
    <w:rsid w:val="00CD4A82"/>
    <w:rsid w:val="00CD5A0F"/>
    <w:rsid w:val="00CD5A48"/>
    <w:rsid w:val="00CD70EB"/>
    <w:rsid w:val="00CE17A5"/>
    <w:rsid w:val="00CE1DFC"/>
    <w:rsid w:val="00CE27D7"/>
    <w:rsid w:val="00CE2F13"/>
    <w:rsid w:val="00CE3586"/>
    <w:rsid w:val="00CE6441"/>
    <w:rsid w:val="00CE6751"/>
    <w:rsid w:val="00CE70CA"/>
    <w:rsid w:val="00CE7FC1"/>
    <w:rsid w:val="00CF181D"/>
    <w:rsid w:val="00CF1F6A"/>
    <w:rsid w:val="00CF390E"/>
    <w:rsid w:val="00CF67A9"/>
    <w:rsid w:val="00CF6E32"/>
    <w:rsid w:val="00D01882"/>
    <w:rsid w:val="00D03B18"/>
    <w:rsid w:val="00D04921"/>
    <w:rsid w:val="00D04D27"/>
    <w:rsid w:val="00D07DB7"/>
    <w:rsid w:val="00D103BA"/>
    <w:rsid w:val="00D128C6"/>
    <w:rsid w:val="00D13F3F"/>
    <w:rsid w:val="00D14B22"/>
    <w:rsid w:val="00D16A02"/>
    <w:rsid w:val="00D17279"/>
    <w:rsid w:val="00D21BFC"/>
    <w:rsid w:val="00D21CB8"/>
    <w:rsid w:val="00D246FF"/>
    <w:rsid w:val="00D248D6"/>
    <w:rsid w:val="00D24CE2"/>
    <w:rsid w:val="00D256BD"/>
    <w:rsid w:val="00D27842"/>
    <w:rsid w:val="00D30798"/>
    <w:rsid w:val="00D32316"/>
    <w:rsid w:val="00D3261D"/>
    <w:rsid w:val="00D33718"/>
    <w:rsid w:val="00D354FB"/>
    <w:rsid w:val="00D357AB"/>
    <w:rsid w:val="00D40004"/>
    <w:rsid w:val="00D41C70"/>
    <w:rsid w:val="00D422EA"/>
    <w:rsid w:val="00D43452"/>
    <w:rsid w:val="00D436B5"/>
    <w:rsid w:val="00D43DC1"/>
    <w:rsid w:val="00D44050"/>
    <w:rsid w:val="00D44C77"/>
    <w:rsid w:val="00D44EA3"/>
    <w:rsid w:val="00D46E35"/>
    <w:rsid w:val="00D473E9"/>
    <w:rsid w:val="00D51B94"/>
    <w:rsid w:val="00D52408"/>
    <w:rsid w:val="00D53068"/>
    <w:rsid w:val="00D53629"/>
    <w:rsid w:val="00D5476A"/>
    <w:rsid w:val="00D54B98"/>
    <w:rsid w:val="00D55727"/>
    <w:rsid w:val="00D57A2E"/>
    <w:rsid w:val="00D60469"/>
    <w:rsid w:val="00D63BEC"/>
    <w:rsid w:val="00D64AC7"/>
    <w:rsid w:val="00D66FDD"/>
    <w:rsid w:val="00D71897"/>
    <w:rsid w:val="00D73509"/>
    <w:rsid w:val="00D735B6"/>
    <w:rsid w:val="00D74240"/>
    <w:rsid w:val="00D74539"/>
    <w:rsid w:val="00D75394"/>
    <w:rsid w:val="00D75F03"/>
    <w:rsid w:val="00D77673"/>
    <w:rsid w:val="00D82823"/>
    <w:rsid w:val="00D83977"/>
    <w:rsid w:val="00D849AE"/>
    <w:rsid w:val="00D84B6A"/>
    <w:rsid w:val="00D851DF"/>
    <w:rsid w:val="00D8640A"/>
    <w:rsid w:val="00D87076"/>
    <w:rsid w:val="00D87B27"/>
    <w:rsid w:val="00D91FEB"/>
    <w:rsid w:val="00D929A2"/>
    <w:rsid w:val="00D92A5C"/>
    <w:rsid w:val="00D92DA4"/>
    <w:rsid w:val="00D9305B"/>
    <w:rsid w:val="00D93143"/>
    <w:rsid w:val="00D936B8"/>
    <w:rsid w:val="00D942B8"/>
    <w:rsid w:val="00D94477"/>
    <w:rsid w:val="00D94ACF"/>
    <w:rsid w:val="00D94CA2"/>
    <w:rsid w:val="00D94E3C"/>
    <w:rsid w:val="00D96B00"/>
    <w:rsid w:val="00DA07EC"/>
    <w:rsid w:val="00DA1728"/>
    <w:rsid w:val="00DA22B7"/>
    <w:rsid w:val="00DA2579"/>
    <w:rsid w:val="00DA4085"/>
    <w:rsid w:val="00DA52D2"/>
    <w:rsid w:val="00DA5FF9"/>
    <w:rsid w:val="00DA7555"/>
    <w:rsid w:val="00DB0D21"/>
    <w:rsid w:val="00DB239F"/>
    <w:rsid w:val="00DB2E33"/>
    <w:rsid w:val="00DB340B"/>
    <w:rsid w:val="00DB3C0C"/>
    <w:rsid w:val="00DB4F16"/>
    <w:rsid w:val="00DC155C"/>
    <w:rsid w:val="00DC1A3C"/>
    <w:rsid w:val="00DC2E36"/>
    <w:rsid w:val="00DC5C4A"/>
    <w:rsid w:val="00DD00EF"/>
    <w:rsid w:val="00DD19A8"/>
    <w:rsid w:val="00DD1D57"/>
    <w:rsid w:val="00DD59E2"/>
    <w:rsid w:val="00DD6318"/>
    <w:rsid w:val="00DE0742"/>
    <w:rsid w:val="00DE0B72"/>
    <w:rsid w:val="00DE12D7"/>
    <w:rsid w:val="00DE1A61"/>
    <w:rsid w:val="00DE605F"/>
    <w:rsid w:val="00DE6D76"/>
    <w:rsid w:val="00DE7600"/>
    <w:rsid w:val="00DF07A0"/>
    <w:rsid w:val="00DF10F7"/>
    <w:rsid w:val="00DF3226"/>
    <w:rsid w:val="00DF4669"/>
    <w:rsid w:val="00E00C7C"/>
    <w:rsid w:val="00E01150"/>
    <w:rsid w:val="00E0150A"/>
    <w:rsid w:val="00E056A5"/>
    <w:rsid w:val="00E05B81"/>
    <w:rsid w:val="00E06BB2"/>
    <w:rsid w:val="00E06E64"/>
    <w:rsid w:val="00E0799F"/>
    <w:rsid w:val="00E10088"/>
    <w:rsid w:val="00E115CE"/>
    <w:rsid w:val="00E11E02"/>
    <w:rsid w:val="00E15BC0"/>
    <w:rsid w:val="00E15E03"/>
    <w:rsid w:val="00E164B0"/>
    <w:rsid w:val="00E17467"/>
    <w:rsid w:val="00E17AF5"/>
    <w:rsid w:val="00E22187"/>
    <w:rsid w:val="00E27057"/>
    <w:rsid w:val="00E2727A"/>
    <w:rsid w:val="00E328BA"/>
    <w:rsid w:val="00E34378"/>
    <w:rsid w:val="00E34ADD"/>
    <w:rsid w:val="00E37F8B"/>
    <w:rsid w:val="00E41B18"/>
    <w:rsid w:val="00E42149"/>
    <w:rsid w:val="00E4292C"/>
    <w:rsid w:val="00E43618"/>
    <w:rsid w:val="00E459AB"/>
    <w:rsid w:val="00E47F46"/>
    <w:rsid w:val="00E50E55"/>
    <w:rsid w:val="00E516E4"/>
    <w:rsid w:val="00E531CB"/>
    <w:rsid w:val="00E53F2E"/>
    <w:rsid w:val="00E541AC"/>
    <w:rsid w:val="00E543E9"/>
    <w:rsid w:val="00E55951"/>
    <w:rsid w:val="00E559BF"/>
    <w:rsid w:val="00E60AA7"/>
    <w:rsid w:val="00E64955"/>
    <w:rsid w:val="00E6587A"/>
    <w:rsid w:val="00E65AC9"/>
    <w:rsid w:val="00E65BC4"/>
    <w:rsid w:val="00E67089"/>
    <w:rsid w:val="00E71C0D"/>
    <w:rsid w:val="00E722F7"/>
    <w:rsid w:val="00E735DA"/>
    <w:rsid w:val="00E73DE7"/>
    <w:rsid w:val="00E74E48"/>
    <w:rsid w:val="00E752AF"/>
    <w:rsid w:val="00E756D9"/>
    <w:rsid w:val="00E77423"/>
    <w:rsid w:val="00E80139"/>
    <w:rsid w:val="00E83176"/>
    <w:rsid w:val="00E831B9"/>
    <w:rsid w:val="00E83F02"/>
    <w:rsid w:val="00E8688E"/>
    <w:rsid w:val="00E87C1B"/>
    <w:rsid w:val="00E91EF6"/>
    <w:rsid w:val="00E920F4"/>
    <w:rsid w:val="00E95906"/>
    <w:rsid w:val="00E96538"/>
    <w:rsid w:val="00E9658B"/>
    <w:rsid w:val="00E96650"/>
    <w:rsid w:val="00E96BB2"/>
    <w:rsid w:val="00E9774A"/>
    <w:rsid w:val="00EA194F"/>
    <w:rsid w:val="00EA2997"/>
    <w:rsid w:val="00EA2DCB"/>
    <w:rsid w:val="00EA5D73"/>
    <w:rsid w:val="00EA5E81"/>
    <w:rsid w:val="00EA6B27"/>
    <w:rsid w:val="00EA7EF3"/>
    <w:rsid w:val="00EB0376"/>
    <w:rsid w:val="00EB0B3C"/>
    <w:rsid w:val="00EB1300"/>
    <w:rsid w:val="00EB2F63"/>
    <w:rsid w:val="00EB529C"/>
    <w:rsid w:val="00EB7B27"/>
    <w:rsid w:val="00EC14B4"/>
    <w:rsid w:val="00EC1EBB"/>
    <w:rsid w:val="00EC1F34"/>
    <w:rsid w:val="00EC2187"/>
    <w:rsid w:val="00EC5353"/>
    <w:rsid w:val="00EC5CD5"/>
    <w:rsid w:val="00EC6803"/>
    <w:rsid w:val="00EC6CA8"/>
    <w:rsid w:val="00ED05C8"/>
    <w:rsid w:val="00ED0A09"/>
    <w:rsid w:val="00ED1B09"/>
    <w:rsid w:val="00ED229E"/>
    <w:rsid w:val="00ED29DE"/>
    <w:rsid w:val="00ED3644"/>
    <w:rsid w:val="00ED4C38"/>
    <w:rsid w:val="00ED5D55"/>
    <w:rsid w:val="00ED6986"/>
    <w:rsid w:val="00ED70D4"/>
    <w:rsid w:val="00EE0117"/>
    <w:rsid w:val="00EE1346"/>
    <w:rsid w:val="00EE1FAF"/>
    <w:rsid w:val="00EE441C"/>
    <w:rsid w:val="00EE596A"/>
    <w:rsid w:val="00EE62FC"/>
    <w:rsid w:val="00EF3908"/>
    <w:rsid w:val="00F05A82"/>
    <w:rsid w:val="00F0633E"/>
    <w:rsid w:val="00F105F1"/>
    <w:rsid w:val="00F117D8"/>
    <w:rsid w:val="00F12613"/>
    <w:rsid w:val="00F12732"/>
    <w:rsid w:val="00F15530"/>
    <w:rsid w:val="00F1647F"/>
    <w:rsid w:val="00F177DC"/>
    <w:rsid w:val="00F206E4"/>
    <w:rsid w:val="00F21009"/>
    <w:rsid w:val="00F212C9"/>
    <w:rsid w:val="00F21361"/>
    <w:rsid w:val="00F22168"/>
    <w:rsid w:val="00F2626A"/>
    <w:rsid w:val="00F265B1"/>
    <w:rsid w:val="00F33040"/>
    <w:rsid w:val="00F33AE6"/>
    <w:rsid w:val="00F33BDB"/>
    <w:rsid w:val="00F340FA"/>
    <w:rsid w:val="00F358D3"/>
    <w:rsid w:val="00F36A64"/>
    <w:rsid w:val="00F40823"/>
    <w:rsid w:val="00F40C52"/>
    <w:rsid w:val="00F415C0"/>
    <w:rsid w:val="00F447FE"/>
    <w:rsid w:val="00F44CBF"/>
    <w:rsid w:val="00F457D3"/>
    <w:rsid w:val="00F46EB8"/>
    <w:rsid w:val="00F50367"/>
    <w:rsid w:val="00F50F8C"/>
    <w:rsid w:val="00F51925"/>
    <w:rsid w:val="00F51D63"/>
    <w:rsid w:val="00F51E90"/>
    <w:rsid w:val="00F53981"/>
    <w:rsid w:val="00F56E31"/>
    <w:rsid w:val="00F57302"/>
    <w:rsid w:val="00F6110E"/>
    <w:rsid w:val="00F63405"/>
    <w:rsid w:val="00F63D5D"/>
    <w:rsid w:val="00F6463D"/>
    <w:rsid w:val="00F656CA"/>
    <w:rsid w:val="00F660AF"/>
    <w:rsid w:val="00F66B5A"/>
    <w:rsid w:val="00F70910"/>
    <w:rsid w:val="00F7260F"/>
    <w:rsid w:val="00F72EA5"/>
    <w:rsid w:val="00F72EFC"/>
    <w:rsid w:val="00F73192"/>
    <w:rsid w:val="00F753A0"/>
    <w:rsid w:val="00F75890"/>
    <w:rsid w:val="00F75C06"/>
    <w:rsid w:val="00F7717F"/>
    <w:rsid w:val="00F77BF3"/>
    <w:rsid w:val="00F81389"/>
    <w:rsid w:val="00F84922"/>
    <w:rsid w:val="00F861F9"/>
    <w:rsid w:val="00F86EB8"/>
    <w:rsid w:val="00F873D6"/>
    <w:rsid w:val="00F90426"/>
    <w:rsid w:val="00F954CA"/>
    <w:rsid w:val="00F95DD9"/>
    <w:rsid w:val="00F96728"/>
    <w:rsid w:val="00F972C0"/>
    <w:rsid w:val="00FA48DC"/>
    <w:rsid w:val="00FA621F"/>
    <w:rsid w:val="00FA6F81"/>
    <w:rsid w:val="00FB0241"/>
    <w:rsid w:val="00FB0643"/>
    <w:rsid w:val="00FB09F6"/>
    <w:rsid w:val="00FB15FF"/>
    <w:rsid w:val="00FB2965"/>
    <w:rsid w:val="00FB3097"/>
    <w:rsid w:val="00FB3485"/>
    <w:rsid w:val="00FB3FF6"/>
    <w:rsid w:val="00FB778E"/>
    <w:rsid w:val="00FB7961"/>
    <w:rsid w:val="00FB7BEE"/>
    <w:rsid w:val="00FB7D59"/>
    <w:rsid w:val="00FC213C"/>
    <w:rsid w:val="00FC48C4"/>
    <w:rsid w:val="00FC4AE0"/>
    <w:rsid w:val="00FC609A"/>
    <w:rsid w:val="00FC6FFA"/>
    <w:rsid w:val="00FC7238"/>
    <w:rsid w:val="00FC7CF4"/>
    <w:rsid w:val="00FD06B6"/>
    <w:rsid w:val="00FD2367"/>
    <w:rsid w:val="00FD34C8"/>
    <w:rsid w:val="00FE0B5D"/>
    <w:rsid w:val="00FE1232"/>
    <w:rsid w:val="00FE1990"/>
    <w:rsid w:val="00FE2C76"/>
    <w:rsid w:val="00FE3D17"/>
    <w:rsid w:val="00FE444F"/>
    <w:rsid w:val="00FE5584"/>
    <w:rsid w:val="00FF30C6"/>
    <w:rsid w:val="00FF3631"/>
    <w:rsid w:val="00FF3808"/>
    <w:rsid w:val="00FF424A"/>
    <w:rsid w:val="00FF48AC"/>
    <w:rsid w:val="00FF5409"/>
    <w:rsid w:val="00FF5C16"/>
    <w:rsid w:val="00FF68D3"/>
    <w:rsid w:val="00FF6ABC"/>
    <w:rsid w:val="00FF6B58"/>
    <w:rsid w:val="011698D9"/>
    <w:rsid w:val="019815A0"/>
    <w:rsid w:val="01BCE483"/>
    <w:rsid w:val="055D1858"/>
    <w:rsid w:val="0972372B"/>
    <w:rsid w:val="0ACB7653"/>
    <w:rsid w:val="0AECDDFE"/>
    <w:rsid w:val="0D4DDE71"/>
    <w:rsid w:val="0ED087FD"/>
    <w:rsid w:val="11CB81CA"/>
    <w:rsid w:val="11FB4872"/>
    <w:rsid w:val="12B194F1"/>
    <w:rsid w:val="135FDDD7"/>
    <w:rsid w:val="13F8FE34"/>
    <w:rsid w:val="1532956B"/>
    <w:rsid w:val="15916B52"/>
    <w:rsid w:val="17C7961E"/>
    <w:rsid w:val="1815E56F"/>
    <w:rsid w:val="186B4108"/>
    <w:rsid w:val="19302686"/>
    <w:rsid w:val="194972F9"/>
    <w:rsid w:val="1A61FA15"/>
    <w:rsid w:val="1ADD8C8D"/>
    <w:rsid w:val="1BD5BED1"/>
    <w:rsid w:val="1E074CA7"/>
    <w:rsid w:val="1E54B126"/>
    <w:rsid w:val="1E6D4AB4"/>
    <w:rsid w:val="1F46BD53"/>
    <w:rsid w:val="216B6375"/>
    <w:rsid w:val="2548AC23"/>
    <w:rsid w:val="26D9FFFC"/>
    <w:rsid w:val="27ACDA63"/>
    <w:rsid w:val="27C82046"/>
    <w:rsid w:val="281282B8"/>
    <w:rsid w:val="2C92F9C1"/>
    <w:rsid w:val="2CE4EDEA"/>
    <w:rsid w:val="2E91088B"/>
    <w:rsid w:val="2F20A175"/>
    <w:rsid w:val="307F2F42"/>
    <w:rsid w:val="33620E36"/>
    <w:rsid w:val="34EA0EED"/>
    <w:rsid w:val="358902AC"/>
    <w:rsid w:val="36AA76B6"/>
    <w:rsid w:val="36AF561E"/>
    <w:rsid w:val="38BC67D5"/>
    <w:rsid w:val="38ECED41"/>
    <w:rsid w:val="39159AE4"/>
    <w:rsid w:val="39A950CC"/>
    <w:rsid w:val="39EA936E"/>
    <w:rsid w:val="3C216847"/>
    <w:rsid w:val="3CC53A67"/>
    <w:rsid w:val="3D5E9B9E"/>
    <w:rsid w:val="3D7BD8A0"/>
    <w:rsid w:val="41859A08"/>
    <w:rsid w:val="41DB6BEE"/>
    <w:rsid w:val="420D8836"/>
    <w:rsid w:val="42EDA35B"/>
    <w:rsid w:val="4325FF41"/>
    <w:rsid w:val="4345329F"/>
    <w:rsid w:val="449A82DC"/>
    <w:rsid w:val="454E6E6D"/>
    <w:rsid w:val="458DDC3C"/>
    <w:rsid w:val="46371543"/>
    <w:rsid w:val="47AE0229"/>
    <w:rsid w:val="47C373D6"/>
    <w:rsid w:val="47E2B710"/>
    <w:rsid w:val="490F8283"/>
    <w:rsid w:val="49450FEA"/>
    <w:rsid w:val="4A0BCA79"/>
    <w:rsid w:val="4A0E3162"/>
    <w:rsid w:val="4B153C2C"/>
    <w:rsid w:val="4C284651"/>
    <w:rsid w:val="4D9785C3"/>
    <w:rsid w:val="4DF389F8"/>
    <w:rsid w:val="4F8D428A"/>
    <w:rsid w:val="4FBF1917"/>
    <w:rsid w:val="4FF9A648"/>
    <w:rsid w:val="5252D214"/>
    <w:rsid w:val="555536B1"/>
    <w:rsid w:val="5632CF62"/>
    <w:rsid w:val="5677C0A3"/>
    <w:rsid w:val="56A4E53B"/>
    <w:rsid w:val="5735E72A"/>
    <w:rsid w:val="58342153"/>
    <w:rsid w:val="58464F5B"/>
    <w:rsid w:val="5866FD48"/>
    <w:rsid w:val="58E341DA"/>
    <w:rsid w:val="59B71A3D"/>
    <w:rsid w:val="5B5D92A0"/>
    <w:rsid w:val="5BB912ED"/>
    <w:rsid w:val="5EA3F9ED"/>
    <w:rsid w:val="5ED3FF6C"/>
    <w:rsid w:val="5F22F7B9"/>
    <w:rsid w:val="60460423"/>
    <w:rsid w:val="6319E003"/>
    <w:rsid w:val="631AB6CC"/>
    <w:rsid w:val="632762C6"/>
    <w:rsid w:val="63730E62"/>
    <w:rsid w:val="65B273E7"/>
    <w:rsid w:val="661FEA9D"/>
    <w:rsid w:val="6631E8CE"/>
    <w:rsid w:val="67580FF5"/>
    <w:rsid w:val="67F0817A"/>
    <w:rsid w:val="68A0A22B"/>
    <w:rsid w:val="69CB9BD0"/>
    <w:rsid w:val="6B7C7B39"/>
    <w:rsid w:val="6E7BA92F"/>
    <w:rsid w:val="6FB4EADF"/>
    <w:rsid w:val="7057B6F6"/>
    <w:rsid w:val="70702259"/>
    <w:rsid w:val="70DB0FDA"/>
    <w:rsid w:val="71BF24B1"/>
    <w:rsid w:val="72A05425"/>
    <w:rsid w:val="72BD2B5F"/>
    <w:rsid w:val="732FDFA9"/>
    <w:rsid w:val="766C8918"/>
    <w:rsid w:val="76E816F0"/>
    <w:rsid w:val="7853445D"/>
    <w:rsid w:val="785F4DCB"/>
    <w:rsid w:val="7A41318C"/>
    <w:rsid w:val="7A5AA200"/>
    <w:rsid w:val="7B500E45"/>
    <w:rsid w:val="7EB76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17C"/>
  <w15:chartTrackingRefBased/>
  <w15:docId w15:val="{ED1ACE62-335A-4EC2-99AB-BAEA3C2A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7C40"/>
    <w:pPr>
      <w:spacing w:after="0" w:line="360" w:lineRule="auto"/>
    </w:pPr>
    <w:rPr>
      <w:rFonts w:ascii="Times New Roman" w:hAnsi="Times New Roman"/>
    </w:rPr>
  </w:style>
  <w:style w:type="paragraph" w:styleId="Kop1">
    <w:name w:val="heading 1"/>
    <w:basedOn w:val="Standaard"/>
    <w:next w:val="Standaard"/>
    <w:link w:val="Kop1Char"/>
    <w:uiPriority w:val="9"/>
    <w:qFormat/>
    <w:rsid w:val="004D1D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50256"/>
    <w:rPr>
      <w:color w:val="0563C1" w:themeColor="hyperlink"/>
      <w:u w:val="single"/>
    </w:rPr>
  </w:style>
  <w:style w:type="character" w:customStyle="1" w:styleId="Onopgelostemelding1">
    <w:name w:val="Onopgeloste melding1"/>
    <w:basedOn w:val="Standaardalinea-lettertype"/>
    <w:uiPriority w:val="99"/>
    <w:semiHidden/>
    <w:unhideWhenUsed/>
    <w:rsid w:val="00B50256"/>
    <w:rPr>
      <w:color w:val="605E5C"/>
      <w:shd w:val="clear" w:color="auto" w:fill="E1DFDD"/>
    </w:rPr>
  </w:style>
  <w:style w:type="character" w:styleId="Verwijzingopmerking">
    <w:name w:val="annotation reference"/>
    <w:basedOn w:val="Standaardalinea-lettertype"/>
    <w:uiPriority w:val="99"/>
    <w:semiHidden/>
    <w:unhideWhenUsed/>
    <w:rsid w:val="00E96BB2"/>
    <w:rPr>
      <w:sz w:val="16"/>
      <w:szCs w:val="16"/>
    </w:rPr>
  </w:style>
  <w:style w:type="paragraph" w:styleId="Tekstopmerking">
    <w:name w:val="annotation text"/>
    <w:basedOn w:val="Standaard"/>
    <w:link w:val="TekstopmerkingChar"/>
    <w:uiPriority w:val="99"/>
    <w:unhideWhenUsed/>
    <w:rsid w:val="00E96BB2"/>
    <w:pPr>
      <w:spacing w:line="240" w:lineRule="auto"/>
    </w:pPr>
    <w:rPr>
      <w:sz w:val="20"/>
      <w:szCs w:val="20"/>
    </w:rPr>
  </w:style>
  <w:style w:type="character" w:customStyle="1" w:styleId="TekstopmerkingChar">
    <w:name w:val="Tekst opmerking Char"/>
    <w:basedOn w:val="Standaardalinea-lettertype"/>
    <w:link w:val="Tekstopmerking"/>
    <w:uiPriority w:val="99"/>
    <w:rsid w:val="00E96BB2"/>
    <w:rPr>
      <w:sz w:val="20"/>
      <w:szCs w:val="20"/>
    </w:rPr>
  </w:style>
  <w:style w:type="paragraph" w:styleId="Onderwerpvanopmerking">
    <w:name w:val="annotation subject"/>
    <w:basedOn w:val="Tekstopmerking"/>
    <w:next w:val="Tekstopmerking"/>
    <w:link w:val="OnderwerpvanopmerkingChar"/>
    <w:uiPriority w:val="99"/>
    <w:semiHidden/>
    <w:unhideWhenUsed/>
    <w:rsid w:val="00E96BB2"/>
    <w:rPr>
      <w:b/>
      <w:bCs/>
    </w:rPr>
  </w:style>
  <w:style w:type="character" w:customStyle="1" w:styleId="OnderwerpvanopmerkingChar">
    <w:name w:val="Onderwerp van opmerking Char"/>
    <w:basedOn w:val="TekstopmerkingChar"/>
    <w:link w:val="Onderwerpvanopmerking"/>
    <w:uiPriority w:val="99"/>
    <w:semiHidden/>
    <w:rsid w:val="00E96BB2"/>
    <w:rPr>
      <w:b/>
      <w:bCs/>
      <w:sz w:val="20"/>
      <w:szCs w:val="20"/>
    </w:rPr>
  </w:style>
  <w:style w:type="paragraph" w:styleId="Voetnoottekst">
    <w:name w:val="footnote text"/>
    <w:basedOn w:val="Standaard"/>
    <w:link w:val="VoetnoottekstChar"/>
    <w:uiPriority w:val="99"/>
    <w:unhideWhenUsed/>
    <w:rsid w:val="008519C1"/>
    <w:pPr>
      <w:spacing w:line="240" w:lineRule="auto"/>
    </w:pPr>
    <w:rPr>
      <w:rFonts w:cs="Times New Roman"/>
      <w:sz w:val="20"/>
      <w:szCs w:val="20"/>
    </w:rPr>
  </w:style>
  <w:style w:type="character" w:customStyle="1" w:styleId="VoetnoottekstChar">
    <w:name w:val="Voetnoottekst Char"/>
    <w:basedOn w:val="Standaardalinea-lettertype"/>
    <w:link w:val="Voetnoottekst"/>
    <w:uiPriority w:val="99"/>
    <w:rsid w:val="008519C1"/>
    <w:rPr>
      <w:rFonts w:ascii="Times New Roman" w:hAnsi="Times New Roman" w:cs="Times New Roman"/>
      <w:sz w:val="20"/>
      <w:szCs w:val="20"/>
    </w:rPr>
  </w:style>
  <w:style w:type="character" w:styleId="Voetnootmarkering">
    <w:name w:val="footnote reference"/>
    <w:basedOn w:val="Standaardalinea-lettertype"/>
    <w:uiPriority w:val="99"/>
    <w:semiHidden/>
    <w:unhideWhenUsed/>
    <w:rsid w:val="008519C1"/>
    <w:rPr>
      <w:vertAlign w:val="superscript"/>
    </w:rPr>
  </w:style>
  <w:style w:type="paragraph" w:styleId="Lijstalinea">
    <w:name w:val="List Paragraph"/>
    <w:basedOn w:val="Standaard"/>
    <w:uiPriority w:val="34"/>
    <w:qFormat/>
    <w:rsid w:val="00EB0B3C"/>
    <w:pPr>
      <w:ind w:left="720"/>
      <w:contextualSpacing/>
    </w:pPr>
  </w:style>
  <w:style w:type="character" w:customStyle="1" w:styleId="Kop1Char">
    <w:name w:val="Kop 1 Char"/>
    <w:basedOn w:val="Standaardalinea-lettertype"/>
    <w:link w:val="Kop1"/>
    <w:uiPriority w:val="9"/>
    <w:rsid w:val="004D1DD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4D1DD6"/>
    <w:pPr>
      <w:outlineLvl w:val="9"/>
    </w:pPr>
    <w:rPr>
      <w:kern w:val="0"/>
      <w:lang w:eastAsia="nl-NL"/>
      <w14:ligatures w14:val="none"/>
    </w:rPr>
  </w:style>
  <w:style w:type="paragraph" w:styleId="Inhopg2">
    <w:name w:val="toc 2"/>
    <w:basedOn w:val="Standaard"/>
    <w:next w:val="Standaard"/>
    <w:autoRedefine/>
    <w:uiPriority w:val="39"/>
    <w:unhideWhenUsed/>
    <w:rsid w:val="004D1DD6"/>
    <w:pPr>
      <w:spacing w:after="100"/>
      <w:ind w:left="220"/>
    </w:pPr>
    <w:rPr>
      <w:rFonts w:eastAsiaTheme="minorEastAsia" w:cs="Times New Roman"/>
      <w:kern w:val="0"/>
      <w:lang w:eastAsia="nl-NL"/>
      <w14:ligatures w14:val="none"/>
    </w:rPr>
  </w:style>
  <w:style w:type="paragraph" w:styleId="Inhopg1">
    <w:name w:val="toc 1"/>
    <w:basedOn w:val="Standaard"/>
    <w:next w:val="Standaard"/>
    <w:autoRedefine/>
    <w:uiPriority w:val="39"/>
    <w:unhideWhenUsed/>
    <w:rsid w:val="007B3898"/>
    <w:pPr>
      <w:spacing w:after="100"/>
    </w:pPr>
    <w:rPr>
      <w:rFonts w:eastAsiaTheme="minorEastAsia" w:cs="Times New Roman"/>
      <w:b/>
      <w:bCs/>
      <w:kern w:val="0"/>
      <w:lang w:eastAsia="nl-NL"/>
      <w14:ligatures w14:val="none"/>
    </w:rPr>
  </w:style>
  <w:style w:type="paragraph" w:styleId="Inhopg3">
    <w:name w:val="toc 3"/>
    <w:basedOn w:val="Standaard"/>
    <w:next w:val="Standaard"/>
    <w:autoRedefine/>
    <w:uiPriority w:val="39"/>
    <w:unhideWhenUsed/>
    <w:rsid w:val="004D1DD6"/>
    <w:pPr>
      <w:spacing w:after="100"/>
      <w:ind w:left="440"/>
    </w:pPr>
    <w:rPr>
      <w:rFonts w:eastAsiaTheme="minorEastAsia" w:cs="Times New Roman"/>
      <w:kern w:val="0"/>
      <w:lang w:eastAsia="nl-NL"/>
      <w14:ligatures w14:val="none"/>
    </w:rPr>
  </w:style>
  <w:style w:type="paragraph" w:styleId="Koptekst">
    <w:name w:val="header"/>
    <w:basedOn w:val="Standaard"/>
    <w:link w:val="KoptekstChar"/>
    <w:uiPriority w:val="99"/>
    <w:unhideWhenUsed/>
    <w:rsid w:val="002535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535A4"/>
  </w:style>
  <w:style w:type="paragraph" w:styleId="Voettekst">
    <w:name w:val="footer"/>
    <w:basedOn w:val="Standaard"/>
    <w:link w:val="VoettekstChar"/>
    <w:uiPriority w:val="99"/>
    <w:unhideWhenUsed/>
    <w:rsid w:val="002535A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535A4"/>
  </w:style>
  <w:style w:type="paragraph" w:styleId="Ballontekst">
    <w:name w:val="Balloon Text"/>
    <w:basedOn w:val="Standaard"/>
    <w:link w:val="BallontekstChar"/>
    <w:uiPriority w:val="99"/>
    <w:semiHidden/>
    <w:unhideWhenUsed/>
    <w:rsid w:val="0004684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68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F6CE1-4677-4462-B22D-3274D2EE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22249</Words>
  <Characters>122370</Characters>
  <DocSecurity>0</DocSecurity>
  <Lines>1019</Lines>
  <Paragraphs>288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2024-06-24T13:40:00Z</cp:lastPrinted>
  <dcterms:created xsi:type="dcterms:W3CDTF">2024-03-25T19:53:00Z</dcterms:created>
  <dcterms:modified xsi:type="dcterms:W3CDTF">2024-07-23T09:00:00Z</dcterms:modified>
</cp:coreProperties>
</file>