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0558F" w14:textId="11535401" w:rsidR="00594EC9" w:rsidRPr="00BB5FCF" w:rsidRDefault="009C0CD1" w:rsidP="00BC3FBF">
      <w:pPr>
        <w:pStyle w:val="NoSpacing"/>
      </w:pPr>
      <w:r w:rsidRPr="0020073B">
        <w:rPr>
          <w:rFonts w:ascii="Garamond" w:hAnsi="Garamond" w:cs="Helvetica Neue"/>
          <w:noProof/>
          <w:lang w:eastAsia="nl-NL"/>
        </w:rPr>
        <mc:AlternateContent>
          <mc:Choice Requires="wps">
            <w:drawing>
              <wp:anchor distT="45720" distB="45720" distL="114300" distR="114300" simplePos="0" relativeHeight="251660288" behindDoc="0" locked="0" layoutInCell="1" allowOverlap="1" wp14:anchorId="127F66D0" wp14:editId="688B67EA">
                <wp:simplePos x="0" y="0"/>
                <wp:positionH relativeFrom="margin">
                  <wp:align>center</wp:align>
                </wp:positionH>
                <wp:positionV relativeFrom="page">
                  <wp:posOffset>3208655</wp:posOffset>
                </wp:positionV>
                <wp:extent cx="6348730" cy="633730"/>
                <wp:effectExtent l="0" t="0" r="13970" b="1079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8730" cy="633730"/>
                        </a:xfrm>
                        <a:prstGeom prst="rect">
                          <a:avLst/>
                        </a:prstGeom>
                        <a:solidFill>
                          <a:srgbClr val="FFFFFF"/>
                        </a:solidFill>
                        <a:ln w="9525">
                          <a:solidFill>
                            <a:schemeClr val="bg1"/>
                          </a:solidFill>
                          <a:miter lim="800000"/>
                          <a:headEnd/>
                          <a:tailEnd/>
                        </a:ln>
                      </wps:spPr>
                      <wps:txbx>
                        <w:txbxContent>
                          <w:p w14:paraId="0DA8C2CC" w14:textId="10EDBE1F" w:rsidR="00B252AD" w:rsidRPr="00B252AD" w:rsidRDefault="005F4DD9" w:rsidP="009B2404">
                            <w:pPr>
                              <w:spacing w:after="0"/>
                              <w:jc w:val="center"/>
                              <w:rPr>
                                <w:sz w:val="28"/>
                                <w:szCs w:val="28"/>
                              </w:rPr>
                            </w:pPr>
                            <w:r>
                              <w:rPr>
                                <w:sz w:val="28"/>
                                <w:szCs w:val="28"/>
                              </w:rPr>
                              <w:t xml:space="preserve">Het stakingsrecht </w:t>
                            </w:r>
                            <w:r w:rsidR="009C0CD1">
                              <w:rPr>
                                <w:sz w:val="28"/>
                                <w:szCs w:val="28"/>
                              </w:rPr>
                              <w:t xml:space="preserve">van artikel 28 </w:t>
                            </w:r>
                            <w:r w:rsidR="00432A44">
                              <w:rPr>
                                <w:sz w:val="28"/>
                                <w:szCs w:val="28"/>
                              </w:rPr>
                              <w:t>EU-</w:t>
                            </w:r>
                            <w:r w:rsidR="009C0CD1">
                              <w:rPr>
                                <w:sz w:val="28"/>
                                <w:szCs w:val="28"/>
                              </w:rPr>
                              <w:t>H</w:t>
                            </w:r>
                            <w:r w:rsidR="00FA03E2">
                              <w:rPr>
                                <w:sz w:val="28"/>
                                <w:szCs w:val="28"/>
                              </w:rPr>
                              <w:t>andvest</w:t>
                            </w:r>
                            <w:r w:rsidR="009C0CD1">
                              <w:rPr>
                                <w:sz w:val="28"/>
                                <w:szCs w:val="28"/>
                              </w:rPr>
                              <w:t xml:space="preserve"> </w:t>
                            </w:r>
                            <w:r>
                              <w:rPr>
                                <w:sz w:val="28"/>
                                <w:szCs w:val="28"/>
                              </w:rPr>
                              <w:t>in internationaalrechtelijk perspectief</w:t>
                            </w:r>
                            <w:r w:rsidR="00B252AD">
                              <w:rPr>
                                <w:sz w:val="28"/>
                                <w:szCs w:val="28"/>
                              </w:rPr>
                              <w:t>:</w:t>
                            </w:r>
                            <w:r w:rsidR="00AD40B5">
                              <w:rPr>
                                <w:sz w:val="28"/>
                                <w:szCs w:val="28"/>
                              </w:rPr>
                              <w:t xml:space="preserve"> </w:t>
                            </w:r>
                            <w:r w:rsidR="0067458D">
                              <w:rPr>
                                <w:sz w:val="28"/>
                                <w:szCs w:val="28"/>
                              </w:rPr>
                              <w:t>E</w:t>
                            </w:r>
                            <w:r w:rsidR="00B252AD" w:rsidRPr="00B252AD">
                              <w:rPr>
                                <w:sz w:val="28"/>
                                <w:szCs w:val="28"/>
                              </w:rPr>
                              <w:t>en conflict tussen rechtsordes of ruimte voor harmonie?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7F66D0" id="_x0000_t202" coordsize="21600,21600" o:spt="202" path="m,l,21600r21600,l21600,xe">
                <v:stroke joinstyle="miter"/>
                <v:path gradientshapeok="t" o:connecttype="rect"/>
              </v:shapetype>
              <v:shape id="Tekstvak 2" o:spid="_x0000_s1026" type="#_x0000_t202" style="position:absolute;margin-left:0;margin-top:252.65pt;width:499.9pt;height:49.9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BU/EgIAAB4EAAAOAAAAZHJzL2Uyb0RvYy54bWysU9tu2zAMfR+wfxD0vjj3pkacokuXYUB3&#10;Abp9gCzLtjBJ1CQldvf1o2Q3Tbu3YX4QSJM6JA+Ptje9VuQknJdgCjqbTCkRhkMlTVPQH98P7zaU&#10;+MBMxRQYUdBH4enN7u2bbWdzMYcWVCUcQRDj884WtA3B5lnmeSs08xOwwmCwBqdZQNc1WeVYh+ha&#10;ZfPpdJ114CrrgAvv8e/dEKS7hF/Xgoevde1FIKqg2FtIp0tnGc9st2V545htJR/bYP/QhWbSYNEz&#10;1B0LjByd/AtKS+7AQx0mHHQGdS25SDPgNLPpq2keWmZFmgXJ8fZMk/9/sPzL6cF+cyT076HHBaYh&#10;vL0H/tMTA/uWmUbcOgddK1iFhWeRsqyzPh+vRqp97iNI2X2GCpfMjgESUF87HVnBOQmi4wIez6SL&#10;PhCOP9eL5eZqgSGOsfViEe1YguVPt63z4aMATaJRUIdLTejsdO/DkPqUEot5ULI6SKWS45pyrxw5&#10;MRTAIX0j+os0ZUhX0OvVfDUQ8AIialGcQcpmoOBVIS0DCllJXdDNNH6DtCJrH0yVZBaYVIONwykz&#10;0hiZGzgMfdljYqSzhOoRCXUwCBYfGBotuN+UdCjWgvpfR+YEJeqTwaVcz5bLqO7kLFdXc3TcZaS8&#10;jDDDEaqggZLB3If0IhJf9haXd5CJ1+dOxl5RhGkz44OJKr/0U9bzs979AQAA//8DAFBLAwQUAAYA&#10;CAAAACEAy4b4od4AAAAIAQAADwAAAGRycy9kb3ducmV2LnhtbEyPy07DMBBF90j8gzVI7KhdUCqS&#10;ZlIBEixYtGpAdOvEk4fwI4qdNPw9ZkWXozu695x8txjNZhp97yzCeiWAka2d6m2L8PnxevcIzAdp&#10;ldTOEsIPedgV11e5zJQ72yPNZWhZLLE+kwhdCEPGua87MtKv3EA2Zo0bjQzxHFuuRnmO5UbzeyE2&#10;3MjexoVODvTSUf1dTgbh7ZlX+2N5qJpTo+d3/WWm/cEg3t4sT1tggZbw/wx/+BEdishUuckqzzRC&#10;FAkIiUgegMU4TdNoUiFsRLIGXuT8UqD4BQAA//8DAFBLAQItABQABgAIAAAAIQC2gziS/gAAAOEB&#10;AAATAAAAAAAAAAAAAAAAAAAAAABbQ29udGVudF9UeXBlc10ueG1sUEsBAi0AFAAGAAgAAAAhADj9&#10;If/WAAAAlAEAAAsAAAAAAAAAAAAAAAAALwEAAF9yZWxzLy5yZWxzUEsBAi0AFAAGAAgAAAAhAFWI&#10;FT8SAgAAHgQAAA4AAAAAAAAAAAAAAAAALgIAAGRycy9lMm9Eb2MueG1sUEsBAi0AFAAGAAgAAAAh&#10;AMuG+KHeAAAACAEAAA8AAAAAAAAAAAAAAAAAbAQAAGRycy9kb3ducmV2LnhtbFBLBQYAAAAABAAE&#10;APMAAAB3BQAAAAA=&#10;" strokecolor="white [3212]">
                <v:textbox style="mso-fit-shape-to-text:t">
                  <w:txbxContent>
                    <w:p w14:paraId="0DA8C2CC" w14:textId="10EDBE1F" w:rsidR="00B252AD" w:rsidRPr="00B252AD" w:rsidRDefault="005F4DD9" w:rsidP="009B2404">
                      <w:pPr>
                        <w:spacing w:after="0"/>
                        <w:jc w:val="center"/>
                        <w:rPr>
                          <w:sz w:val="28"/>
                          <w:szCs w:val="28"/>
                        </w:rPr>
                      </w:pPr>
                      <w:r>
                        <w:rPr>
                          <w:sz w:val="28"/>
                          <w:szCs w:val="28"/>
                        </w:rPr>
                        <w:t xml:space="preserve">Het stakingsrecht </w:t>
                      </w:r>
                      <w:r w:rsidR="009C0CD1">
                        <w:rPr>
                          <w:sz w:val="28"/>
                          <w:szCs w:val="28"/>
                        </w:rPr>
                        <w:t xml:space="preserve">van artikel 28 </w:t>
                      </w:r>
                      <w:r w:rsidR="00432A44">
                        <w:rPr>
                          <w:sz w:val="28"/>
                          <w:szCs w:val="28"/>
                        </w:rPr>
                        <w:t>EU-</w:t>
                      </w:r>
                      <w:r w:rsidR="009C0CD1">
                        <w:rPr>
                          <w:sz w:val="28"/>
                          <w:szCs w:val="28"/>
                        </w:rPr>
                        <w:t>H</w:t>
                      </w:r>
                      <w:r w:rsidR="00FA03E2">
                        <w:rPr>
                          <w:sz w:val="28"/>
                          <w:szCs w:val="28"/>
                        </w:rPr>
                        <w:t>andvest</w:t>
                      </w:r>
                      <w:r w:rsidR="009C0CD1">
                        <w:rPr>
                          <w:sz w:val="28"/>
                          <w:szCs w:val="28"/>
                        </w:rPr>
                        <w:t xml:space="preserve"> </w:t>
                      </w:r>
                      <w:r>
                        <w:rPr>
                          <w:sz w:val="28"/>
                          <w:szCs w:val="28"/>
                        </w:rPr>
                        <w:t>in internationaalrechtelijk perspectief</w:t>
                      </w:r>
                      <w:r w:rsidR="00B252AD">
                        <w:rPr>
                          <w:sz w:val="28"/>
                          <w:szCs w:val="28"/>
                        </w:rPr>
                        <w:t>:</w:t>
                      </w:r>
                      <w:r w:rsidR="00AD40B5">
                        <w:rPr>
                          <w:sz w:val="28"/>
                          <w:szCs w:val="28"/>
                        </w:rPr>
                        <w:t xml:space="preserve"> </w:t>
                      </w:r>
                      <w:r w:rsidR="0067458D">
                        <w:rPr>
                          <w:sz w:val="28"/>
                          <w:szCs w:val="28"/>
                        </w:rPr>
                        <w:t>E</w:t>
                      </w:r>
                      <w:r w:rsidR="00B252AD" w:rsidRPr="00B252AD">
                        <w:rPr>
                          <w:sz w:val="28"/>
                          <w:szCs w:val="28"/>
                        </w:rPr>
                        <w:t>en conflict tussen rechtsordes of ruimte voor harmonie?</w:t>
                      </w:r>
                    </w:p>
                  </w:txbxContent>
                </v:textbox>
                <w10:wrap type="square" anchorx="margin" anchory="page"/>
              </v:shape>
            </w:pict>
          </mc:Fallback>
        </mc:AlternateContent>
      </w:r>
      <w:r w:rsidR="008E3A81" w:rsidRPr="0020073B">
        <w:rPr>
          <w:rFonts w:ascii="Garamond" w:hAnsi="Garamond" w:cs="Helvetica Neue"/>
          <w:noProof/>
          <w:lang w:eastAsia="nl-NL"/>
        </w:rPr>
        <mc:AlternateContent>
          <mc:Choice Requires="wps">
            <w:drawing>
              <wp:anchor distT="45720" distB="45720" distL="114300" distR="114300" simplePos="0" relativeHeight="251661312" behindDoc="0" locked="0" layoutInCell="1" allowOverlap="1" wp14:anchorId="138B8413" wp14:editId="43C5EA45">
                <wp:simplePos x="0" y="0"/>
                <wp:positionH relativeFrom="margin">
                  <wp:align>center</wp:align>
                </wp:positionH>
                <wp:positionV relativeFrom="page">
                  <wp:posOffset>2116117</wp:posOffset>
                </wp:positionV>
                <wp:extent cx="3923030" cy="499110"/>
                <wp:effectExtent l="0" t="0" r="20320" b="15240"/>
                <wp:wrapSquare wrapText="bothSides"/>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3030" cy="499110"/>
                        </a:xfrm>
                        <a:prstGeom prst="rect">
                          <a:avLst/>
                        </a:prstGeom>
                        <a:solidFill>
                          <a:srgbClr val="FFFFFF"/>
                        </a:solidFill>
                        <a:ln w="9525">
                          <a:solidFill>
                            <a:schemeClr val="bg1"/>
                          </a:solidFill>
                          <a:miter lim="800000"/>
                          <a:headEnd/>
                          <a:tailEnd/>
                        </a:ln>
                      </wps:spPr>
                      <wps:txbx>
                        <w:txbxContent>
                          <w:p w14:paraId="209E1390" w14:textId="77777777" w:rsidR="00594EC9" w:rsidRPr="004F75F1" w:rsidRDefault="00594EC9" w:rsidP="00594EC9">
                            <w:pPr>
                              <w:pStyle w:val="Style1"/>
                              <w:jc w:val="center"/>
                              <w:rPr>
                                <w:rFonts w:eastAsiaTheme="minorHAnsi" w:cs="Times New Roman"/>
                                <w:color w:val="000000"/>
                                <w:spacing w:val="0"/>
                                <w:sz w:val="24"/>
                                <w:szCs w:val="24"/>
                                <w:lang w:eastAsia="en-US"/>
                              </w:rPr>
                            </w:pPr>
                            <w:r w:rsidRPr="004F75F1">
                              <w:rPr>
                                <w:rFonts w:eastAsiaTheme="minorHAnsi" w:cs="Times New Roman"/>
                                <w:color w:val="000000"/>
                                <w:spacing w:val="0"/>
                                <w:sz w:val="24"/>
                                <w:szCs w:val="24"/>
                                <w:lang w:eastAsia="en-US"/>
                              </w:rPr>
                              <w:t>Faculteit der Rechtsgeleerdheid</w:t>
                            </w:r>
                          </w:p>
                          <w:p w14:paraId="6B61312F" w14:textId="68192FAC" w:rsidR="00594EC9" w:rsidRPr="004F75F1" w:rsidRDefault="00594EC9" w:rsidP="00594EC9">
                            <w:pPr>
                              <w:pStyle w:val="Style1"/>
                              <w:jc w:val="center"/>
                              <w:rPr>
                                <w:rFonts w:eastAsiaTheme="minorHAnsi" w:cs="Times New Roman"/>
                                <w:color w:val="000000"/>
                                <w:spacing w:val="0"/>
                                <w:sz w:val="24"/>
                                <w:szCs w:val="24"/>
                                <w:lang w:eastAsia="en-US"/>
                              </w:rPr>
                            </w:pPr>
                            <w:r w:rsidRPr="004F75F1">
                              <w:rPr>
                                <w:rFonts w:eastAsiaTheme="minorHAnsi" w:cs="Times New Roman"/>
                                <w:color w:val="000000"/>
                                <w:spacing w:val="0"/>
                                <w:sz w:val="24"/>
                                <w:szCs w:val="24"/>
                                <w:lang w:eastAsia="en-US"/>
                              </w:rPr>
                              <w:t xml:space="preserve">Academisch jaar </w:t>
                            </w:r>
                            <w:r>
                              <w:rPr>
                                <w:rFonts w:eastAsiaTheme="minorHAnsi" w:cs="Times New Roman"/>
                                <w:color w:val="000000"/>
                                <w:spacing w:val="0"/>
                                <w:sz w:val="24"/>
                                <w:szCs w:val="24"/>
                                <w:lang w:eastAsia="en-US"/>
                              </w:rPr>
                              <w:t>2023 - 2024</w:t>
                            </w:r>
                          </w:p>
                          <w:p w14:paraId="0AA8C8EB" w14:textId="77777777" w:rsidR="00594EC9" w:rsidRPr="004F75F1" w:rsidRDefault="00594EC9" w:rsidP="00594EC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8B8413" id="_x0000_s1027" type="#_x0000_t202" style="position:absolute;margin-left:0;margin-top:166.6pt;width:308.9pt;height:39.3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d+KGAIAACUEAAAOAAAAZHJzL2Uyb0RvYy54bWysk9uO2yAQhu8r9R0Q943tHNqNFWe1zTZV&#10;pe1B2vYBMMY2KmYokNjp0++Avdk0vavqCwQe+Jn55mdzO3SKHIV1EnRBs1lKidAcKqmbgv74vn9z&#10;Q4nzTFdMgRYFPQlHb7evX216k4s5tKAqYQmKaJf3pqCt9yZPEsdb0TE3AyM0BmuwHfO4tE1SWdaj&#10;eqeSeZq+TXqwlbHAhXP4934M0m3Ur2vB/de6dsITVVDMzcfRxrEMY7LdsLyxzLSST2mwf8iiY1Lj&#10;pWepe+YZOVj5l1QnuQUHtZ9x6BKoa8lFrAGrydKrah5bZkSsBeE4c8bk/p8s/3J8NN8s8cN7GLCB&#10;sQhnHoD/dETDrmW6EXfWQt8KVuHFWUCW9Mbl09GA2uUuiJT9Z6iwyezgIQoNte0CFayToDo24HSG&#10;LgZPOP5crOeLdIEhjrHlep1lsSsJy59PG+v8RwEdCZOCWmxqVGfHB+dDNix/3hIuc6BktZdKxYVt&#10;yp2y5MjQAPv4xQKutilN+oKuV/PVCOAPieBFcRYpmxHBlUInPRpZya6gN2n4RmsFah90FW3mmVTj&#10;HDNWesIYyI0M/VAORFYT40C1hOqEXC2MvsV3hpMW7G9KevRsQd2vA7OCEvVJY2/W2XIZTB4Xy9W7&#10;OS7sZaS8jDDNUaqgnpJxuvPxYQRsGu6wh7WMeF8ymVJGL0bq07sJZr9cx10vr3v7BAAA//8DAFBL&#10;AwQUAAYACAAAACEALTc7oN8AAAAIAQAADwAAAGRycy9kb3ducmV2LnhtbEyPQU+DQBCF7yb+h800&#10;8WYXSoMVWRqjsbfGFE31uLBTILKzhN222F/veNLj5E3e+758PdlenHD0nSMF8TwCgVQ701Gj4P3t&#10;5XYFwgdNRveOUME3elgX11e5zow70w5PZWgEl5DPtII2hCGT0tctWu3nbkDi7OBGqwOfYyPNqM9c&#10;bnu5iKJUWt0RL7R6wKcW66/yaBX4Okr3r8ty/1HJDV7ujXn+3GyVuplNjw8gAk7h7xl+8RkdCmaq&#10;3JGMF70CFgkKkiRZgOA4je/YpFKwjOMVyCKX/wWKHwAAAP//AwBQSwECLQAUAAYACAAAACEAtoM4&#10;kv4AAADhAQAAEwAAAAAAAAAAAAAAAAAAAAAAW0NvbnRlbnRfVHlwZXNdLnhtbFBLAQItABQABgAI&#10;AAAAIQA4/SH/1gAAAJQBAAALAAAAAAAAAAAAAAAAAC8BAABfcmVscy8ucmVsc1BLAQItABQABgAI&#10;AAAAIQDURd+KGAIAACUEAAAOAAAAAAAAAAAAAAAAAC4CAABkcnMvZTJvRG9jLnhtbFBLAQItABQA&#10;BgAIAAAAIQAtNzug3wAAAAgBAAAPAAAAAAAAAAAAAAAAAHIEAABkcnMvZG93bnJldi54bWxQSwUG&#10;AAAAAAQABADzAAAAfgUAAAAA&#10;" strokecolor="white [3212]">
                <v:textbox>
                  <w:txbxContent>
                    <w:p w14:paraId="209E1390" w14:textId="77777777" w:rsidR="00594EC9" w:rsidRPr="004F75F1" w:rsidRDefault="00594EC9" w:rsidP="00594EC9">
                      <w:pPr>
                        <w:pStyle w:val="Style1"/>
                        <w:jc w:val="center"/>
                        <w:rPr>
                          <w:rFonts w:eastAsiaTheme="minorHAnsi" w:cs="Times New Roman"/>
                          <w:color w:val="000000"/>
                          <w:spacing w:val="0"/>
                          <w:sz w:val="24"/>
                          <w:szCs w:val="24"/>
                          <w:lang w:eastAsia="en-US"/>
                        </w:rPr>
                      </w:pPr>
                      <w:r w:rsidRPr="004F75F1">
                        <w:rPr>
                          <w:rFonts w:eastAsiaTheme="minorHAnsi" w:cs="Times New Roman"/>
                          <w:color w:val="000000"/>
                          <w:spacing w:val="0"/>
                          <w:sz w:val="24"/>
                          <w:szCs w:val="24"/>
                          <w:lang w:eastAsia="en-US"/>
                        </w:rPr>
                        <w:t>Faculteit der Rechtsgeleerdheid</w:t>
                      </w:r>
                    </w:p>
                    <w:p w14:paraId="6B61312F" w14:textId="68192FAC" w:rsidR="00594EC9" w:rsidRPr="004F75F1" w:rsidRDefault="00594EC9" w:rsidP="00594EC9">
                      <w:pPr>
                        <w:pStyle w:val="Style1"/>
                        <w:jc w:val="center"/>
                        <w:rPr>
                          <w:rFonts w:eastAsiaTheme="minorHAnsi" w:cs="Times New Roman"/>
                          <w:color w:val="000000"/>
                          <w:spacing w:val="0"/>
                          <w:sz w:val="24"/>
                          <w:szCs w:val="24"/>
                          <w:lang w:eastAsia="en-US"/>
                        </w:rPr>
                      </w:pPr>
                      <w:r w:rsidRPr="004F75F1">
                        <w:rPr>
                          <w:rFonts w:eastAsiaTheme="minorHAnsi" w:cs="Times New Roman"/>
                          <w:color w:val="000000"/>
                          <w:spacing w:val="0"/>
                          <w:sz w:val="24"/>
                          <w:szCs w:val="24"/>
                          <w:lang w:eastAsia="en-US"/>
                        </w:rPr>
                        <w:t xml:space="preserve">Academisch jaar </w:t>
                      </w:r>
                      <w:r>
                        <w:rPr>
                          <w:rFonts w:eastAsiaTheme="minorHAnsi" w:cs="Times New Roman"/>
                          <w:color w:val="000000"/>
                          <w:spacing w:val="0"/>
                          <w:sz w:val="24"/>
                          <w:szCs w:val="24"/>
                          <w:lang w:eastAsia="en-US"/>
                        </w:rPr>
                        <w:t>2023 - 2024</w:t>
                      </w:r>
                    </w:p>
                    <w:p w14:paraId="0AA8C8EB" w14:textId="77777777" w:rsidR="00594EC9" w:rsidRPr="004F75F1" w:rsidRDefault="00594EC9" w:rsidP="00594EC9">
                      <w:pPr>
                        <w:jc w:val="center"/>
                      </w:pPr>
                    </w:p>
                  </w:txbxContent>
                </v:textbox>
                <w10:wrap type="square" anchorx="margin" anchory="page"/>
              </v:shape>
            </w:pict>
          </mc:Fallback>
        </mc:AlternateContent>
      </w:r>
      <w:r w:rsidR="00594EC9">
        <w:rPr>
          <w:b/>
          <w:bCs/>
        </w:rPr>
        <w:br w:type="page"/>
      </w:r>
      <w:r w:rsidR="00594EC9" w:rsidRPr="00BB5FCF">
        <w:rPr>
          <w:noProof/>
          <w:lang w:eastAsia="nl-NL"/>
        </w:rPr>
        <w:drawing>
          <wp:anchor distT="0" distB="0" distL="114300" distR="114300" simplePos="0" relativeHeight="251659264" behindDoc="1" locked="0" layoutInCell="1" allowOverlap="1" wp14:anchorId="2029A3CF" wp14:editId="0FFE4A09">
            <wp:simplePos x="0" y="0"/>
            <wp:positionH relativeFrom="margin">
              <wp:align>center</wp:align>
            </wp:positionH>
            <wp:positionV relativeFrom="margin">
              <wp:align>top</wp:align>
            </wp:positionV>
            <wp:extent cx="1652905" cy="1213485"/>
            <wp:effectExtent l="0" t="0" r="4445" b="5715"/>
            <wp:wrapSquare wrapText="bothSides"/>
            <wp:docPr id="4" name="Afbeelding 4" descr="Radboud Universiteit Nijmegen - Kiem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adboud Universiteit Nijmegen - Kiem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2905" cy="1213485"/>
                    </a:xfrm>
                    <a:prstGeom prst="rect">
                      <a:avLst/>
                    </a:prstGeom>
                    <a:noFill/>
                    <a:ln>
                      <a:noFill/>
                    </a:ln>
                  </pic:spPr>
                </pic:pic>
              </a:graphicData>
            </a:graphic>
            <wp14:sizeRelH relativeFrom="page">
              <wp14:pctWidth>0</wp14:pctWidth>
            </wp14:sizeRelH>
            <wp14:sizeRelV relativeFrom="page">
              <wp14:pctHeight>0</wp14:pctHeight>
            </wp14:sizeRelV>
          </wp:anchor>
        </w:drawing>
      </w:r>
      <w:r w:rsidR="00594EC9" w:rsidRPr="00BB5FCF">
        <w:rPr>
          <w:noProof/>
          <w:lang w:eastAsia="nl-NL"/>
        </w:rPr>
        <mc:AlternateContent>
          <mc:Choice Requires="wps">
            <w:drawing>
              <wp:anchor distT="45720" distB="45720" distL="114300" distR="114300" simplePos="0" relativeHeight="251662336" behindDoc="0" locked="0" layoutInCell="1" allowOverlap="1" wp14:anchorId="2AAFB2D7" wp14:editId="316CBEF1">
                <wp:simplePos x="0" y="0"/>
                <wp:positionH relativeFrom="margin">
                  <wp:align>left</wp:align>
                </wp:positionH>
                <wp:positionV relativeFrom="margin">
                  <wp:align>bottom</wp:align>
                </wp:positionV>
                <wp:extent cx="4720590" cy="633730"/>
                <wp:effectExtent l="0" t="0" r="22860" b="20955"/>
                <wp:wrapSquare wrapText="bothSides"/>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0590" cy="633730"/>
                        </a:xfrm>
                        <a:prstGeom prst="rect">
                          <a:avLst/>
                        </a:prstGeom>
                        <a:solidFill>
                          <a:srgbClr val="FFFFFF"/>
                        </a:solidFill>
                        <a:ln w="9525">
                          <a:solidFill>
                            <a:schemeClr val="bg1"/>
                          </a:solidFill>
                          <a:miter lim="800000"/>
                          <a:headEnd/>
                          <a:tailEnd/>
                        </a:ln>
                      </wps:spPr>
                      <wps:txbx>
                        <w:txbxContent>
                          <w:p w14:paraId="4DAEBBC6" w14:textId="1760A556" w:rsidR="00594EC9" w:rsidRPr="00AC12C5" w:rsidRDefault="00594EC9" w:rsidP="00594EC9">
                            <w:pPr>
                              <w:spacing w:after="0"/>
                              <w:rPr>
                                <w:sz w:val="24"/>
                                <w:szCs w:val="24"/>
                              </w:rPr>
                            </w:pPr>
                            <w:r w:rsidRPr="00AC12C5">
                              <w:rPr>
                                <w:sz w:val="24"/>
                                <w:szCs w:val="24"/>
                              </w:rPr>
                              <w:t xml:space="preserve">Naam: </w:t>
                            </w:r>
                            <w:r w:rsidR="00931B16">
                              <w:rPr>
                                <w:sz w:val="24"/>
                                <w:szCs w:val="24"/>
                              </w:rPr>
                              <w:t>B.G. (</w:t>
                            </w:r>
                            <w:r w:rsidRPr="00AC12C5">
                              <w:rPr>
                                <w:sz w:val="24"/>
                                <w:szCs w:val="24"/>
                              </w:rPr>
                              <w:t>Björk</w:t>
                            </w:r>
                            <w:r w:rsidR="00931B16">
                              <w:rPr>
                                <w:sz w:val="24"/>
                                <w:szCs w:val="24"/>
                              </w:rPr>
                              <w:t>)</w:t>
                            </w:r>
                            <w:r w:rsidRPr="00AC12C5">
                              <w:rPr>
                                <w:sz w:val="24"/>
                                <w:szCs w:val="24"/>
                              </w:rPr>
                              <w:t xml:space="preserve"> van Disseldorp</w:t>
                            </w:r>
                          </w:p>
                          <w:p w14:paraId="00AA81AC" w14:textId="7F2C81B3" w:rsidR="00594EC9" w:rsidRDefault="008112FE" w:rsidP="00DF1B67">
                            <w:pPr>
                              <w:spacing w:after="0"/>
                              <w:rPr>
                                <w:sz w:val="24"/>
                                <w:szCs w:val="24"/>
                              </w:rPr>
                            </w:pPr>
                            <w:r>
                              <w:rPr>
                                <w:sz w:val="24"/>
                                <w:szCs w:val="24"/>
                              </w:rPr>
                              <w:t xml:space="preserve">Vak: </w:t>
                            </w:r>
                            <w:r w:rsidR="00594EC9" w:rsidRPr="00AC12C5">
                              <w:rPr>
                                <w:sz w:val="24"/>
                                <w:szCs w:val="24"/>
                              </w:rPr>
                              <w:t>Masterscriptie</w:t>
                            </w:r>
                          </w:p>
                          <w:p w14:paraId="57EAC3B6" w14:textId="11CD6858" w:rsidR="00CA4CB3" w:rsidRPr="00AC12C5" w:rsidRDefault="00CA4CB3" w:rsidP="00DF1B67">
                            <w:pPr>
                              <w:spacing w:after="0"/>
                              <w:rPr>
                                <w:sz w:val="24"/>
                                <w:szCs w:val="24"/>
                              </w:rPr>
                            </w:pPr>
                            <w:r>
                              <w:rPr>
                                <w:sz w:val="24"/>
                                <w:szCs w:val="24"/>
                              </w:rPr>
                              <w:t>Afstudeerrichting: Burgerlijk recht, Sociaal recht</w:t>
                            </w:r>
                          </w:p>
                          <w:p w14:paraId="31A3DB4E" w14:textId="6CC6D8F4" w:rsidR="00594EC9" w:rsidRPr="0070253E" w:rsidRDefault="0067458D" w:rsidP="00594EC9">
                            <w:pPr>
                              <w:spacing w:after="0"/>
                              <w:rPr>
                                <w:sz w:val="24"/>
                                <w:szCs w:val="24"/>
                                <w:lang w:val="de-DE" w:bidi="nl-NL"/>
                              </w:rPr>
                            </w:pPr>
                            <w:r w:rsidRPr="0070253E">
                              <w:rPr>
                                <w:sz w:val="24"/>
                                <w:szCs w:val="24"/>
                                <w:lang w:val="de-DE" w:bidi="nl-NL"/>
                              </w:rPr>
                              <w:t>Scriptieb</w:t>
                            </w:r>
                            <w:r w:rsidR="00594EC9" w:rsidRPr="0070253E">
                              <w:rPr>
                                <w:sz w:val="24"/>
                                <w:szCs w:val="24"/>
                                <w:lang w:val="de-DE" w:bidi="nl-NL"/>
                              </w:rPr>
                              <w:t xml:space="preserve">egeleider: </w:t>
                            </w:r>
                            <w:r w:rsidR="007A3688" w:rsidRPr="0070253E">
                              <w:rPr>
                                <w:sz w:val="24"/>
                                <w:szCs w:val="24"/>
                                <w:lang w:val="de-DE" w:bidi="nl-NL"/>
                              </w:rPr>
                              <w:t>p</w:t>
                            </w:r>
                            <w:r w:rsidRPr="0070253E">
                              <w:rPr>
                                <w:sz w:val="24"/>
                                <w:szCs w:val="24"/>
                                <w:lang w:val="de-DE" w:bidi="nl-NL"/>
                              </w:rPr>
                              <w:t xml:space="preserve">rof. </w:t>
                            </w:r>
                            <w:r w:rsidR="009F2DC3" w:rsidRPr="0070253E">
                              <w:rPr>
                                <w:sz w:val="24"/>
                                <w:szCs w:val="24"/>
                                <w:lang w:val="de-DE" w:bidi="nl-NL"/>
                              </w:rPr>
                              <w:t xml:space="preserve">mr. </w:t>
                            </w:r>
                            <w:r w:rsidR="00594EC9" w:rsidRPr="0070253E">
                              <w:rPr>
                                <w:sz w:val="24"/>
                                <w:szCs w:val="24"/>
                                <w:lang w:val="de-DE" w:bidi="nl-NL"/>
                              </w:rPr>
                              <w:t>M.</w:t>
                            </w:r>
                            <w:r w:rsidR="00931B16" w:rsidRPr="0070253E">
                              <w:rPr>
                                <w:sz w:val="24"/>
                                <w:szCs w:val="24"/>
                                <w:lang w:val="de-DE" w:bidi="nl-NL"/>
                              </w:rPr>
                              <w:t xml:space="preserve"> (Miriam)</w:t>
                            </w:r>
                            <w:r w:rsidR="00594EC9" w:rsidRPr="0070253E">
                              <w:rPr>
                                <w:sz w:val="24"/>
                                <w:szCs w:val="24"/>
                                <w:lang w:val="de-DE" w:bidi="nl-NL"/>
                              </w:rPr>
                              <w:t xml:space="preserve"> Kullmann</w:t>
                            </w:r>
                          </w:p>
                          <w:p w14:paraId="6FC5A8F6" w14:textId="16038B46" w:rsidR="007A3688" w:rsidRPr="007A3688" w:rsidRDefault="007A3688" w:rsidP="00594EC9">
                            <w:pPr>
                              <w:spacing w:after="0"/>
                              <w:rPr>
                                <w:sz w:val="24"/>
                                <w:szCs w:val="24"/>
                                <w:lang w:bidi="nl-NL"/>
                              </w:rPr>
                            </w:pPr>
                            <w:r w:rsidRPr="007A3688">
                              <w:rPr>
                                <w:sz w:val="24"/>
                                <w:szCs w:val="24"/>
                                <w:lang w:bidi="nl-NL"/>
                              </w:rPr>
                              <w:t xml:space="preserve">Tweede lezer: </w:t>
                            </w:r>
                            <w:r>
                              <w:rPr>
                                <w:sz w:val="24"/>
                                <w:szCs w:val="24"/>
                                <w:lang w:bidi="nl-NL"/>
                              </w:rPr>
                              <w:t>p</w:t>
                            </w:r>
                            <w:r w:rsidRPr="007A3688">
                              <w:rPr>
                                <w:sz w:val="24"/>
                                <w:szCs w:val="24"/>
                                <w:lang w:bidi="nl-NL"/>
                              </w:rPr>
                              <w:t xml:space="preserve">rof. mr. </w:t>
                            </w:r>
                            <w:r>
                              <w:rPr>
                                <w:sz w:val="24"/>
                                <w:szCs w:val="24"/>
                                <w:lang w:bidi="nl-NL"/>
                              </w:rPr>
                              <w:t>F.G.</w:t>
                            </w:r>
                            <w:r w:rsidR="00931B16">
                              <w:rPr>
                                <w:sz w:val="24"/>
                                <w:szCs w:val="24"/>
                                <w:lang w:bidi="nl-NL"/>
                              </w:rPr>
                              <w:t xml:space="preserve"> (Femke)</w:t>
                            </w:r>
                            <w:r>
                              <w:rPr>
                                <w:sz w:val="24"/>
                                <w:szCs w:val="24"/>
                                <w:lang w:bidi="nl-NL"/>
                              </w:rPr>
                              <w:t xml:space="preserve"> Laagland</w:t>
                            </w:r>
                          </w:p>
                          <w:p w14:paraId="5963F693" w14:textId="26A7A440" w:rsidR="00EA55F8" w:rsidRDefault="00EA55F8" w:rsidP="00594EC9">
                            <w:pPr>
                              <w:spacing w:after="0"/>
                              <w:rPr>
                                <w:sz w:val="24"/>
                                <w:szCs w:val="24"/>
                                <w:lang w:bidi="nl-NL"/>
                              </w:rPr>
                            </w:pPr>
                            <w:r w:rsidRPr="007A3688">
                              <w:rPr>
                                <w:sz w:val="24"/>
                                <w:szCs w:val="24"/>
                                <w:lang w:bidi="nl-NL"/>
                              </w:rPr>
                              <w:t>Inleverdatum: 12 april 2024</w:t>
                            </w:r>
                          </w:p>
                          <w:p w14:paraId="710703CC" w14:textId="18AB7C8C" w:rsidR="007A3688" w:rsidRPr="007A3688" w:rsidRDefault="007A3688" w:rsidP="00594EC9">
                            <w:pPr>
                              <w:spacing w:after="0"/>
                              <w:rPr>
                                <w:sz w:val="24"/>
                                <w:szCs w:val="24"/>
                              </w:rPr>
                            </w:pPr>
                            <w:r>
                              <w:rPr>
                                <w:sz w:val="24"/>
                                <w:szCs w:val="24"/>
                                <w:lang w:bidi="nl-NL"/>
                              </w:rPr>
                              <w:t>Datum van de verdediging: 22 mei 2024 om 12.00 uur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AFB2D7" id="_x0000_s1028" type="#_x0000_t202" style="position:absolute;margin-left:0;margin-top:0;width:371.7pt;height:49.9pt;z-index:251662336;visibility:visible;mso-wrap-style:square;mso-width-percent:0;mso-height-percent:200;mso-wrap-distance-left:9pt;mso-wrap-distance-top:3.6pt;mso-wrap-distance-right:9pt;mso-wrap-distance-bottom:3.6pt;mso-position-horizontal:left;mso-position-horizontal-relative:margin;mso-position-vertical:bottom;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H6fGgIAACUEAAAOAAAAZHJzL2Uyb0RvYy54bWysk11v2yAUhu8n7T8g7hc7X21jhVRdukyT&#10;ug+p2w/AGNtomMOAxM5+fQ84TbPubpovEPjAyznPeVnfDp0mB+m8AsPodJJTIo2ASpmG0R/fd+9u&#10;KPGBm4prMJLRo/T0dvP2zbq3hZxBC7qSjqCI8UVvGW1DsEWWedHKjvsJWGkwWIPreMCla7LK8R7V&#10;O53N8vwq68FV1oGQ3uPf+zFIN0m/rqUIX+vay0A0o5hbSKNLYxnHbLPmReO4bZU4pcH/IYuOK4OX&#10;nqXueeBk79RfUp0SDjzUYSKgy6CulZCpBqxmmr+q5rHlVqZaEI63Z0z+/8mKL4dH+82RMLyHARuY&#10;ivD2AcRPTwxsW24aeecc9K3kFV48jciy3vridDSi9oWPImX/GSpsMt8HSEJD7bpIBeskqI4NOJ6h&#10;yyEQgT8X17N8ucKQwNjVfH49T13JePF82jofPkroSJww6rCpSZ0fHnyI2fDieUu8zINW1U5pnRau&#10;KbfakQNHA+zSlwp4tU0b0jO6Ws6WI4A/JKIX5VmkbEYErxQ6FdDIWnWM3uTxG60VqX0wVbJZ4EqP&#10;c8xYmxPGSG5kGIZyIKpidBbPRqolVEfk6mD0Lb4znLTgflPSo2cZ9b/23ElK9CeDvVlNF4to8rRY&#10;LBEsJe4yUl5GuBEoxWigZJxuQ3oYCZu9wx7uVML7kskpZfRion56N9Hsl+u06+V1b54AAAD//wMA&#10;UEsDBBQABgAIAAAAIQA+lSP33AAAAAQBAAAPAAAAZHJzL2Rvd25yZXYueG1sTI/NTsMwEITvSLyD&#10;tUjcqANU0KZxKkCCA4dWDYheN/HmR9jrKHbS8PYYLnBZaTSjmW+z7WyNmGjwnWMF14sEBHHldMeN&#10;gve356sVCB+QNRrHpOCLPGzz87MMU+1OfKCpCI2IJexTVNCG0KdS+qoli37heuLo1W6wGKIcGqkH&#10;PMVya+RNktxJix3HhRZ7emqp+ixGq+DlUZa7Q7Ev62NtplfzYcfd3ip1eTE/bEAEmsNfGH7wIzrk&#10;kal0I2svjIL4SPi90btf3i5BlArW6xXIPJP/4fNvAAAA//8DAFBLAQItABQABgAIAAAAIQC2gziS&#10;/gAAAOEBAAATAAAAAAAAAAAAAAAAAAAAAABbQ29udGVudF9UeXBlc10ueG1sUEsBAi0AFAAGAAgA&#10;AAAhADj9If/WAAAAlAEAAAsAAAAAAAAAAAAAAAAALwEAAF9yZWxzLy5yZWxzUEsBAi0AFAAGAAgA&#10;AAAhAF/ofp8aAgAAJQQAAA4AAAAAAAAAAAAAAAAALgIAAGRycy9lMm9Eb2MueG1sUEsBAi0AFAAG&#10;AAgAAAAhAD6VI/fcAAAABAEAAA8AAAAAAAAAAAAAAAAAdAQAAGRycy9kb3ducmV2LnhtbFBLBQYA&#10;AAAABAAEAPMAAAB9BQAAAAA=&#10;" strokecolor="white [3212]">
                <v:textbox style="mso-fit-shape-to-text:t">
                  <w:txbxContent>
                    <w:p w14:paraId="4DAEBBC6" w14:textId="1760A556" w:rsidR="00594EC9" w:rsidRPr="00AC12C5" w:rsidRDefault="00594EC9" w:rsidP="00594EC9">
                      <w:pPr>
                        <w:spacing w:after="0"/>
                        <w:rPr>
                          <w:sz w:val="24"/>
                          <w:szCs w:val="24"/>
                        </w:rPr>
                      </w:pPr>
                      <w:r w:rsidRPr="00AC12C5">
                        <w:rPr>
                          <w:sz w:val="24"/>
                          <w:szCs w:val="24"/>
                        </w:rPr>
                        <w:t xml:space="preserve">Naam: </w:t>
                      </w:r>
                      <w:r w:rsidR="00931B16">
                        <w:rPr>
                          <w:sz w:val="24"/>
                          <w:szCs w:val="24"/>
                        </w:rPr>
                        <w:t>B.G. (</w:t>
                      </w:r>
                      <w:r w:rsidRPr="00AC12C5">
                        <w:rPr>
                          <w:sz w:val="24"/>
                          <w:szCs w:val="24"/>
                        </w:rPr>
                        <w:t>Björk</w:t>
                      </w:r>
                      <w:r w:rsidR="00931B16">
                        <w:rPr>
                          <w:sz w:val="24"/>
                          <w:szCs w:val="24"/>
                        </w:rPr>
                        <w:t>)</w:t>
                      </w:r>
                      <w:r w:rsidRPr="00AC12C5">
                        <w:rPr>
                          <w:sz w:val="24"/>
                          <w:szCs w:val="24"/>
                        </w:rPr>
                        <w:t xml:space="preserve"> van Disseldorp</w:t>
                      </w:r>
                    </w:p>
                    <w:p w14:paraId="00AA81AC" w14:textId="7F2C81B3" w:rsidR="00594EC9" w:rsidRDefault="008112FE" w:rsidP="00DF1B67">
                      <w:pPr>
                        <w:spacing w:after="0"/>
                        <w:rPr>
                          <w:sz w:val="24"/>
                          <w:szCs w:val="24"/>
                        </w:rPr>
                      </w:pPr>
                      <w:r>
                        <w:rPr>
                          <w:sz w:val="24"/>
                          <w:szCs w:val="24"/>
                        </w:rPr>
                        <w:t xml:space="preserve">Vak: </w:t>
                      </w:r>
                      <w:r w:rsidR="00594EC9" w:rsidRPr="00AC12C5">
                        <w:rPr>
                          <w:sz w:val="24"/>
                          <w:szCs w:val="24"/>
                        </w:rPr>
                        <w:t>Masterscriptie</w:t>
                      </w:r>
                    </w:p>
                    <w:p w14:paraId="57EAC3B6" w14:textId="11CD6858" w:rsidR="00CA4CB3" w:rsidRPr="00AC12C5" w:rsidRDefault="00CA4CB3" w:rsidP="00DF1B67">
                      <w:pPr>
                        <w:spacing w:after="0"/>
                        <w:rPr>
                          <w:sz w:val="24"/>
                          <w:szCs w:val="24"/>
                        </w:rPr>
                      </w:pPr>
                      <w:r>
                        <w:rPr>
                          <w:sz w:val="24"/>
                          <w:szCs w:val="24"/>
                        </w:rPr>
                        <w:t>Afstudeerrichting: Burgerlijk recht, Sociaal recht</w:t>
                      </w:r>
                    </w:p>
                    <w:p w14:paraId="31A3DB4E" w14:textId="6CC6D8F4" w:rsidR="00594EC9" w:rsidRPr="0070253E" w:rsidRDefault="0067458D" w:rsidP="00594EC9">
                      <w:pPr>
                        <w:spacing w:after="0"/>
                        <w:rPr>
                          <w:sz w:val="24"/>
                          <w:szCs w:val="24"/>
                          <w:lang w:val="de-DE" w:bidi="nl-NL"/>
                        </w:rPr>
                      </w:pPr>
                      <w:r w:rsidRPr="0070253E">
                        <w:rPr>
                          <w:sz w:val="24"/>
                          <w:szCs w:val="24"/>
                          <w:lang w:val="de-DE" w:bidi="nl-NL"/>
                        </w:rPr>
                        <w:t>Scriptieb</w:t>
                      </w:r>
                      <w:r w:rsidR="00594EC9" w:rsidRPr="0070253E">
                        <w:rPr>
                          <w:sz w:val="24"/>
                          <w:szCs w:val="24"/>
                          <w:lang w:val="de-DE" w:bidi="nl-NL"/>
                        </w:rPr>
                        <w:t xml:space="preserve">egeleider: </w:t>
                      </w:r>
                      <w:r w:rsidR="007A3688" w:rsidRPr="0070253E">
                        <w:rPr>
                          <w:sz w:val="24"/>
                          <w:szCs w:val="24"/>
                          <w:lang w:val="de-DE" w:bidi="nl-NL"/>
                        </w:rPr>
                        <w:t>p</w:t>
                      </w:r>
                      <w:r w:rsidRPr="0070253E">
                        <w:rPr>
                          <w:sz w:val="24"/>
                          <w:szCs w:val="24"/>
                          <w:lang w:val="de-DE" w:bidi="nl-NL"/>
                        </w:rPr>
                        <w:t xml:space="preserve">rof. </w:t>
                      </w:r>
                      <w:r w:rsidR="009F2DC3" w:rsidRPr="0070253E">
                        <w:rPr>
                          <w:sz w:val="24"/>
                          <w:szCs w:val="24"/>
                          <w:lang w:val="de-DE" w:bidi="nl-NL"/>
                        </w:rPr>
                        <w:t xml:space="preserve">mr. </w:t>
                      </w:r>
                      <w:r w:rsidR="00594EC9" w:rsidRPr="0070253E">
                        <w:rPr>
                          <w:sz w:val="24"/>
                          <w:szCs w:val="24"/>
                          <w:lang w:val="de-DE" w:bidi="nl-NL"/>
                        </w:rPr>
                        <w:t>M.</w:t>
                      </w:r>
                      <w:r w:rsidR="00931B16" w:rsidRPr="0070253E">
                        <w:rPr>
                          <w:sz w:val="24"/>
                          <w:szCs w:val="24"/>
                          <w:lang w:val="de-DE" w:bidi="nl-NL"/>
                        </w:rPr>
                        <w:t xml:space="preserve"> (Miriam)</w:t>
                      </w:r>
                      <w:r w:rsidR="00594EC9" w:rsidRPr="0070253E">
                        <w:rPr>
                          <w:sz w:val="24"/>
                          <w:szCs w:val="24"/>
                          <w:lang w:val="de-DE" w:bidi="nl-NL"/>
                        </w:rPr>
                        <w:t xml:space="preserve"> Kullmann</w:t>
                      </w:r>
                    </w:p>
                    <w:p w14:paraId="6FC5A8F6" w14:textId="16038B46" w:rsidR="007A3688" w:rsidRPr="007A3688" w:rsidRDefault="007A3688" w:rsidP="00594EC9">
                      <w:pPr>
                        <w:spacing w:after="0"/>
                        <w:rPr>
                          <w:sz w:val="24"/>
                          <w:szCs w:val="24"/>
                          <w:lang w:bidi="nl-NL"/>
                        </w:rPr>
                      </w:pPr>
                      <w:r w:rsidRPr="007A3688">
                        <w:rPr>
                          <w:sz w:val="24"/>
                          <w:szCs w:val="24"/>
                          <w:lang w:bidi="nl-NL"/>
                        </w:rPr>
                        <w:t xml:space="preserve">Tweede lezer: </w:t>
                      </w:r>
                      <w:r>
                        <w:rPr>
                          <w:sz w:val="24"/>
                          <w:szCs w:val="24"/>
                          <w:lang w:bidi="nl-NL"/>
                        </w:rPr>
                        <w:t>p</w:t>
                      </w:r>
                      <w:r w:rsidRPr="007A3688">
                        <w:rPr>
                          <w:sz w:val="24"/>
                          <w:szCs w:val="24"/>
                          <w:lang w:bidi="nl-NL"/>
                        </w:rPr>
                        <w:t xml:space="preserve">rof. mr. </w:t>
                      </w:r>
                      <w:r>
                        <w:rPr>
                          <w:sz w:val="24"/>
                          <w:szCs w:val="24"/>
                          <w:lang w:bidi="nl-NL"/>
                        </w:rPr>
                        <w:t>F.G.</w:t>
                      </w:r>
                      <w:r w:rsidR="00931B16">
                        <w:rPr>
                          <w:sz w:val="24"/>
                          <w:szCs w:val="24"/>
                          <w:lang w:bidi="nl-NL"/>
                        </w:rPr>
                        <w:t xml:space="preserve"> (Femke)</w:t>
                      </w:r>
                      <w:r>
                        <w:rPr>
                          <w:sz w:val="24"/>
                          <w:szCs w:val="24"/>
                          <w:lang w:bidi="nl-NL"/>
                        </w:rPr>
                        <w:t xml:space="preserve"> Laagland</w:t>
                      </w:r>
                    </w:p>
                    <w:p w14:paraId="5963F693" w14:textId="26A7A440" w:rsidR="00EA55F8" w:rsidRDefault="00EA55F8" w:rsidP="00594EC9">
                      <w:pPr>
                        <w:spacing w:after="0"/>
                        <w:rPr>
                          <w:sz w:val="24"/>
                          <w:szCs w:val="24"/>
                          <w:lang w:bidi="nl-NL"/>
                        </w:rPr>
                      </w:pPr>
                      <w:r w:rsidRPr="007A3688">
                        <w:rPr>
                          <w:sz w:val="24"/>
                          <w:szCs w:val="24"/>
                          <w:lang w:bidi="nl-NL"/>
                        </w:rPr>
                        <w:t>Inleverdatum: 12 april 2024</w:t>
                      </w:r>
                    </w:p>
                    <w:p w14:paraId="710703CC" w14:textId="18AB7C8C" w:rsidR="007A3688" w:rsidRPr="007A3688" w:rsidRDefault="007A3688" w:rsidP="00594EC9">
                      <w:pPr>
                        <w:spacing w:after="0"/>
                        <w:rPr>
                          <w:sz w:val="24"/>
                          <w:szCs w:val="24"/>
                        </w:rPr>
                      </w:pPr>
                      <w:r>
                        <w:rPr>
                          <w:sz w:val="24"/>
                          <w:szCs w:val="24"/>
                          <w:lang w:bidi="nl-NL"/>
                        </w:rPr>
                        <w:t>Datum van de verdediging: 22 mei 2024 om 12.00 uur</w:t>
                      </w:r>
                    </w:p>
                  </w:txbxContent>
                </v:textbox>
                <w10:wrap type="square" anchorx="margin" anchory="margin"/>
              </v:shape>
            </w:pict>
          </mc:Fallback>
        </mc:AlternateContent>
      </w:r>
    </w:p>
    <w:p w14:paraId="2F96BA92" w14:textId="69E12A7E" w:rsidR="00212F80" w:rsidRPr="00BB5FCF" w:rsidRDefault="00212F80" w:rsidP="00E534A3">
      <w:pPr>
        <w:pStyle w:val="Heading1"/>
        <w:rPr>
          <w:rFonts w:cs="Times New Roman"/>
          <w:bCs/>
        </w:rPr>
      </w:pPr>
      <w:bookmarkStart w:id="0" w:name="_Toc169963031"/>
      <w:r w:rsidRPr="00BB5FCF">
        <w:rPr>
          <w:rFonts w:cs="Times New Roman"/>
        </w:rPr>
        <w:lastRenderedPageBreak/>
        <w:t>Inhoudsopgave</w:t>
      </w:r>
      <w:bookmarkEnd w:id="0"/>
    </w:p>
    <w:p w14:paraId="44804563" w14:textId="77777777" w:rsidR="00212F80" w:rsidRPr="000F7A68" w:rsidRDefault="00212F80" w:rsidP="00212F80">
      <w:pPr>
        <w:spacing w:after="0"/>
        <w:rPr>
          <w:rFonts w:asciiTheme="majorBidi" w:hAnsiTheme="majorBidi" w:cstheme="majorBidi"/>
          <w:sz w:val="24"/>
          <w:szCs w:val="24"/>
        </w:rPr>
      </w:pPr>
    </w:p>
    <w:p w14:paraId="221D70D4" w14:textId="1E492451" w:rsidR="000F7A68" w:rsidRPr="000F7A68" w:rsidRDefault="00212F80">
      <w:pPr>
        <w:pStyle w:val="TOC1"/>
        <w:tabs>
          <w:tab w:val="right" w:leader="dot" w:pos="9350"/>
        </w:tabs>
        <w:rPr>
          <w:rFonts w:asciiTheme="majorBidi" w:eastAsiaTheme="minorEastAsia" w:hAnsiTheme="majorBidi" w:cstheme="majorBidi"/>
          <w:noProof/>
          <w:kern w:val="2"/>
          <w:sz w:val="24"/>
          <w:szCs w:val="24"/>
          <w:lang w:eastAsia="nl-NL" w:bidi="he-IL"/>
          <w14:ligatures w14:val="standardContextual"/>
        </w:rPr>
      </w:pPr>
      <w:r w:rsidRPr="000F7A68">
        <w:rPr>
          <w:rFonts w:asciiTheme="majorBidi" w:hAnsiTheme="majorBidi" w:cstheme="majorBidi"/>
          <w:sz w:val="24"/>
          <w:szCs w:val="24"/>
        </w:rPr>
        <w:fldChar w:fldCharType="begin"/>
      </w:r>
      <w:r w:rsidRPr="000F7A68">
        <w:rPr>
          <w:rFonts w:asciiTheme="majorBidi" w:hAnsiTheme="majorBidi" w:cstheme="majorBidi"/>
          <w:sz w:val="24"/>
          <w:szCs w:val="24"/>
        </w:rPr>
        <w:instrText xml:space="preserve"> TOC \o "1-3" \h \z \u </w:instrText>
      </w:r>
      <w:r w:rsidRPr="000F7A68">
        <w:rPr>
          <w:rFonts w:asciiTheme="majorBidi" w:hAnsiTheme="majorBidi" w:cstheme="majorBidi"/>
          <w:sz w:val="24"/>
          <w:szCs w:val="24"/>
        </w:rPr>
        <w:fldChar w:fldCharType="separate"/>
      </w:r>
      <w:hyperlink w:anchor="_Toc169963031" w:history="1">
        <w:r w:rsidR="000F7A68" w:rsidRPr="000F7A68">
          <w:rPr>
            <w:rStyle w:val="Hyperlink"/>
            <w:rFonts w:asciiTheme="majorBidi" w:hAnsiTheme="majorBidi" w:cstheme="majorBidi"/>
            <w:noProof/>
            <w:sz w:val="24"/>
            <w:szCs w:val="24"/>
          </w:rPr>
          <w:t>Inhoudsopgave</w:t>
        </w:r>
        <w:r w:rsidR="000F7A68" w:rsidRPr="000F7A68">
          <w:rPr>
            <w:rFonts w:asciiTheme="majorBidi" w:hAnsiTheme="majorBidi" w:cstheme="majorBidi"/>
            <w:noProof/>
            <w:webHidden/>
            <w:sz w:val="24"/>
            <w:szCs w:val="24"/>
          </w:rPr>
          <w:tab/>
        </w:r>
        <w:r w:rsidR="000F7A68" w:rsidRPr="000F7A68">
          <w:rPr>
            <w:rFonts w:asciiTheme="majorBidi" w:hAnsiTheme="majorBidi" w:cstheme="majorBidi"/>
            <w:noProof/>
            <w:webHidden/>
            <w:sz w:val="24"/>
            <w:szCs w:val="24"/>
          </w:rPr>
          <w:fldChar w:fldCharType="begin"/>
        </w:r>
        <w:r w:rsidR="000F7A68" w:rsidRPr="000F7A68">
          <w:rPr>
            <w:rFonts w:asciiTheme="majorBidi" w:hAnsiTheme="majorBidi" w:cstheme="majorBidi"/>
            <w:noProof/>
            <w:webHidden/>
            <w:sz w:val="24"/>
            <w:szCs w:val="24"/>
          </w:rPr>
          <w:instrText xml:space="preserve"> PAGEREF _Toc169963031 \h </w:instrText>
        </w:r>
        <w:r w:rsidR="000F7A68" w:rsidRPr="000F7A68">
          <w:rPr>
            <w:rFonts w:asciiTheme="majorBidi" w:hAnsiTheme="majorBidi" w:cstheme="majorBidi"/>
            <w:noProof/>
            <w:webHidden/>
            <w:sz w:val="24"/>
            <w:szCs w:val="24"/>
          </w:rPr>
        </w:r>
        <w:r w:rsidR="000F7A68" w:rsidRPr="000F7A68">
          <w:rPr>
            <w:rFonts w:asciiTheme="majorBidi" w:hAnsiTheme="majorBidi" w:cstheme="majorBidi"/>
            <w:noProof/>
            <w:webHidden/>
            <w:sz w:val="24"/>
            <w:szCs w:val="24"/>
          </w:rPr>
          <w:fldChar w:fldCharType="separate"/>
        </w:r>
        <w:r w:rsidR="000F7A68" w:rsidRPr="000F7A68">
          <w:rPr>
            <w:rFonts w:asciiTheme="majorBidi" w:hAnsiTheme="majorBidi" w:cstheme="majorBidi"/>
            <w:noProof/>
            <w:webHidden/>
            <w:sz w:val="24"/>
            <w:szCs w:val="24"/>
          </w:rPr>
          <w:t>1</w:t>
        </w:r>
        <w:r w:rsidR="000F7A68" w:rsidRPr="000F7A68">
          <w:rPr>
            <w:rFonts w:asciiTheme="majorBidi" w:hAnsiTheme="majorBidi" w:cstheme="majorBidi"/>
            <w:noProof/>
            <w:webHidden/>
            <w:sz w:val="24"/>
            <w:szCs w:val="24"/>
          </w:rPr>
          <w:fldChar w:fldCharType="end"/>
        </w:r>
      </w:hyperlink>
    </w:p>
    <w:p w14:paraId="5E7E45DD" w14:textId="6E2A643A" w:rsidR="000F7A68" w:rsidRPr="000F7A68" w:rsidRDefault="00000000">
      <w:pPr>
        <w:pStyle w:val="TOC1"/>
        <w:tabs>
          <w:tab w:val="right" w:leader="dot" w:pos="9350"/>
        </w:tabs>
        <w:rPr>
          <w:rFonts w:asciiTheme="majorBidi" w:eastAsiaTheme="minorEastAsia" w:hAnsiTheme="majorBidi" w:cstheme="majorBidi"/>
          <w:noProof/>
          <w:kern w:val="2"/>
          <w:sz w:val="24"/>
          <w:szCs w:val="24"/>
          <w:lang w:eastAsia="nl-NL" w:bidi="he-IL"/>
          <w14:ligatures w14:val="standardContextual"/>
        </w:rPr>
      </w:pPr>
      <w:hyperlink w:anchor="_Toc169963032" w:history="1">
        <w:r w:rsidR="000F7A68" w:rsidRPr="000F7A68">
          <w:rPr>
            <w:rStyle w:val="Hyperlink"/>
            <w:rFonts w:asciiTheme="majorBidi" w:hAnsiTheme="majorBidi" w:cstheme="majorBidi"/>
            <w:noProof/>
            <w:sz w:val="24"/>
            <w:szCs w:val="24"/>
          </w:rPr>
          <w:t>Lijst van afkortingen</w:t>
        </w:r>
        <w:r w:rsidR="000F7A68" w:rsidRPr="000F7A68">
          <w:rPr>
            <w:rFonts w:asciiTheme="majorBidi" w:hAnsiTheme="majorBidi" w:cstheme="majorBidi"/>
            <w:noProof/>
            <w:webHidden/>
            <w:sz w:val="24"/>
            <w:szCs w:val="24"/>
          </w:rPr>
          <w:tab/>
        </w:r>
        <w:r w:rsidR="000F7A68" w:rsidRPr="000F7A68">
          <w:rPr>
            <w:rFonts w:asciiTheme="majorBidi" w:hAnsiTheme="majorBidi" w:cstheme="majorBidi"/>
            <w:noProof/>
            <w:webHidden/>
            <w:sz w:val="24"/>
            <w:szCs w:val="24"/>
          </w:rPr>
          <w:fldChar w:fldCharType="begin"/>
        </w:r>
        <w:r w:rsidR="000F7A68" w:rsidRPr="000F7A68">
          <w:rPr>
            <w:rFonts w:asciiTheme="majorBidi" w:hAnsiTheme="majorBidi" w:cstheme="majorBidi"/>
            <w:noProof/>
            <w:webHidden/>
            <w:sz w:val="24"/>
            <w:szCs w:val="24"/>
          </w:rPr>
          <w:instrText xml:space="preserve"> PAGEREF _Toc169963032 \h </w:instrText>
        </w:r>
        <w:r w:rsidR="000F7A68" w:rsidRPr="000F7A68">
          <w:rPr>
            <w:rFonts w:asciiTheme="majorBidi" w:hAnsiTheme="majorBidi" w:cstheme="majorBidi"/>
            <w:noProof/>
            <w:webHidden/>
            <w:sz w:val="24"/>
            <w:szCs w:val="24"/>
          </w:rPr>
        </w:r>
        <w:r w:rsidR="000F7A68" w:rsidRPr="000F7A68">
          <w:rPr>
            <w:rFonts w:asciiTheme="majorBidi" w:hAnsiTheme="majorBidi" w:cstheme="majorBidi"/>
            <w:noProof/>
            <w:webHidden/>
            <w:sz w:val="24"/>
            <w:szCs w:val="24"/>
          </w:rPr>
          <w:fldChar w:fldCharType="separate"/>
        </w:r>
        <w:r w:rsidR="000F7A68" w:rsidRPr="000F7A68">
          <w:rPr>
            <w:rFonts w:asciiTheme="majorBidi" w:hAnsiTheme="majorBidi" w:cstheme="majorBidi"/>
            <w:noProof/>
            <w:webHidden/>
            <w:sz w:val="24"/>
            <w:szCs w:val="24"/>
          </w:rPr>
          <w:t>3</w:t>
        </w:r>
        <w:r w:rsidR="000F7A68" w:rsidRPr="000F7A68">
          <w:rPr>
            <w:rFonts w:asciiTheme="majorBidi" w:hAnsiTheme="majorBidi" w:cstheme="majorBidi"/>
            <w:noProof/>
            <w:webHidden/>
            <w:sz w:val="24"/>
            <w:szCs w:val="24"/>
          </w:rPr>
          <w:fldChar w:fldCharType="end"/>
        </w:r>
      </w:hyperlink>
    </w:p>
    <w:p w14:paraId="2D4B08C0" w14:textId="1B5D3273" w:rsidR="000F7A68" w:rsidRPr="000F7A68" w:rsidRDefault="00000000">
      <w:pPr>
        <w:pStyle w:val="TOC1"/>
        <w:tabs>
          <w:tab w:val="right" w:leader="dot" w:pos="9350"/>
        </w:tabs>
        <w:rPr>
          <w:rFonts w:asciiTheme="majorBidi" w:eastAsiaTheme="minorEastAsia" w:hAnsiTheme="majorBidi" w:cstheme="majorBidi"/>
          <w:noProof/>
          <w:kern w:val="2"/>
          <w:sz w:val="24"/>
          <w:szCs w:val="24"/>
          <w:lang w:eastAsia="nl-NL" w:bidi="he-IL"/>
          <w14:ligatures w14:val="standardContextual"/>
        </w:rPr>
      </w:pPr>
      <w:hyperlink w:anchor="_Toc169963033" w:history="1">
        <w:r w:rsidR="000F7A68" w:rsidRPr="000F7A68">
          <w:rPr>
            <w:rStyle w:val="Hyperlink"/>
            <w:rFonts w:asciiTheme="majorBidi" w:hAnsiTheme="majorBidi" w:cstheme="majorBidi"/>
            <w:noProof/>
            <w:sz w:val="24"/>
            <w:szCs w:val="24"/>
          </w:rPr>
          <w:t>Hoofdstuk 1. Onderzoeksopzet</w:t>
        </w:r>
        <w:r w:rsidR="000F7A68" w:rsidRPr="000F7A68">
          <w:rPr>
            <w:rFonts w:asciiTheme="majorBidi" w:hAnsiTheme="majorBidi" w:cstheme="majorBidi"/>
            <w:noProof/>
            <w:webHidden/>
            <w:sz w:val="24"/>
            <w:szCs w:val="24"/>
          </w:rPr>
          <w:tab/>
        </w:r>
        <w:r w:rsidR="000F7A68" w:rsidRPr="000F7A68">
          <w:rPr>
            <w:rFonts w:asciiTheme="majorBidi" w:hAnsiTheme="majorBidi" w:cstheme="majorBidi"/>
            <w:noProof/>
            <w:webHidden/>
            <w:sz w:val="24"/>
            <w:szCs w:val="24"/>
          </w:rPr>
          <w:fldChar w:fldCharType="begin"/>
        </w:r>
        <w:r w:rsidR="000F7A68" w:rsidRPr="000F7A68">
          <w:rPr>
            <w:rFonts w:asciiTheme="majorBidi" w:hAnsiTheme="majorBidi" w:cstheme="majorBidi"/>
            <w:noProof/>
            <w:webHidden/>
            <w:sz w:val="24"/>
            <w:szCs w:val="24"/>
          </w:rPr>
          <w:instrText xml:space="preserve"> PAGEREF _Toc169963033 \h </w:instrText>
        </w:r>
        <w:r w:rsidR="000F7A68" w:rsidRPr="000F7A68">
          <w:rPr>
            <w:rFonts w:asciiTheme="majorBidi" w:hAnsiTheme="majorBidi" w:cstheme="majorBidi"/>
            <w:noProof/>
            <w:webHidden/>
            <w:sz w:val="24"/>
            <w:szCs w:val="24"/>
          </w:rPr>
        </w:r>
        <w:r w:rsidR="000F7A68" w:rsidRPr="000F7A68">
          <w:rPr>
            <w:rFonts w:asciiTheme="majorBidi" w:hAnsiTheme="majorBidi" w:cstheme="majorBidi"/>
            <w:noProof/>
            <w:webHidden/>
            <w:sz w:val="24"/>
            <w:szCs w:val="24"/>
          </w:rPr>
          <w:fldChar w:fldCharType="separate"/>
        </w:r>
        <w:r w:rsidR="000F7A68" w:rsidRPr="000F7A68">
          <w:rPr>
            <w:rFonts w:asciiTheme="majorBidi" w:hAnsiTheme="majorBidi" w:cstheme="majorBidi"/>
            <w:noProof/>
            <w:webHidden/>
            <w:sz w:val="24"/>
            <w:szCs w:val="24"/>
          </w:rPr>
          <w:t>4</w:t>
        </w:r>
        <w:r w:rsidR="000F7A68" w:rsidRPr="000F7A68">
          <w:rPr>
            <w:rFonts w:asciiTheme="majorBidi" w:hAnsiTheme="majorBidi" w:cstheme="majorBidi"/>
            <w:noProof/>
            <w:webHidden/>
            <w:sz w:val="24"/>
            <w:szCs w:val="24"/>
          </w:rPr>
          <w:fldChar w:fldCharType="end"/>
        </w:r>
      </w:hyperlink>
    </w:p>
    <w:p w14:paraId="329B82F2" w14:textId="5CFA63B5" w:rsidR="000F7A68" w:rsidRPr="000F7A68" w:rsidRDefault="00000000">
      <w:pPr>
        <w:pStyle w:val="TOC2"/>
        <w:rPr>
          <w:rFonts w:asciiTheme="majorBidi" w:eastAsiaTheme="minorEastAsia" w:hAnsiTheme="majorBidi" w:cstheme="majorBidi"/>
          <w:b w:val="0"/>
          <w:bCs w:val="0"/>
          <w:kern w:val="2"/>
          <w:sz w:val="24"/>
          <w:szCs w:val="24"/>
          <w:lang w:eastAsia="nl-NL" w:bidi="he-IL"/>
          <w14:ligatures w14:val="standardContextual"/>
        </w:rPr>
      </w:pPr>
      <w:hyperlink w:anchor="_Toc169963034" w:history="1">
        <w:r w:rsidR="000F7A68" w:rsidRPr="000F7A68">
          <w:rPr>
            <w:rStyle w:val="Hyperlink"/>
            <w:rFonts w:asciiTheme="majorBidi" w:hAnsiTheme="majorBidi" w:cstheme="majorBidi"/>
            <w:sz w:val="24"/>
            <w:szCs w:val="24"/>
          </w:rPr>
          <w:t>1.1 Introductie</w:t>
        </w:r>
        <w:r w:rsidR="000F7A68" w:rsidRPr="000F7A68">
          <w:rPr>
            <w:rFonts w:asciiTheme="majorBidi" w:hAnsiTheme="majorBidi" w:cstheme="majorBidi"/>
            <w:webHidden/>
            <w:sz w:val="24"/>
            <w:szCs w:val="24"/>
          </w:rPr>
          <w:tab/>
        </w:r>
        <w:r w:rsidR="000F7A68" w:rsidRPr="000F7A68">
          <w:rPr>
            <w:rFonts w:asciiTheme="majorBidi" w:hAnsiTheme="majorBidi" w:cstheme="majorBidi"/>
            <w:webHidden/>
            <w:sz w:val="24"/>
            <w:szCs w:val="24"/>
          </w:rPr>
          <w:fldChar w:fldCharType="begin"/>
        </w:r>
        <w:r w:rsidR="000F7A68" w:rsidRPr="000F7A68">
          <w:rPr>
            <w:rFonts w:asciiTheme="majorBidi" w:hAnsiTheme="majorBidi" w:cstheme="majorBidi"/>
            <w:webHidden/>
            <w:sz w:val="24"/>
            <w:szCs w:val="24"/>
          </w:rPr>
          <w:instrText xml:space="preserve"> PAGEREF _Toc169963034 \h </w:instrText>
        </w:r>
        <w:r w:rsidR="000F7A68" w:rsidRPr="000F7A68">
          <w:rPr>
            <w:rFonts w:asciiTheme="majorBidi" w:hAnsiTheme="majorBidi" w:cstheme="majorBidi"/>
            <w:webHidden/>
            <w:sz w:val="24"/>
            <w:szCs w:val="24"/>
          </w:rPr>
        </w:r>
        <w:r w:rsidR="000F7A68" w:rsidRPr="000F7A68">
          <w:rPr>
            <w:rFonts w:asciiTheme="majorBidi" w:hAnsiTheme="majorBidi" w:cstheme="majorBidi"/>
            <w:webHidden/>
            <w:sz w:val="24"/>
            <w:szCs w:val="24"/>
          </w:rPr>
          <w:fldChar w:fldCharType="separate"/>
        </w:r>
        <w:r w:rsidR="000F7A68" w:rsidRPr="000F7A68">
          <w:rPr>
            <w:rFonts w:asciiTheme="majorBidi" w:hAnsiTheme="majorBidi" w:cstheme="majorBidi"/>
            <w:webHidden/>
            <w:sz w:val="24"/>
            <w:szCs w:val="24"/>
          </w:rPr>
          <w:t>4</w:t>
        </w:r>
        <w:r w:rsidR="000F7A68" w:rsidRPr="000F7A68">
          <w:rPr>
            <w:rFonts w:asciiTheme="majorBidi" w:hAnsiTheme="majorBidi" w:cstheme="majorBidi"/>
            <w:webHidden/>
            <w:sz w:val="24"/>
            <w:szCs w:val="24"/>
          </w:rPr>
          <w:fldChar w:fldCharType="end"/>
        </w:r>
      </w:hyperlink>
    </w:p>
    <w:p w14:paraId="12FB458C" w14:textId="27A3AC2A" w:rsidR="000F7A68" w:rsidRPr="000F7A68" w:rsidRDefault="00000000">
      <w:pPr>
        <w:pStyle w:val="TOC2"/>
        <w:rPr>
          <w:rFonts w:asciiTheme="majorBidi" w:eastAsiaTheme="minorEastAsia" w:hAnsiTheme="majorBidi" w:cstheme="majorBidi"/>
          <w:b w:val="0"/>
          <w:bCs w:val="0"/>
          <w:kern w:val="2"/>
          <w:sz w:val="24"/>
          <w:szCs w:val="24"/>
          <w:lang w:eastAsia="nl-NL" w:bidi="he-IL"/>
          <w14:ligatures w14:val="standardContextual"/>
        </w:rPr>
      </w:pPr>
      <w:hyperlink w:anchor="_Toc169963035" w:history="1">
        <w:r w:rsidR="000F7A68" w:rsidRPr="000F7A68">
          <w:rPr>
            <w:rStyle w:val="Hyperlink"/>
            <w:rFonts w:asciiTheme="majorBidi" w:hAnsiTheme="majorBidi" w:cstheme="majorBidi"/>
            <w:sz w:val="24"/>
            <w:szCs w:val="24"/>
          </w:rPr>
          <w:t>1.2 Probleemanalyse en juridisch kader</w:t>
        </w:r>
        <w:r w:rsidR="000F7A68" w:rsidRPr="000F7A68">
          <w:rPr>
            <w:rFonts w:asciiTheme="majorBidi" w:hAnsiTheme="majorBidi" w:cstheme="majorBidi"/>
            <w:webHidden/>
            <w:sz w:val="24"/>
            <w:szCs w:val="24"/>
          </w:rPr>
          <w:tab/>
        </w:r>
        <w:r w:rsidR="000F7A68" w:rsidRPr="000F7A68">
          <w:rPr>
            <w:rFonts w:asciiTheme="majorBidi" w:hAnsiTheme="majorBidi" w:cstheme="majorBidi"/>
            <w:webHidden/>
            <w:sz w:val="24"/>
            <w:szCs w:val="24"/>
          </w:rPr>
          <w:fldChar w:fldCharType="begin"/>
        </w:r>
        <w:r w:rsidR="000F7A68" w:rsidRPr="000F7A68">
          <w:rPr>
            <w:rFonts w:asciiTheme="majorBidi" w:hAnsiTheme="majorBidi" w:cstheme="majorBidi"/>
            <w:webHidden/>
            <w:sz w:val="24"/>
            <w:szCs w:val="24"/>
          </w:rPr>
          <w:instrText xml:space="preserve"> PAGEREF _Toc169963035 \h </w:instrText>
        </w:r>
        <w:r w:rsidR="000F7A68" w:rsidRPr="000F7A68">
          <w:rPr>
            <w:rFonts w:asciiTheme="majorBidi" w:hAnsiTheme="majorBidi" w:cstheme="majorBidi"/>
            <w:webHidden/>
            <w:sz w:val="24"/>
            <w:szCs w:val="24"/>
          </w:rPr>
        </w:r>
        <w:r w:rsidR="000F7A68" w:rsidRPr="000F7A68">
          <w:rPr>
            <w:rFonts w:asciiTheme="majorBidi" w:hAnsiTheme="majorBidi" w:cstheme="majorBidi"/>
            <w:webHidden/>
            <w:sz w:val="24"/>
            <w:szCs w:val="24"/>
          </w:rPr>
          <w:fldChar w:fldCharType="separate"/>
        </w:r>
        <w:r w:rsidR="000F7A68" w:rsidRPr="000F7A68">
          <w:rPr>
            <w:rFonts w:asciiTheme="majorBidi" w:hAnsiTheme="majorBidi" w:cstheme="majorBidi"/>
            <w:webHidden/>
            <w:sz w:val="24"/>
            <w:szCs w:val="24"/>
          </w:rPr>
          <w:t>4</w:t>
        </w:r>
        <w:r w:rsidR="000F7A68" w:rsidRPr="000F7A68">
          <w:rPr>
            <w:rFonts w:asciiTheme="majorBidi" w:hAnsiTheme="majorBidi" w:cstheme="majorBidi"/>
            <w:webHidden/>
            <w:sz w:val="24"/>
            <w:szCs w:val="24"/>
          </w:rPr>
          <w:fldChar w:fldCharType="end"/>
        </w:r>
      </w:hyperlink>
    </w:p>
    <w:p w14:paraId="4CA7D836" w14:textId="45BED124" w:rsidR="000F7A68" w:rsidRPr="000F7A68" w:rsidRDefault="00000000">
      <w:pPr>
        <w:pStyle w:val="TOC2"/>
        <w:rPr>
          <w:rFonts w:asciiTheme="majorBidi" w:eastAsiaTheme="minorEastAsia" w:hAnsiTheme="majorBidi" w:cstheme="majorBidi"/>
          <w:b w:val="0"/>
          <w:bCs w:val="0"/>
          <w:kern w:val="2"/>
          <w:sz w:val="24"/>
          <w:szCs w:val="24"/>
          <w:lang w:eastAsia="nl-NL" w:bidi="he-IL"/>
          <w14:ligatures w14:val="standardContextual"/>
        </w:rPr>
      </w:pPr>
      <w:hyperlink w:anchor="_Toc169963036" w:history="1">
        <w:r w:rsidR="000F7A68" w:rsidRPr="000F7A68">
          <w:rPr>
            <w:rStyle w:val="Hyperlink"/>
            <w:rFonts w:asciiTheme="majorBidi" w:hAnsiTheme="majorBidi" w:cstheme="majorBidi"/>
            <w:sz w:val="24"/>
            <w:szCs w:val="24"/>
          </w:rPr>
          <w:t>1.3 Onderzoeksdoel en inbedding van het onderzoek in de bestaande literatuur</w:t>
        </w:r>
        <w:r w:rsidR="000F7A68" w:rsidRPr="000F7A68">
          <w:rPr>
            <w:rFonts w:asciiTheme="majorBidi" w:hAnsiTheme="majorBidi" w:cstheme="majorBidi"/>
            <w:webHidden/>
            <w:sz w:val="24"/>
            <w:szCs w:val="24"/>
          </w:rPr>
          <w:tab/>
        </w:r>
        <w:r w:rsidR="000F7A68" w:rsidRPr="000F7A68">
          <w:rPr>
            <w:rFonts w:asciiTheme="majorBidi" w:hAnsiTheme="majorBidi" w:cstheme="majorBidi"/>
            <w:webHidden/>
            <w:sz w:val="24"/>
            <w:szCs w:val="24"/>
          </w:rPr>
          <w:fldChar w:fldCharType="begin"/>
        </w:r>
        <w:r w:rsidR="000F7A68" w:rsidRPr="000F7A68">
          <w:rPr>
            <w:rFonts w:asciiTheme="majorBidi" w:hAnsiTheme="majorBidi" w:cstheme="majorBidi"/>
            <w:webHidden/>
            <w:sz w:val="24"/>
            <w:szCs w:val="24"/>
          </w:rPr>
          <w:instrText xml:space="preserve"> PAGEREF _Toc169963036 \h </w:instrText>
        </w:r>
        <w:r w:rsidR="000F7A68" w:rsidRPr="000F7A68">
          <w:rPr>
            <w:rFonts w:asciiTheme="majorBidi" w:hAnsiTheme="majorBidi" w:cstheme="majorBidi"/>
            <w:webHidden/>
            <w:sz w:val="24"/>
            <w:szCs w:val="24"/>
          </w:rPr>
        </w:r>
        <w:r w:rsidR="000F7A68" w:rsidRPr="000F7A68">
          <w:rPr>
            <w:rFonts w:asciiTheme="majorBidi" w:hAnsiTheme="majorBidi" w:cstheme="majorBidi"/>
            <w:webHidden/>
            <w:sz w:val="24"/>
            <w:szCs w:val="24"/>
          </w:rPr>
          <w:fldChar w:fldCharType="separate"/>
        </w:r>
        <w:r w:rsidR="000F7A68" w:rsidRPr="000F7A68">
          <w:rPr>
            <w:rFonts w:asciiTheme="majorBidi" w:hAnsiTheme="majorBidi" w:cstheme="majorBidi"/>
            <w:webHidden/>
            <w:sz w:val="24"/>
            <w:szCs w:val="24"/>
          </w:rPr>
          <w:t>6</w:t>
        </w:r>
        <w:r w:rsidR="000F7A68" w:rsidRPr="000F7A68">
          <w:rPr>
            <w:rFonts w:asciiTheme="majorBidi" w:hAnsiTheme="majorBidi" w:cstheme="majorBidi"/>
            <w:webHidden/>
            <w:sz w:val="24"/>
            <w:szCs w:val="24"/>
          </w:rPr>
          <w:fldChar w:fldCharType="end"/>
        </w:r>
      </w:hyperlink>
    </w:p>
    <w:p w14:paraId="5E1E6CFA" w14:textId="6C7ECF8A" w:rsidR="000F7A68" w:rsidRPr="000F7A68" w:rsidRDefault="00000000">
      <w:pPr>
        <w:pStyle w:val="TOC2"/>
        <w:rPr>
          <w:rFonts w:asciiTheme="majorBidi" w:eastAsiaTheme="minorEastAsia" w:hAnsiTheme="majorBidi" w:cstheme="majorBidi"/>
          <w:b w:val="0"/>
          <w:bCs w:val="0"/>
          <w:kern w:val="2"/>
          <w:sz w:val="24"/>
          <w:szCs w:val="24"/>
          <w:lang w:eastAsia="nl-NL" w:bidi="he-IL"/>
          <w14:ligatures w14:val="standardContextual"/>
        </w:rPr>
      </w:pPr>
      <w:hyperlink w:anchor="_Toc169963037" w:history="1">
        <w:r w:rsidR="000F7A68" w:rsidRPr="000F7A68">
          <w:rPr>
            <w:rStyle w:val="Hyperlink"/>
            <w:rFonts w:asciiTheme="majorBidi" w:hAnsiTheme="majorBidi" w:cstheme="majorBidi"/>
            <w:sz w:val="24"/>
            <w:szCs w:val="24"/>
          </w:rPr>
          <w:t>1.4 Hoofdvraag en deelvragen</w:t>
        </w:r>
        <w:r w:rsidR="000F7A68" w:rsidRPr="000F7A68">
          <w:rPr>
            <w:rFonts w:asciiTheme="majorBidi" w:hAnsiTheme="majorBidi" w:cstheme="majorBidi"/>
            <w:webHidden/>
            <w:sz w:val="24"/>
            <w:szCs w:val="24"/>
          </w:rPr>
          <w:tab/>
        </w:r>
        <w:r w:rsidR="000F7A68" w:rsidRPr="000F7A68">
          <w:rPr>
            <w:rFonts w:asciiTheme="majorBidi" w:hAnsiTheme="majorBidi" w:cstheme="majorBidi"/>
            <w:webHidden/>
            <w:sz w:val="24"/>
            <w:szCs w:val="24"/>
          </w:rPr>
          <w:fldChar w:fldCharType="begin"/>
        </w:r>
        <w:r w:rsidR="000F7A68" w:rsidRPr="000F7A68">
          <w:rPr>
            <w:rFonts w:asciiTheme="majorBidi" w:hAnsiTheme="majorBidi" w:cstheme="majorBidi"/>
            <w:webHidden/>
            <w:sz w:val="24"/>
            <w:szCs w:val="24"/>
          </w:rPr>
          <w:instrText xml:space="preserve"> PAGEREF _Toc169963037 \h </w:instrText>
        </w:r>
        <w:r w:rsidR="000F7A68" w:rsidRPr="000F7A68">
          <w:rPr>
            <w:rFonts w:asciiTheme="majorBidi" w:hAnsiTheme="majorBidi" w:cstheme="majorBidi"/>
            <w:webHidden/>
            <w:sz w:val="24"/>
            <w:szCs w:val="24"/>
          </w:rPr>
        </w:r>
        <w:r w:rsidR="000F7A68" w:rsidRPr="000F7A68">
          <w:rPr>
            <w:rFonts w:asciiTheme="majorBidi" w:hAnsiTheme="majorBidi" w:cstheme="majorBidi"/>
            <w:webHidden/>
            <w:sz w:val="24"/>
            <w:szCs w:val="24"/>
          </w:rPr>
          <w:fldChar w:fldCharType="separate"/>
        </w:r>
        <w:r w:rsidR="000F7A68" w:rsidRPr="000F7A68">
          <w:rPr>
            <w:rFonts w:asciiTheme="majorBidi" w:hAnsiTheme="majorBidi" w:cstheme="majorBidi"/>
            <w:webHidden/>
            <w:sz w:val="24"/>
            <w:szCs w:val="24"/>
          </w:rPr>
          <w:t>7</w:t>
        </w:r>
        <w:r w:rsidR="000F7A68" w:rsidRPr="000F7A68">
          <w:rPr>
            <w:rFonts w:asciiTheme="majorBidi" w:hAnsiTheme="majorBidi" w:cstheme="majorBidi"/>
            <w:webHidden/>
            <w:sz w:val="24"/>
            <w:szCs w:val="24"/>
          </w:rPr>
          <w:fldChar w:fldCharType="end"/>
        </w:r>
      </w:hyperlink>
    </w:p>
    <w:p w14:paraId="50479919" w14:textId="717902DB" w:rsidR="000F7A68" w:rsidRPr="000F7A68" w:rsidRDefault="00000000">
      <w:pPr>
        <w:pStyle w:val="TOC2"/>
        <w:rPr>
          <w:rFonts w:asciiTheme="majorBidi" w:eastAsiaTheme="minorEastAsia" w:hAnsiTheme="majorBidi" w:cstheme="majorBidi"/>
          <w:b w:val="0"/>
          <w:bCs w:val="0"/>
          <w:kern w:val="2"/>
          <w:sz w:val="24"/>
          <w:szCs w:val="24"/>
          <w:lang w:eastAsia="nl-NL" w:bidi="he-IL"/>
          <w14:ligatures w14:val="standardContextual"/>
        </w:rPr>
      </w:pPr>
      <w:hyperlink w:anchor="_Toc169963038" w:history="1">
        <w:r w:rsidR="000F7A68" w:rsidRPr="000F7A68">
          <w:rPr>
            <w:rStyle w:val="Hyperlink"/>
            <w:rFonts w:asciiTheme="majorBidi" w:hAnsiTheme="majorBidi" w:cstheme="majorBidi"/>
            <w:sz w:val="24"/>
            <w:szCs w:val="24"/>
          </w:rPr>
          <w:t>1.5 Begrippenkader</w:t>
        </w:r>
        <w:r w:rsidR="000F7A68" w:rsidRPr="000F7A68">
          <w:rPr>
            <w:rFonts w:asciiTheme="majorBidi" w:hAnsiTheme="majorBidi" w:cstheme="majorBidi"/>
            <w:webHidden/>
            <w:sz w:val="24"/>
            <w:szCs w:val="24"/>
          </w:rPr>
          <w:tab/>
        </w:r>
        <w:r w:rsidR="000F7A68" w:rsidRPr="000F7A68">
          <w:rPr>
            <w:rFonts w:asciiTheme="majorBidi" w:hAnsiTheme="majorBidi" w:cstheme="majorBidi"/>
            <w:webHidden/>
            <w:sz w:val="24"/>
            <w:szCs w:val="24"/>
          </w:rPr>
          <w:fldChar w:fldCharType="begin"/>
        </w:r>
        <w:r w:rsidR="000F7A68" w:rsidRPr="000F7A68">
          <w:rPr>
            <w:rFonts w:asciiTheme="majorBidi" w:hAnsiTheme="majorBidi" w:cstheme="majorBidi"/>
            <w:webHidden/>
            <w:sz w:val="24"/>
            <w:szCs w:val="24"/>
          </w:rPr>
          <w:instrText xml:space="preserve"> PAGEREF _Toc169963038 \h </w:instrText>
        </w:r>
        <w:r w:rsidR="000F7A68" w:rsidRPr="000F7A68">
          <w:rPr>
            <w:rFonts w:asciiTheme="majorBidi" w:hAnsiTheme="majorBidi" w:cstheme="majorBidi"/>
            <w:webHidden/>
            <w:sz w:val="24"/>
            <w:szCs w:val="24"/>
          </w:rPr>
        </w:r>
        <w:r w:rsidR="000F7A68" w:rsidRPr="000F7A68">
          <w:rPr>
            <w:rFonts w:asciiTheme="majorBidi" w:hAnsiTheme="majorBidi" w:cstheme="majorBidi"/>
            <w:webHidden/>
            <w:sz w:val="24"/>
            <w:szCs w:val="24"/>
          </w:rPr>
          <w:fldChar w:fldCharType="separate"/>
        </w:r>
        <w:r w:rsidR="000F7A68" w:rsidRPr="000F7A68">
          <w:rPr>
            <w:rFonts w:asciiTheme="majorBidi" w:hAnsiTheme="majorBidi" w:cstheme="majorBidi"/>
            <w:webHidden/>
            <w:sz w:val="24"/>
            <w:szCs w:val="24"/>
          </w:rPr>
          <w:t>8</w:t>
        </w:r>
        <w:r w:rsidR="000F7A68" w:rsidRPr="000F7A68">
          <w:rPr>
            <w:rFonts w:asciiTheme="majorBidi" w:hAnsiTheme="majorBidi" w:cstheme="majorBidi"/>
            <w:webHidden/>
            <w:sz w:val="24"/>
            <w:szCs w:val="24"/>
          </w:rPr>
          <w:fldChar w:fldCharType="end"/>
        </w:r>
      </w:hyperlink>
    </w:p>
    <w:p w14:paraId="65C92B99" w14:textId="330C1D82" w:rsidR="000F7A68" w:rsidRPr="000F7A68" w:rsidRDefault="00000000">
      <w:pPr>
        <w:pStyle w:val="TOC2"/>
        <w:rPr>
          <w:rFonts w:asciiTheme="majorBidi" w:eastAsiaTheme="minorEastAsia" w:hAnsiTheme="majorBidi" w:cstheme="majorBidi"/>
          <w:b w:val="0"/>
          <w:bCs w:val="0"/>
          <w:kern w:val="2"/>
          <w:sz w:val="24"/>
          <w:szCs w:val="24"/>
          <w:lang w:eastAsia="nl-NL" w:bidi="he-IL"/>
          <w14:ligatures w14:val="standardContextual"/>
        </w:rPr>
      </w:pPr>
      <w:hyperlink w:anchor="_Toc169963039" w:history="1">
        <w:r w:rsidR="000F7A68" w:rsidRPr="000F7A68">
          <w:rPr>
            <w:rStyle w:val="Hyperlink"/>
            <w:rFonts w:asciiTheme="majorBidi" w:hAnsiTheme="majorBidi" w:cstheme="majorBidi"/>
            <w:sz w:val="24"/>
            <w:szCs w:val="24"/>
          </w:rPr>
          <w:t>1.6 Methode</w:t>
        </w:r>
        <w:r w:rsidR="000F7A68" w:rsidRPr="000F7A68">
          <w:rPr>
            <w:rFonts w:asciiTheme="majorBidi" w:hAnsiTheme="majorBidi" w:cstheme="majorBidi"/>
            <w:webHidden/>
            <w:sz w:val="24"/>
            <w:szCs w:val="24"/>
          </w:rPr>
          <w:tab/>
        </w:r>
        <w:r w:rsidR="000F7A68" w:rsidRPr="000F7A68">
          <w:rPr>
            <w:rFonts w:asciiTheme="majorBidi" w:hAnsiTheme="majorBidi" w:cstheme="majorBidi"/>
            <w:webHidden/>
            <w:sz w:val="24"/>
            <w:szCs w:val="24"/>
          </w:rPr>
          <w:fldChar w:fldCharType="begin"/>
        </w:r>
        <w:r w:rsidR="000F7A68" w:rsidRPr="000F7A68">
          <w:rPr>
            <w:rFonts w:asciiTheme="majorBidi" w:hAnsiTheme="majorBidi" w:cstheme="majorBidi"/>
            <w:webHidden/>
            <w:sz w:val="24"/>
            <w:szCs w:val="24"/>
          </w:rPr>
          <w:instrText xml:space="preserve"> PAGEREF _Toc169963039 \h </w:instrText>
        </w:r>
        <w:r w:rsidR="000F7A68" w:rsidRPr="000F7A68">
          <w:rPr>
            <w:rFonts w:asciiTheme="majorBidi" w:hAnsiTheme="majorBidi" w:cstheme="majorBidi"/>
            <w:webHidden/>
            <w:sz w:val="24"/>
            <w:szCs w:val="24"/>
          </w:rPr>
        </w:r>
        <w:r w:rsidR="000F7A68" w:rsidRPr="000F7A68">
          <w:rPr>
            <w:rFonts w:asciiTheme="majorBidi" w:hAnsiTheme="majorBidi" w:cstheme="majorBidi"/>
            <w:webHidden/>
            <w:sz w:val="24"/>
            <w:szCs w:val="24"/>
          </w:rPr>
          <w:fldChar w:fldCharType="separate"/>
        </w:r>
        <w:r w:rsidR="000F7A68" w:rsidRPr="000F7A68">
          <w:rPr>
            <w:rFonts w:asciiTheme="majorBidi" w:hAnsiTheme="majorBidi" w:cstheme="majorBidi"/>
            <w:webHidden/>
            <w:sz w:val="24"/>
            <w:szCs w:val="24"/>
          </w:rPr>
          <w:t>8</w:t>
        </w:r>
        <w:r w:rsidR="000F7A68" w:rsidRPr="000F7A68">
          <w:rPr>
            <w:rFonts w:asciiTheme="majorBidi" w:hAnsiTheme="majorBidi" w:cstheme="majorBidi"/>
            <w:webHidden/>
            <w:sz w:val="24"/>
            <w:szCs w:val="24"/>
          </w:rPr>
          <w:fldChar w:fldCharType="end"/>
        </w:r>
      </w:hyperlink>
    </w:p>
    <w:p w14:paraId="719A6C6A" w14:textId="20998CA0" w:rsidR="000F7A68" w:rsidRPr="000F7A68" w:rsidRDefault="00000000">
      <w:pPr>
        <w:pStyle w:val="TOC2"/>
        <w:rPr>
          <w:rFonts w:asciiTheme="majorBidi" w:eastAsiaTheme="minorEastAsia" w:hAnsiTheme="majorBidi" w:cstheme="majorBidi"/>
          <w:b w:val="0"/>
          <w:bCs w:val="0"/>
          <w:kern w:val="2"/>
          <w:sz w:val="24"/>
          <w:szCs w:val="24"/>
          <w:lang w:eastAsia="nl-NL" w:bidi="he-IL"/>
          <w14:ligatures w14:val="standardContextual"/>
        </w:rPr>
      </w:pPr>
      <w:hyperlink w:anchor="_Toc169963040" w:history="1">
        <w:r w:rsidR="000F7A68" w:rsidRPr="000F7A68">
          <w:rPr>
            <w:rStyle w:val="Hyperlink"/>
            <w:rFonts w:asciiTheme="majorBidi" w:hAnsiTheme="majorBidi" w:cstheme="majorBidi"/>
            <w:sz w:val="24"/>
            <w:szCs w:val="24"/>
          </w:rPr>
          <w:t>1.7 Afbakening</w:t>
        </w:r>
        <w:r w:rsidR="000F7A68" w:rsidRPr="000F7A68">
          <w:rPr>
            <w:rFonts w:asciiTheme="majorBidi" w:hAnsiTheme="majorBidi" w:cstheme="majorBidi"/>
            <w:webHidden/>
            <w:sz w:val="24"/>
            <w:szCs w:val="24"/>
          </w:rPr>
          <w:tab/>
        </w:r>
        <w:r w:rsidR="000F7A68" w:rsidRPr="000F7A68">
          <w:rPr>
            <w:rFonts w:asciiTheme="majorBidi" w:hAnsiTheme="majorBidi" w:cstheme="majorBidi"/>
            <w:webHidden/>
            <w:sz w:val="24"/>
            <w:szCs w:val="24"/>
          </w:rPr>
          <w:fldChar w:fldCharType="begin"/>
        </w:r>
        <w:r w:rsidR="000F7A68" w:rsidRPr="000F7A68">
          <w:rPr>
            <w:rFonts w:asciiTheme="majorBidi" w:hAnsiTheme="majorBidi" w:cstheme="majorBidi"/>
            <w:webHidden/>
            <w:sz w:val="24"/>
            <w:szCs w:val="24"/>
          </w:rPr>
          <w:instrText xml:space="preserve"> PAGEREF _Toc169963040 \h </w:instrText>
        </w:r>
        <w:r w:rsidR="000F7A68" w:rsidRPr="000F7A68">
          <w:rPr>
            <w:rFonts w:asciiTheme="majorBidi" w:hAnsiTheme="majorBidi" w:cstheme="majorBidi"/>
            <w:webHidden/>
            <w:sz w:val="24"/>
            <w:szCs w:val="24"/>
          </w:rPr>
        </w:r>
        <w:r w:rsidR="000F7A68" w:rsidRPr="000F7A68">
          <w:rPr>
            <w:rFonts w:asciiTheme="majorBidi" w:hAnsiTheme="majorBidi" w:cstheme="majorBidi"/>
            <w:webHidden/>
            <w:sz w:val="24"/>
            <w:szCs w:val="24"/>
          </w:rPr>
          <w:fldChar w:fldCharType="separate"/>
        </w:r>
        <w:r w:rsidR="000F7A68" w:rsidRPr="000F7A68">
          <w:rPr>
            <w:rFonts w:asciiTheme="majorBidi" w:hAnsiTheme="majorBidi" w:cstheme="majorBidi"/>
            <w:webHidden/>
            <w:sz w:val="24"/>
            <w:szCs w:val="24"/>
          </w:rPr>
          <w:t>8</w:t>
        </w:r>
        <w:r w:rsidR="000F7A68" w:rsidRPr="000F7A68">
          <w:rPr>
            <w:rFonts w:asciiTheme="majorBidi" w:hAnsiTheme="majorBidi" w:cstheme="majorBidi"/>
            <w:webHidden/>
            <w:sz w:val="24"/>
            <w:szCs w:val="24"/>
          </w:rPr>
          <w:fldChar w:fldCharType="end"/>
        </w:r>
      </w:hyperlink>
    </w:p>
    <w:p w14:paraId="4C3E048F" w14:textId="54E3F98E" w:rsidR="000F7A68" w:rsidRPr="000F7A68" w:rsidRDefault="00000000">
      <w:pPr>
        <w:pStyle w:val="TOC2"/>
        <w:rPr>
          <w:rFonts w:asciiTheme="majorBidi" w:eastAsiaTheme="minorEastAsia" w:hAnsiTheme="majorBidi" w:cstheme="majorBidi"/>
          <w:b w:val="0"/>
          <w:bCs w:val="0"/>
          <w:kern w:val="2"/>
          <w:sz w:val="24"/>
          <w:szCs w:val="24"/>
          <w:lang w:eastAsia="nl-NL" w:bidi="he-IL"/>
          <w14:ligatures w14:val="standardContextual"/>
        </w:rPr>
      </w:pPr>
      <w:hyperlink w:anchor="_Toc169963041" w:history="1">
        <w:r w:rsidR="000F7A68" w:rsidRPr="000F7A68">
          <w:rPr>
            <w:rStyle w:val="Hyperlink"/>
            <w:rFonts w:asciiTheme="majorBidi" w:hAnsiTheme="majorBidi" w:cstheme="majorBidi"/>
            <w:sz w:val="24"/>
            <w:szCs w:val="24"/>
          </w:rPr>
          <w:t>1.8 Hoofdstukindeling</w:t>
        </w:r>
        <w:r w:rsidR="000F7A68" w:rsidRPr="000F7A68">
          <w:rPr>
            <w:rFonts w:asciiTheme="majorBidi" w:hAnsiTheme="majorBidi" w:cstheme="majorBidi"/>
            <w:webHidden/>
            <w:sz w:val="24"/>
            <w:szCs w:val="24"/>
          </w:rPr>
          <w:tab/>
        </w:r>
        <w:r w:rsidR="000F7A68" w:rsidRPr="000F7A68">
          <w:rPr>
            <w:rFonts w:asciiTheme="majorBidi" w:hAnsiTheme="majorBidi" w:cstheme="majorBidi"/>
            <w:webHidden/>
            <w:sz w:val="24"/>
            <w:szCs w:val="24"/>
          </w:rPr>
          <w:fldChar w:fldCharType="begin"/>
        </w:r>
        <w:r w:rsidR="000F7A68" w:rsidRPr="000F7A68">
          <w:rPr>
            <w:rFonts w:asciiTheme="majorBidi" w:hAnsiTheme="majorBidi" w:cstheme="majorBidi"/>
            <w:webHidden/>
            <w:sz w:val="24"/>
            <w:szCs w:val="24"/>
          </w:rPr>
          <w:instrText xml:space="preserve"> PAGEREF _Toc169963041 \h </w:instrText>
        </w:r>
        <w:r w:rsidR="000F7A68" w:rsidRPr="000F7A68">
          <w:rPr>
            <w:rFonts w:asciiTheme="majorBidi" w:hAnsiTheme="majorBidi" w:cstheme="majorBidi"/>
            <w:webHidden/>
            <w:sz w:val="24"/>
            <w:szCs w:val="24"/>
          </w:rPr>
        </w:r>
        <w:r w:rsidR="000F7A68" w:rsidRPr="000F7A68">
          <w:rPr>
            <w:rFonts w:asciiTheme="majorBidi" w:hAnsiTheme="majorBidi" w:cstheme="majorBidi"/>
            <w:webHidden/>
            <w:sz w:val="24"/>
            <w:szCs w:val="24"/>
          </w:rPr>
          <w:fldChar w:fldCharType="separate"/>
        </w:r>
        <w:r w:rsidR="000F7A68" w:rsidRPr="000F7A68">
          <w:rPr>
            <w:rFonts w:asciiTheme="majorBidi" w:hAnsiTheme="majorBidi" w:cstheme="majorBidi"/>
            <w:webHidden/>
            <w:sz w:val="24"/>
            <w:szCs w:val="24"/>
          </w:rPr>
          <w:t>9</w:t>
        </w:r>
        <w:r w:rsidR="000F7A68" w:rsidRPr="000F7A68">
          <w:rPr>
            <w:rFonts w:asciiTheme="majorBidi" w:hAnsiTheme="majorBidi" w:cstheme="majorBidi"/>
            <w:webHidden/>
            <w:sz w:val="24"/>
            <w:szCs w:val="24"/>
          </w:rPr>
          <w:fldChar w:fldCharType="end"/>
        </w:r>
      </w:hyperlink>
    </w:p>
    <w:p w14:paraId="0241CB14" w14:textId="5FC95828" w:rsidR="000F7A68" w:rsidRPr="000F7A68" w:rsidRDefault="00000000">
      <w:pPr>
        <w:pStyle w:val="TOC1"/>
        <w:tabs>
          <w:tab w:val="right" w:leader="dot" w:pos="9350"/>
        </w:tabs>
        <w:rPr>
          <w:rFonts w:asciiTheme="majorBidi" w:eastAsiaTheme="minorEastAsia" w:hAnsiTheme="majorBidi" w:cstheme="majorBidi"/>
          <w:noProof/>
          <w:kern w:val="2"/>
          <w:sz w:val="24"/>
          <w:szCs w:val="24"/>
          <w:lang w:eastAsia="nl-NL" w:bidi="he-IL"/>
          <w14:ligatures w14:val="standardContextual"/>
        </w:rPr>
      </w:pPr>
      <w:hyperlink w:anchor="_Toc169963042" w:history="1">
        <w:r w:rsidR="000F7A68" w:rsidRPr="000F7A68">
          <w:rPr>
            <w:rStyle w:val="Hyperlink"/>
            <w:rFonts w:asciiTheme="majorBidi" w:hAnsiTheme="majorBidi" w:cstheme="majorBidi"/>
            <w:noProof/>
            <w:sz w:val="24"/>
            <w:szCs w:val="24"/>
          </w:rPr>
          <w:t>Hoofdstuk 2. Het stakingsrecht in de Europese Unie</w:t>
        </w:r>
        <w:r w:rsidR="000F7A68" w:rsidRPr="000F7A68">
          <w:rPr>
            <w:rFonts w:asciiTheme="majorBidi" w:hAnsiTheme="majorBidi" w:cstheme="majorBidi"/>
            <w:noProof/>
            <w:webHidden/>
            <w:sz w:val="24"/>
            <w:szCs w:val="24"/>
          </w:rPr>
          <w:tab/>
        </w:r>
        <w:r w:rsidR="000F7A68" w:rsidRPr="000F7A68">
          <w:rPr>
            <w:rFonts w:asciiTheme="majorBidi" w:hAnsiTheme="majorBidi" w:cstheme="majorBidi"/>
            <w:noProof/>
            <w:webHidden/>
            <w:sz w:val="24"/>
            <w:szCs w:val="24"/>
          </w:rPr>
          <w:fldChar w:fldCharType="begin"/>
        </w:r>
        <w:r w:rsidR="000F7A68" w:rsidRPr="000F7A68">
          <w:rPr>
            <w:rFonts w:asciiTheme="majorBidi" w:hAnsiTheme="majorBidi" w:cstheme="majorBidi"/>
            <w:noProof/>
            <w:webHidden/>
            <w:sz w:val="24"/>
            <w:szCs w:val="24"/>
          </w:rPr>
          <w:instrText xml:space="preserve"> PAGEREF _Toc169963042 \h </w:instrText>
        </w:r>
        <w:r w:rsidR="000F7A68" w:rsidRPr="000F7A68">
          <w:rPr>
            <w:rFonts w:asciiTheme="majorBidi" w:hAnsiTheme="majorBidi" w:cstheme="majorBidi"/>
            <w:noProof/>
            <w:webHidden/>
            <w:sz w:val="24"/>
            <w:szCs w:val="24"/>
          </w:rPr>
        </w:r>
        <w:r w:rsidR="000F7A68" w:rsidRPr="000F7A68">
          <w:rPr>
            <w:rFonts w:asciiTheme="majorBidi" w:hAnsiTheme="majorBidi" w:cstheme="majorBidi"/>
            <w:noProof/>
            <w:webHidden/>
            <w:sz w:val="24"/>
            <w:szCs w:val="24"/>
          </w:rPr>
          <w:fldChar w:fldCharType="separate"/>
        </w:r>
        <w:r w:rsidR="000F7A68" w:rsidRPr="000F7A68">
          <w:rPr>
            <w:rFonts w:asciiTheme="majorBidi" w:hAnsiTheme="majorBidi" w:cstheme="majorBidi"/>
            <w:noProof/>
            <w:webHidden/>
            <w:sz w:val="24"/>
            <w:szCs w:val="24"/>
          </w:rPr>
          <w:t>10</w:t>
        </w:r>
        <w:r w:rsidR="000F7A68" w:rsidRPr="000F7A68">
          <w:rPr>
            <w:rFonts w:asciiTheme="majorBidi" w:hAnsiTheme="majorBidi" w:cstheme="majorBidi"/>
            <w:noProof/>
            <w:webHidden/>
            <w:sz w:val="24"/>
            <w:szCs w:val="24"/>
          </w:rPr>
          <w:fldChar w:fldCharType="end"/>
        </w:r>
      </w:hyperlink>
    </w:p>
    <w:p w14:paraId="31186BAC" w14:textId="29FD06F1" w:rsidR="000F7A68" w:rsidRPr="000F7A68" w:rsidRDefault="00000000">
      <w:pPr>
        <w:pStyle w:val="TOC2"/>
        <w:rPr>
          <w:rFonts w:asciiTheme="majorBidi" w:eastAsiaTheme="minorEastAsia" w:hAnsiTheme="majorBidi" w:cstheme="majorBidi"/>
          <w:b w:val="0"/>
          <w:bCs w:val="0"/>
          <w:kern w:val="2"/>
          <w:sz w:val="24"/>
          <w:szCs w:val="24"/>
          <w:lang w:eastAsia="nl-NL" w:bidi="he-IL"/>
          <w14:ligatures w14:val="standardContextual"/>
        </w:rPr>
      </w:pPr>
      <w:hyperlink w:anchor="_Toc169963043" w:history="1">
        <w:r w:rsidR="000F7A68" w:rsidRPr="000F7A68">
          <w:rPr>
            <w:rStyle w:val="Hyperlink"/>
            <w:rFonts w:asciiTheme="majorBidi" w:hAnsiTheme="majorBidi" w:cstheme="majorBidi"/>
            <w:sz w:val="24"/>
            <w:szCs w:val="24"/>
          </w:rPr>
          <w:t>2.1 Inhoud</w:t>
        </w:r>
        <w:r w:rsidR="000F7A68" w:rsidRPr="000F7A68">
          <w:rPr>
            <w:rFonts w:asciiTheme="majorBidi" w:hAnsiTheme="majorBidi" w:cstheme="majorBidi"/>
            <w:webHidden/>
            <w:sz w:val="24"/>
            <w:szCs w:val="24"/>
          </w:rPr>
          <w:tab/>
        </w:r>
        <w:r w:rsidR="000F7A68" w:rsidRPr="000F7A68">
          <w:rPr>
            <w:rFonts w:asciiTheme="majorBidi" w:hAnsiTheme="majorBidi" w:cstheme="majorBidi"/>
            <w:webHidden/>
            <w:sz w:val="24"/>
            <w:szCs w:val="24"/>
          </w:rPr>
          <w:fldChar w:fldCharType="begin"/>
        </w:r>
        <w:r w:rsidR="000F7A68" w:rsidRPr="000F7A68">
          <w:rPr>
            <w:rFonts w:asciiTheme="majorBidi" w:hAnsiTheme="majorBidi" w:cstheme="majorBidi"/>
            <w:webHidden/>
            <w:sz w:val="24"/>
            <w:szCs w:val="24"/>
          </w:rPr>
          <w:instrText xml:space="preserve"> PAGEREF _Toc169963043 \h </w:instrText>
        </w:r>
        <w:r w:rsidR="000F7A68" w:rsidRPr="000F7A68">
          <w:rPr>
            <w:rFonts w:asciiTheme="majorBidi" w:hAnsiTheme="majorBidi" w:cstheme="majorBidi"/>
            <w:webHidden/>
            <w:sz w:val="24"/>
            <w:szCs w:val="24"/>
          </w:rPr>
        </w:r>
        <w:r w:rsidR="000F7A68" w:rsidRPr="000F7A68">
          <w:rPr>
            <w:rFonts w:asciiTheme="majorBidi" w:hAnsiTheme="majorBidi" w:cstheme="majorBidi"/>
            <w:webHidden/>
            <w:sz w:val="24"/>
            <w:szCs w:val="24"/>
          </w:rPr>
          <w:fldChar w:fldCharType="separate"/>
        </w:r>
        <w:r w:rsidR="000F7A68" w:rsidRPr="000F7A68">
          <w:rPr>
            <w:rFonts w:asciiTheme="majorBidi" w:hAnsiTheme="majorBidi" w:cstheme="majorBidi"/>
            <w:webHidden/>
            <w:sz w:val="24"/>
            <w:szCs w:val="24"/>
          </w:rPr>
          <w:t>10</w:t>
        </w:r>
        <w:r w:rsidR="000F7A68" w:rsidRPr="000F7A68">
          <w:rPr>
            <w:rFonts w:asciiTheme="majorBidi" w:hAnsiTheme="majorBidi" w:cstheme="majorBidi"/>
            <w:webHidden/>
            <w:sz w:val="24"/>
            <w:szCs w:val="24"/>
          </w:rPr>
          <w:fldChar w:fldCharType="end"/>
        </w:r>
      </w:hyperlink>
    </w:p>
    <w:p w14:paraId="10E7822D" w14:textId="4728BDBE" w:rsidR="000F7A68" w:rsidRPr="000F7A68" w:rsidRDefault="00000000">
      <w:pPr>
        <w:pStyle w:val="TOC2"/>
        <w:rPr>
          <w:rFonts w:asciiTheme="majorBidi" w:eastAsiaTheme="minorEastAsia" w:hAnsiTheme="majorBidi" w:cstheme="majorBidi"/>
          <w:b w:val="0"/>
          <w:bCs w:val="0"/>
          <w:kern w:val="2"/>
          <w:sz w:val="24"/>
          <w:szCs w:val="24"/>
          <w:lang w:eastAsia="nl-NL" w:bidi="he-IL"/>
          <w14:ligatures w14:val="standardContextual"/>
        </w:rPr>
      </w:pPr>
      <w:hyperlink w:anchor="_Toc169963044" w:history="1">
        <w:r w:rsidR="000F7A68" w:rsidRPr="000F7A68">
          <w:rPr>
            <w:rStyle w:val="Hyperlink"/>
            <w:rFonts w:asciiTheme="majorBidi" w:hAnsiTheme="majorBidi" w:cstheme="majorBidi"/>
            <w:sz w:val="24"/>
            <w:szCs w:val="24"/>
          </w:rPr>
          <w:t>2.2 Het stakingsrecht in conflict met marktvrijheden</w:t>
        </w:r>
        <w:r w:rsidR="000F7A68" w:rsidRPr="000F7A68">
          <w:rPr>
            <w:rFonts w:asciiTheme="majorBidi" w:hAnsiTheme="majorBidi" w:cstheme="majorBidi"/>
            <w:webHidden/>
            <w:sz w:val="24"/>
            <w:szCs w:val="24"/>
          </w:rPr>
          <w:tab/>
        </w:r>
        <w:r w:rsidR="000F7A68" w:rsidRPr="000F7A68">
          <w:rPr>
            <w:rFonts w:asciiTheme="majorBidi" w:hAnsiTheme="majorBidi" w:cstheme="majorBidi"/>
            <w:webHidden/>
            <w:sz w:val="24"/>
            <w:szCs w:val="24"/>
          </w:rPr>
          <w:fldChar w:fldCharType="begin"/>
        </w:r>
        <w:r w:rsidR="000F7A68" w:rsidRPr="000F7A68">
          <w:rPr>
            <w:rFonts w:asciiTheme="majorBidi" w:hAnsiTheme="majorBidi" w:cstheme="majorBidi"/>
            <w:webHidden/>
            <w:sz w:val="24"/>
            <w:szCs w:val="24"/>
          </w:rPr>
          <w:instrText xml:space="preserve"> PAGEREF _Toc169963044 \h </w:instrText>
        </w:r>
        <w:r w:rsidR="000F7A68" w:rsidRPr="000F7A68">
          <w:rPr>
            <w:rFonts w:asciiTheme="majorBidi" w:hAnsiTheme="majorBidi" w:cstheme="majorBidi"/>
            <w:webHidden/>
            <w:sz w:val="24"/>
            <w:szCs w:val="24"/>
          </w:rPr>
        </w:r>
        <w:r w:rsidR="000F7A68" w:rsidRPr="000F7A68">
          <w:rPr>
            <w:rFonts w:asciiTheme="majorBidi" w:hAnsiTheme="majorBidi" w:cstheme="majorBidi"/>
            <w:webHidden/>
            <w:sz w:val="24"/>
            <w:szCs w:val="24"/>
          </w:rPr>
          <w:fldChar w:fldCharType="separate"/>
        </w:r>
        <w:r w:rsidR="000F7A68" w:rsidRPr="000F7A68">
          <w:rPr>
            <w:rFonts w:asciiTheme="majorBidi" w:hAnsiTheme="majorBidi" w:cstheme="majorBidi"/>
            <w:webHidden/>
            <w:sz w:val="24"/>
            <w:szCs w:val="24"/>
          </w:rPr>
          <w:t>10</w:t>
        </w:r>
        <w:r w:rsidR="000F7A68" w:rsidRPr="000F7A68">
          <w:rPr>
            <w:rFonts w:asciiTheme="majorBidi" w:hAnsiTheme="majorBidi" w:cstheme="majorBidi"/>
            <w:webHidden/>
            <w:sz w:val="24"/>
            <w:szCs w:val="24"/>
          </w:rPr>
          <w:fldChar w:fldCharType="end"/>
        </w:r>
      </w:hyperlink>
    </w:p>
    <w:p w14:paraId="1C79B6EA" w14:textId="2426298F" w:rsidR="000F7A68" w:rsidRPr="000F7A68" w:rsidRDefault="00000000">
      <w:pPr>
        <w:pStyle w:val="TOC3"/>
        <w:tabs>
          <w:tab w:val="right" w:leader="dot" w:pos="9350"/>
        </w:tabs>
        <w:rPr>
          <w:rFonts w:asciiTheme="majorBidi" w:hAnsiTheme="majorBidi" w:cstheme="majorBidi"/>
          <w:noProof/>
          <w:kern w:val="2"/>
          <w:sz w:val="24"/>
          <w:szCs w:val="24"/>
          <w:lang w:bidi="he-IL"/>
          <w14:ligatures w14:val="standardContextual"/>
        </w:rPr>
      </w:pPr>
      <w:hyperlink w:anchor="_Toc169963045" w:history="1">
        <w:r w:rsidR="000F7A68" w:rsidRPr="000F7A68">
          <w:rPr>
            <w:rStyle w:val="Hyperlink"/>
            <w:rFonts w:asciiTheme="majorBidi" w:hAnsiTheme="majorBidi" w:cstheme="majorBidi"/>
            <w:noProof/>
            <w:sz w:val="24"/>
            <w:szCs w:val="24"/>
          </w:rPr>
          <w:t>Het Viking-arrest</w:t>
        </w:r>
        <w:r w:rsidR="000F7A68" w:rsidRPr="000F7A68">
          <w:rPr>
            <w:rFonts w:asciiTheme="majorBidi" w:hAnsiTheme="majorBidi" w:cstheme="majorBidi"/>
            <w:noProof/>
            <w:webHidden/>
            <w:sz w:val="24"/>
            <w:szCs w:val="24"/>
          </w:rPr>
          <w:tab/>
        </w:r>
        <w:r w:rsidR="000F7A68" w:rsidRPr="000F7A68">
          <w:rPr>
            <w:rFonts w:asciiTheme="majorBidi" w:hAnsiTheme="majorBidi" w:cstheme="majorBidi"/>
            <w:noProof/>
            <w:webHidden/>
            <w:sz w:val="24"/>
            <w:szCs w:val="24"/>
          </w:rPr>
          <w:fldChar w:fldCharType="begin"/>
        </w:r>
        <w:r w:rsidR="000F7A68" w:rsidRPr="000F7A68">
          <w:rPr>
            <w:rFonts w:asciiTheme="majorBidi" w:hAnsiTheme="majorBidi" w:cstheme="majorBidi"/>
            <w:noProof/>
            <w:webHidden/>
            <w:sz w:val="24"/>
            <w:szCs w:val="24"/>
          </w:rPr>
          <w:instrText xml:space="preserve"> PAGEREF _Toc169963045 \h </w:instrText>
        </w:r>
        <w:r w:rsidR="000F7A68" w:rsidRPr="000F7A68">
          <w:rPr>
            <w:rFonts w:asciiTheme="majorBidi" w:hAnsiTheme="majorBidi" w:cstheme="majorBidi"/>
            <w:noProof/>
            <w:webHidden/>
            <w:sz w:val="24"/>
            <w:szCs w:val="24"/>
          </w:rPr>
        </w:r>
        <w:r w:rsidR="000F7A68" w:rsidRPr="000F7A68">
          <w:rPr>
            <w:rFonts w:asciiTheme="majorBidi" w:hAnsiTheme="majorBidi" w:cstheme="majorBidi"/>
            <w:noProof/>
            <w:webHidden/>
            <w:sz w:val="24"/>
            <w:szCs w:val="24"/>
          </w:rPr>
          <w:fldChar w:fldCharType="separate"/>
        </w:r>
        <w:r w:rsidR="000F7A68" w:rsidRPr="000F7A68">
          <w:rPr>
            <w:rFonts w:asciiTheme="majorBidi" w:hAnsiTheme="majorBidi" w:cstheme="majorBidi"/>
            <w:noProof/>
            <w:webHidden/>
            <w:sz w:val="24"/>
            <w:szCs w:val="24"/>
          </w:rPr>
          <w:t>10</w:t>
        </w:r>
        <w:r w:rsidR="000F7A68" w:rsidRPr="000F7A68">
          <w:rPr>
            <w:rFonts w:asciiTheme="majorBidi" w:hAnsiTheme="majorBidi" w:cstheme="majorBidi"/>
            <w:noProof/>
            <w:webHidden/>
            <w:sz w:val="24"/>
            <w:szCs w:val="24"/>
          </w:rPr>
          <w:fldChar w:fldCharType="end"/>
        </w:r>
      </w:hyperlink>
    </w:p>
    <w:p w14:paraId="046AFC30" w14:textId="34F52A73" w:rsidR="000F7A68" w:rsidRPr="000F7A68" w:rsidRDefault="00000000">
      <w:pPr>
        <w:pStyle w:val="TOC3"/>
        <w:tabs>
          <w:tab w:val="right" w:leader="dot" w:pos="9350"/>
        </w:tabs>
        <w:rPr>
          <w:rFonts w:asciiTheme="majorBidi" w:hAnsiTheme="majorBidi" w:cstheme="majorBidi"/>
          <w:noProof/>
          <w:kern w:val="2"/>
          <w:sz w:val="24"/>
          <w:szCs w:val="24"/>
          <w:lang w:bidi="he-IL"/>
          <w14:ligatures w14:val="standardContextual"/>
        </w:rPr>
      </w:pPr>
      <w:hyperlink w:anchor="_Toc169963046" w:history="1">
        <w:r w:rsidR="000F7A68" w:rsidRPr="000F7A68">
          <w:rPr>
            <w:rStyle w:val="Hyperlink"/>
            <w:rFonts w:asciiTheme="majorBidi" w:hAnsiTheme="majorBidi" w:cstheme="majorBidi"/>
            <w:noProof/>
            <w:sz w:val="24"/>
            <w:szCs w:val="24"/>
          </w:rPr>
          <w:t>Het Laval-arrest</w:t>
        </w:r>
        <w:r w:rsidR="000F7A68" w:rsidRPr="000F7A68">
          <w:rPr>
            <w:rFonts w:asciiTheme="majorBidi" w:hAnsiTheme="majorBidi" w:cstheme="majorBidi"/>
            <w:noProof/>
            <w:webHidden/>
            <w:sz w:val="24"/>
            <w:szCs w:val="24"/>
          </w:rPr>
          <w:tab/>
        </w:r>
        <w:r w:rsidR="000F7A68" w:rsidRPr="000F7A68">
          <w:rPr>
            <w:rFonts w:asciiTheme="majorBidi" w:hAnsiTheme="majorBidi" w:cstheme="majorBidi"/>
            <w:noProof/>
            <w:webHidden/>
            <w:sz w:val="24"/>
            <w:szCs w:val="24"/>
          </w:rPr>
          <w:fldChar w:fldCharType="begin"/>
        </w:r>
        <w:r w:rsidR="000F7A68" w:rsidRPr="000F7A68">
          <w:rPr>
            <w:rFonts w:asciiTheme="majorBidi" w:hAnsiTheme="majorBidi" w:cstheme="majorBidi"/>
            <w:noProof/>
            <w:webHidden/>
            <w:sz w:val="24"/>
            <w:szCs w:val="24"/>
          </w:rPr>
          <w:instrText xml:space="preserve"> PAGEREF _Toc169963046 \h </w:instrText>
        </w:r>
        <w:r w:rsidR="000F7A68" w:rsidRPr="000F7A68">
          <w:rPr>
            <w:rFonts w:asciiTheme="majorBidi" w:hAnsiTheme="majorBidi" w:cstheme="majorBidi"/>
            <w:noProof/>
            <w:webHidden/>
            <w:sz w:val="24"/>
            <w:szCs w:val="24"/>
          </w:rPr>
        </w:r>
        <w:r w:rsidR="000F7A68" w:rsidRPr="000F7A68">
          <w:rPr>
            <w:rFonts w:asciiTheme="majorBidi" w:hAnsiTheme="majorBidi" w:cstheme="majorBidi"/>
            <w:noProof/>
            <w:webHidden/>
            <w:sz w:val="24"/>
            <w:szCs w:val="24"/>
          </w:rPr>
          <w:fldChar w:fldCharType="separate"/>
        </w:r>
        <w:r w:rsidR="000F7A68" w:rsidRPr="000F7A68">
          <w:rPr>
            <w:rFonts w:asciiTheme="majorBidi" w:hAnsiTheme="majorBidi" w:cstheme="majorBidi"/>
            <w:noProof/>
            <w:webHidden/>
            <w:sz w:val="24"/>
            <w:szCs w:val="24"/>
          </w:rPr>
          <w:t>12</w:t>
        </w:r>
        <w:r w:rsidR="000F7A68" w:rsidRPr="000F7A68">
          <w:rPr>
            <w:rFonts w:asciiTheme="majorBidi" w:hAnsiTheme="majorBidi" w:cstheme="majorBidi"/>
            <w:noProof/>
            <w:webHidden/>
            <w:sz w:val="24"/>
            <w:szCs w:val="24"/>
          </w:rPr>
          <w:fldChar w:fldCharType="end"/>
        </w:r>
      </w:hyperlink>
    </w:p>
    <w:p w14:paraId="1759745D" w14:textId="13BD2585" w:rsidR="000F7A68" w:rsidRPr="000F7A68" w:rsidRDefault="00000000">
      <w:pPr>
        <w:pStyle w:val="TOC3"/>
        <w:tabs>
          <w:tab w:val="right" w:leader="dot" w:pos="9350"/>
        </w:tabs>
        <w:rPr>
          <w:rFonts w:asciiTheme="majorBidi" w:hAnsiTheme="majorBidi" w:cstheme="majorBidi"/>
          <w:noProof/>
          <w:kern w:val="2"/>
          <w:sz w:val="24"/>
          <w:szCs w:val="24"/>
          <w:lang w:bidi="he-IL"/>
          <w14:ligatures w14:val="standardContextual"/>
        </w:rPr>
      </w:pPr>
      <w:hyperlink w:anchor="_Toc169963047" w:history="1">
        <w:r w:rsidR="000F7A68" w:rsidRPr="000F7A68">
          <w:rPr>
            <w:rStyle w:val="Hyperlink"/>
            <w:rFonts w:asciiTheme="majorBidi" w:hAnsiTheme="majorBidi" w:cstheme="majorBidi"/>
            <w:noProof/>
            <w:sz w:val="24"/>
            <w:szCs w:val="24"/>
          </w:rPr>
          <w:t>Bevestiging van de uitgezette lijn</w:t>
        </w:r>
        <w:r w:rsidR="000F7A68" w:rsidRPr="000F7A68">
          <w:rPr>
            <w:rFonts w:asciiTheme="majorBidi" w:hAnsiTheme="majorBidi" w:cstheme="majorBidi"/>
            <w:noProof/>
            <w:webHidden/>
            <w:sz w:val="24"/>
            <w:szCs w:val="24"/>
          </w:rPr>
          <w:tab/>
        </w:r>
        <w:r w:rsidR="000F7A68" w:rsidRPr="000F7A68">
          <w:rPr>
            <w:rFonts w:asciiTheme="majorBidi" w:hAnsiTheme="majorBidi" w:cstheme="majorBidi"/>
            <w:noProof/>
            <w:webHidden/>
            <w:sz w:val="24"/>
            <w:szCs w:val="24"/>
          </w:rPr>
          <w:fldChar w:fldCharType="begin"/>
        </w:r>
        <w:r w:rsidR="000F7A68" w:rsidRPr="000F7A68">
          <w:rPr>
            <w:rFonts w:asciiTheme="majorBidi" w:hAnsiTheme="majorBidi" w:cstheme="majorBidi"/>
            <w:noProof/>
            <w:webHidden/>
            <w:sz w:val="24"/>
            <w:szCs w:val="24"/>
          </w:rPr>
          <w:instrText xml:space="preserve"> PAGEREF _Toc169963047 \h </w:instrText>
        </w:r>
        <w:r w:rsidR="000F7A68" w:rsidRPr="000F7A68">
          <w:rPr>
            <w:rFonts w:asciiTheme="majorBidi" w:hAnsiTheme="majorBidi" w:cstheme="majorBidi"/>
            <w:noProof/>
            <w:webHidden/>
            <w:sz w:val="24"/>
            <w:szCs w:val="24"/>
          </w:rPr>
        </w:r>
        <w:r w:rsidR="000F7A68" w:rsidRPr="000F7A68">
          <w:rPr>
            <w:rFonts w:asciiTheme="majorBidi" w:hAnsiTheme="majorBidi" w:cstheme="majorBidi"/>
            <w:noProof/>
            <w:webHidden/>
            <w:sz w:val="24"/>
            <w:szCs w:val="24"/>
          </w:rPr>
          <w:fldChar w:fldCharType="separate"/>
        </w:r>
        <w:r w:rsidR="000F7A68" w:rsidRPr="000F7A68">
          <w:rPr>
            <w:rFonts w:asciiTheme="majorBidi" w:hAnsiTheme="majorBidi" w:cstheme="majorBidi"/>
            <w:noProof/>
            <w:webHidden/>
            <w:sz w:val="24"/>
            <w:szCs w:val="24"/>
          </w:rPr>
          <w:t>13</w:t>
        </w:r>
        <w:r w:rsidR="000F7A68" w:rsidRPr="000F7A68">
          <w:rPr>
            <w:rFonts w:asciiTheme="majorBidi" w:hAnsiTheme="majorBidi" w:cstheme="majorBidi"/>
            <w:noProof/>
            <w:webHidden/>
            <w:sz w:val="24"/>
            <w:szCs w:val="24"/>
          </w:rPr>
          <w:fldChar w:fldCharType="end"/>
        </w:r>
      </w:hyperlink>
    </w:p>
    <w:p w14:paraId="5DD1CCBB" w14:textId="15336633" w:rsidR="000F7A68" w:rsidRPr="000F7A68" w:rsidRDefault="00000000">
      <w:pPr>
        <w:pStyle w:val="TOC2"/>
        <w:rPr>
          <w:rFonts w:asciiTheme="majorBidi" w:eastAsiaTheme="minorEastAsia" w:hAnsiTheme="majorBidi" w:cstheme="majorBidi"/>
          <w:b w:val="0"/>
          <w:bCs w:val="0"/>
          <w:kern w:val="2"/>
          <w:sz w:val="24"/>
          <w:szCs w:val="24"/>
          <w:lang w:eastAsia="nl-NL" w:bidi="he-IL"/>
          <w14:ligatures w14:val="standardContextual"/>
        </w:rPr>
      </w:pPr>
      <w:hyperlink w:anchor="_Toc169963048" w:history="1">
        <w:r w:rsidR="000F7A68" w:rsidRPr="000F7A68">
          <w:rPr>
            <w:rStyle w:val="Hyperlink"/>
            <w:rFonts w:asciiTheme="majorBidi" w:hAnsiTheme="majorBidi" w:cstheme="majorBidi"/>
            <w:sz w:val="24"/>
            <w:szCs w:val="24"/>
          </w:rPr>
          <w:t>2.3 Wetgeving na Viking en Laval</w:t>
        </w:r>
        <w:r w:rsidR="000F7A68" w:rsidRPr="000F7A68">
          <w:rPr>
            <w:rFonts w:asciiTheme="majorBidi" w:hAnsiTheme="majorBidi" w:cstheme="majorBidi"/>
            <w:webHidden/>
            <w:sz w:val="24"/>
            <w:szCs w:val="24"/>
          </w:rPr>
          <w:tab/>
        </w:r>
        <w:r w:rsidR="000F7A68" w:rsidRPr="000F7A68">
          <w:rPr>
            <w:rFonts w:asciiTheme="majorBidi" w:hAnsiTheme="majorBidi" w:cstheme="majorBidi"/>
            <w:webHidden/>
            <w:sz w:val="24"/>
            <w:szCs w:val="24"/>
          </w:rPr>
          <w:fldChar w:fldCharType="begin"/>
        </w:r>
        <w:r w:rsidR="000F7A68" w:rsidRPr="000F7A68">
          <w:rPr>
            <w:rFonts w:asciiTheme="majorBidi" w:hAnsiTheme="majorBidi" w:cstheme="majorBidi"/>
            <w:webHidden/>
            <w:sz w:val="24"/>
            <w:szCs w:val="24"/>
          </w:rPr>
          <w:instrText xml:space="preserve"> PAGEREF _Toc169963048 \h </w:instrText>
        </w:r>
        <w:r w:rsidR="000F7A68" w:rsidRPr="000F7A68">
          <w:rPr>
            <w:rFonts w:asciiTheme="majorBidi" w:hAnsiTheme="majorBidi" w:cstheme="majorBidi"/>
            <w:webHidden/>
            <w:sz w:val="24"/>
            <w:szCs w:val="24"/>
          </w:rPr>
        </w:r>
        <w:r w:rsidR="000F7A68" w:rsidRPr="000F7A68">
          <w:rPr>
            <w:rFonts w:asciiTheme="majorBidi" w:hAnsiTheme="majorBidi" w:cstheme="majorBidi"/>
            <w:webHidden/>
            <w:sz w:val="24"/>
            <w:szCs w:val="24"/>
          </w:rPr>
          <w:fldChar w:fldCharType="separate"/>
        </w:r>
        <w:r w:rsidR="000F7A68" w:rsidRPr="000F7A68">
          <w:rPr>
            <w:rFonts w:asciiTheme="majorBidi" w:hAnsiTheme="majorBidi" w:cstheme="majorBidi"/>
            <w:webHidden/>
            <w:sz w:val="24"/>
            <w:szCs w:val="24"/>
          </w:rPr>
          <w:t>13</w:t>
        </w:r>
        <w:r w:rsidR="000F7A68" w:rsidRPr="000F7A68">
          <w:rPr>
            <w:rFonts w:asciiTheme="majorBidi" w:hAnsiTheme="majorBidi" w:cstheme="majorBidi"/>
            <w:webHidden/>
            <w:sz w:val="24"/>
            <w:szCs w:val="24"/>
          </w:rPr>
          <w:fldChar w:fldCharType="end"/>
        </w:r>
      </w:hyperlink>
    </w:p>
    <w:p w14:paraId="54A7FD92" w14:textId="28500860" w:rsidR="000F7A68" w:rsidRPr="000F7A68" w:rsidRDefault="00000000">
      <w:pPr>
        <w:pStyle w:val="TOC3"/>
        <w:tabs>
          <w:tab w:val="right" w:leader="dot" w:pos="9350"/>
        </w:tabs>
        <w:rPr>
          <w:rFonts w:asciiTheme="majorBidi" w:hAnsiTheme="majorBidi" w:cstheme="majorBidi"/>
          <w:noProof/>
          <w:kern w:val="2"/>
          <w:sz w:val="24"/>
          <w:szCs w:val="24"/>
          <w:lang w:bidi="he-IL"/>
          <w14:ligatures w14:val="standardContextual"/>
        </w:rPr>
      </w:pPr>
      <w:hyperlink w:anchor="_Toc169963049" w:history="1">
        <w:r w:rsidR="000F7A68" w:rsidRPr="000F7A68">
          <w:rPr>
            <w:rStyle w:val="Hyperlink"/>
            <w:rFonts w:asciiTheme="majorBidi" w:hAnsiTheme="majorBidi" w:cstheme="majorBidi"/>
            <w:noProof/>
            <w:sz w:val="24"/>
            <w:szCs w:val="24"/>
          </w:rPr>
          <w:t>Het Verdrag van Lissabon</w:t>
        </w:r>
        <w:r w:rsidR="000F7A68" w:rsidRPr="000F7A68">
          <w:rPr>
            <w:rFonts w:asciiTheme="majorBidi" w:hAnsiTheme="majorBidi" w:cstheme="majorBidi"/>
            <w:noProof/>
            <w:webHidden/>
            <w:sz w:val="24"/>
            <w:szCs w:val="24"/>
          </w:rPr>
          <w:tab/>
        </w:r>
        <w:r w:rsidR="000F7A68" w:rsidRPr="000F7A68">
          <w:rPr>
            <w:rFonts w:asciiTheme="majorBidi" w:hAnsiTheme="majorBidi" w:cstheme="majorBidi"/>
            <w:noProof/>
            <w:webHidden/>
            <w:sz w:val="24"/>
            <w:szCs w:val="24"/>
          </w:rPr>
          <w:fldChar w:fldCharType="begin"/>
        </w:r>
        <w:r w:rsidR="000F7A68" w:rsidRPr="000F7A68">
          <w:rPr>
            <w:rFonts w:asciiTheme="majorBidi" w:hAnsiTheme="majorBidi" w:cstheme="majorBidi"/>
            <w:noProof/>
            <w:webHidden/>
            <w:sz w:val="24"/>
            <w:szCs w:val="24"/>
          </w:rPr>
          <w:instrText xml:space="preserve"> PAGEREF _Toc169963049 \h </w:instrText>
        </w:r>
        <w:r w:rsidR="000F7A68" w:rsidRPr="000F7A68">
          <w:rPr>
            <w:rFonts w:asciiTheme="majorBidi" w:hAnsiTheme="majorBidi" w:cstheme="majorBidi"/>
            <w:noProof/>
            <w:webHidden/>
            <w:sz w:val="24"/>
            <w:szCs w:val="24"/>
          </w:rPr>
        </w:r>
        <w:r w:rsidR="000F7A68" w:rsidRPr="000F7A68">
          <w:rPr>
            <w:rFonts w:asciiTheme="majorBidi" w:hAnsiTheme="majorBidi" w:cstheme="majorBidi"/>
            <w:noProof/>
            <w:webHidden/>
            <w:sz w:val="24"/>
            <w:szCs w:val="24"/>
          </w:rPr>
          <w:fldChar w:fldCharType="separate"/>
        </w:r>
        <w:r w:rsidR="000F7A68" w:rsidRPr="000F7A68">
          <w:rPr>
            <w:rFonts w:asciiTheme="majorBidi" w:hAnsiTheme="majorBidi" w:cstheme="majorBidi"/>
            <w:noProof/>
            <w:webHidden/>
            <w:sz w:val="24"/>
            <w:szCs w:val="24"/>
          </w:rPr>
          <w:t>13</w:t>
        </w:r>
        <w:r w:rsidR="000F7A68" w:rsidRPr="000F7A68">
          <w:rPr>
            <w:rFonts w:asciiTheme="majorBidi" w:hAnsiTheme="majorBidi" w:cstheme="majorBidi"/>
            <w:noProof/>
            <w:webHidden/>
            <w:sz w:val="24"/>
            <w:szCs w:val="24"/>
          </w:rPr>
          <w:fldChar w:fldCharType="end"/>
        </w:r>
      </w:hyperlink>
    </w:p>
    <w:p w14:paraId="4BB7A97F" w14:textId="6C96CBF6" w:rsidR="000F7A68" w:rsidRPr="000F7A68" w:rsidRDefault="00000000">
      <w:pPr>
        <w:pStyle w:val="TOC3"/>
        <w:tabs>
          <w:tab w:val="right" w:leader="dot" w:pos="9350"/>
        </w:tabs>
        <w:rPr>
          <w:rFonts w:asciiTheme="majorBidi" w:hAnsiTheme="majorBidi" w:cstheme="majorBidi"/>
          <w:noProof/>
          <w:kern w:val="2"/>
          <w:sz w:val="24"/>
          <w:szCs w:val="24"/>
          <w:lang w:bidi="he-IL"/>
          <w14:ligatures w14:val="standardContextual"/>
        </w:rPr>
      </w:pPr>
      <w:hyperlink w:anchor="_Toc169963050" w:history="1">
        <w:r w:rsidR="000F7A68" w:rsidRPr="000F7A68">
          <w:rPr>
            <w:rStyle w:val="Hyperlink"/>
            <w:rFonts w:asciiTheme="majorBidi" w:hAnsiTheme="majorBidi" w:cstheme="majorBidi"/>
            <w:noProof/>
            <w:sz w:val="24"/>
            <w:szCs w:val="24"/>
          </w:rPr>
          <w:t>De Monti II-verordening</w:t>
        </w:r>
        <w:r w:rsidR="000F7A68" w:rsidRPr="000F7A68">
          <w:rPr>
            <w:rFonts w:asciiTheme="majorBidi" w:hAnsiTheme="majorBidi" w:cstheme="majorBidi"/>
            <w:noProof/>
            <w:webHidden/>
            <w:sz w:val="24"/>
            <w:szCs w:val="24"/>
          </w:rPr>
          <w:tab/>
        </w:r>
        <w:r w:rsidR="000F7A68" w:rsidRPr="000F7A68">
          <w:rPr>
            <w:rFonts w:asciiTheme="majorBidi" w:hAnsiTheme="majorBidi" w:cstheme="majorBidi"/>
            <w:noProof/>
            <w:webHidden/>
            <w:sz w:val="24"/>
            <w:szCs w:val="24"/>
          </w:rPr>
          <w:fldChar w:fldCharType="begin"/>
        </w:r>
        <w:r w:rsidR="000F7A68" w:rsidRPr="000F7A68">
          <w:rPr>
            <w:rFonts w:asciiTheme="majorBidi" w:hAnsiTheme="majorBidi" w:cstheme="majorBidi"/>
            <w:noProof/>
            <w:webHidden/>
            <w:sz w:val="24"/>
            <w:szCs w:val="24"/>
          </w:rPr>
          <w:instrText xml:space="preserve"> PAGEREF _Toc169963050 \h </w:instrText>
        </w:r>
        <w:r w:rsidR="000F7A68" w:rsidRPr="000F7A68">
          <w:rPr>
            <w:rFonts w:asciiTheme="majorBidi" w:hAnsiTheme="majorBidi" w:cstheme="majorBidi"/>
            <w:noProof/>
            <w:webHidden/>
            <w:sz w:val="24"/>
            <w:szCs w:val="24"/>
          </w:rPr>
        </w:r>
        <w:r w:rsidR="000F7A68" w:rsidRPr="000F7A68">
          <w:rPr>
            <w:rFonts w:asciiTheme="majorBidi" w:hAnsiTheme="majorBidi" w:cstheme="majorBidi"/>
            <w:noProof/>
            <w:webHidden/>
            <w:sz w:val="24"/>
            <w:szCs w:val="24"/>
          </w:rPr>
          <w:fldChar w:fldCharType="separate"/>
        </w:r>
        <w:r w:rsidR="000F7A68" w:rsidRPr="000F7A68">
          <w:rPr>
            <w:rFonts w:asciiTheme="majorBidi" w:hAnsiTheme="majorBidi" w:cstheme="majorBidi"/>
            <w:noProof/>
            <w:webHidden/>
            <w:sz w:val="24"/>
            <w:szCs w:val="24"/>
          </w:rPr>
          <w:t>15</w:t>
        </w:r>
        <w:r w:rsidR="000F7A68" w:rsidRPr="000F7A68">
          <w:rPr>
            <w:rFonts w:asciiTheme="majorBidi" w:hAnsiTheme="majorBidi" w:cstheme="majorBidi"/>
            <w:noProof/>
            <w:webHidden/>
            <w:sz w:val="24"/>
            <w:szCs w:val="24"/>
          </w:rPr>
          <w:fldChar w:fldCharType="end"/>
        </w:r>
      </w:hyperlink>
    </w:p>
    <w:p w14:paraId="5FEE56B6" w14:textId="6FB8BA7F" w:rsidR="000F7A68" w:rsidRPr="000F7A68" w:rsidRDefault="00000000">
      <w:pPr>
        <w:pStyle w:val="TOC3"/>
        <w:tabs>
          <w:tab w:val="right" w:leader="dot" w:pos="9350"/>
        </w:tabs>
        <w:rPr>
          <w:rFonts w:asciiTheme="majorBidi" w:hAnsiTheme="majorBidi" w:cstheme="majorBidi"/>
          <w:noProof/>
          <w:kern w:val="2"/>
          <w:sz w:val="24"/>
          <w:szCs w:val="24"/>
          <w:lang w:bidi="he-IL"/>
          <w14:ligatures w14:val="standardContextual"/>
        </w:rPr>
      </w:pPr>
      <w:hyperlink w:anchor="_Toc169963051" w:history="1">
        <w:r w:rsidR="000F7A68" w:rsidRPr="000F7A68">
          <w:rPr>
            <w:rStyle w:val="Hyperlink"/>
            <w:rFonts w:asciiTheme="majorBidi" w:hAnsiTheme="majorBidi" w:cstheme="majorBidi"/>
            <w:noProof/>
            <w:sz w:val="24"/>
            <w:szCs w:val="24"/>
          </w:rPr>
          <w:t>De Europese Pijler van Sociale Rechten</w:t>
        </w:r>
        <w:r w:rsidR="000F7A68" w:rsidRPr="000F7A68">
          <w:rPr>
            <w:rFonts w:asciiTheme="majorBidi" w:hAnsiTheme="majorBidi" w:cstheme="majorBidi"/>
            <w:noProof/>
            <w:webHidden/>
            <w:sz w:val="24"/>
            <w:szCs w:val="24"/>
          </w:rPr>
          <w:tab/>
        </w:r>
        <w:r w:rsidR="000F7A68" w:rsidRPr="000F7A68">
          <w:rPr>
            <w:rFonts w:asciiTheme="majorBidi" w:hAnsiTheme="majorBidi" w:cstheme="majorBidi"/>
            <w:noProof/>
            <w:webHidden/>
            <w:sz w:val="24"/>
            <w:szCs w:val="24"/>
          </w:rPr>
          <w:fldChar w:fldCharType="begin"/>
        </w:r>
        <w:r w:rsidR="000F7A68" w:rsidRPr="000F7A68">
          <w:rPr>
            <w:rFonts w:asciiTheme="majorBidi" w:hAnsiTheme="majorBidi" w:cstheme="majorBidi"/>
            <w:noProof/>
            <w:webHidden/>
            <w:sz w:val="24"/>
            <w:szCs w:val="24"/>
          </w:rPr>
          <w:instrText xml:space="preserve"> PAGEREF _Toc169963051 \h </w:instrText>
        </w:r>
        <w:r w:rsidR="000F7A68" w:rsidRPr="000F7A68">
          <w:rPr>
            <w:rFonts w:asciiTheme="majorBidi" w:hAnsiTheme="majorBidi" w:cstheme="majorBidi"/>
            <w:noProof/>
            <w:webHidden/>
            <w:sz w:val="24"/>
            <w:szCs w:val="24"/>
          </w:rPr>
        </w:r>
        <w:r w:rsidR="000F7A68" w:rsidRPr="000F7A68">
          <w:rPr>
            <w:rFonts w:asciiTheme="majorBidi" w:hAnsiTheme="majorBidi" w:cstheme="majorBidi"/>
            <w:noProof/>
            <w:webHidden/>
            <w:sz w:val="24"/>
            <w:szCs w:val="24"/>
          </w:rPr>
          <w:fldChar w:fldCharType="separate"/>
        </w:r>
        <w:r w:rsidR="000F7A68" w:rsidRPr="000F7A68">
          <w:rPr>
            <w:rFonts w:asciiTheme="majorBidi" w:hAnsiTheme="majorBidi" w:cstheme="majorBidi"/>
            <w:noProof/>
            <w:webHidden/>
            <w:sz w:val="24"/>
            <w:szCs w:val="24"/>
          </w:rPr>
          <w:t>15</w:t>
        </w:r>
        <w:r w:rsidR="000F7A68" w:rsidRPr="000F7A68">
          <w:rPr>
            <w:rFonts w:asciiTheme="majorBidi" w:hAnsiTheme="majorBidi" w:cstheme="majorBidi"/>
            <w:noProof/>
            <w:webHidden/>
            <w:sz w:val="24"/>
            <w:szCs w:val="24"/>
          </w:rPr>
          <w:fldChar w:fldCharType="end"/>
        </w:r>
      </w:hyperlink>
    </w:p>
    <w:p w14:paraId="55815B55" w14:textId="70825A07" w:rsidR="000F7A68" w:rsidRPr="000F7A68" w:rsidRDefault="00000000">
      <w:pPr>
        <w:pStyle w:val="TOC3"/>
        <w:tabs>
          <w:tab w:val="right" w:leader="dot" w:pos="9350"/>
        </w:tabs>
        <w:rPr>
          <w:rFonts w:asciiTheme="majorBidi" w:hAnsiTheme="majorBidi" w:cstheme="majorBidi"/>
          <w:noProof/>
          <w:kern w:val="2"/>
          <w:sz w:val="24"/>
          <w:szCs w:val="24"/>
          <w:lang w:bidi="he-IL"/>
          <w14:ligatures w14:val="standardContextual"/>
        </w:rPr>
      </w:pPr>
      <w:hyperlink w:anchor="_Toc169963052" w:history="1">
        <w:r w:rsidR="000F7A68" w:rsidRPr="000F7A68">
          <w:rPr>
            <w:rStyle w:val="Hyperlink"/>
            <w:rFonts w:asciiTheme="majorBidi" w:hAnsiTheme="majorBidi" w:cstheme="majorBidi"/>
            <w:noProof/>
            <w:sz w:val="24"/>
            <w:szCs w:val="24"/>
          </w:rPr>
          <w:t>Herziening van de Detacheringsrichtlijn: artikel 1 lid 1bis</w:t>
        </w:r>
        <w:r w:rsidR="000F7A68" w:rsidRPr="000F7A68">
          <w:rPr>
            <w:rFonts w:asciiTheme="majorBidi" w:hAnsiTheme="majorBidi" w:cstheme="majorBidi"/>
            <w:noProof/>
            <w:webHidden/>
            <w:sz w:val="24"/>
            <w:szCs w:val="24"/>
          </w:rPr>
          <w:tab/>
        </w:r>
        <w:r w:rsidR="000F7A68" w:rsidRPr="000F7A68">
          <w:rPr>
            <w:rFonts w:asciiTheme="majorBidi" w:hAnsiTheme="majorBidi" w:cstheme="majorBidi"/>
            <w:noProof/>
            <w:webHidden/>
            <w:sz w:val="24"/>
            <w:szCs w:val="24"/>
          </w:rPr>
          <w:fldChar w:fldCharType="begin"/>
        </w:r>
        <w:r w:rsidR="000F7A68" w:rsidRPr="000F7A68">
          <w:rPr>
            <w:rFonts w:asciiTheme="majorBidi" w:hAnsiTheme="majorBidi" w:cstheme="majorBidi"/>
            <w:noProof/>
            <w:webHidden/>
            <w:sz w:val="24"/>
            <w:szCs w:val="24"/>
          </w:rPr>
          <w:instrText xml:space="preserve"> PAGEREF _Toc169963052 \h </w:instrText>
        </w:r>
        <w:r w:rsidR="000F7A68" w:rsidRPr="000F7A68">
          <w:rPr>
            <w:rFonts w:asciiTheme="majorBidi" w:hAnsiTheme="majorBidi" w:cstheme="majorBidi"/>
            <w:noProof/>
            <w:webHidden/>
            <w:sz w:val="24"/>
            <w:szCs w:val="24"/>
          </w:rPr>
        </w:r>
        <w:r w:rsidR="000F7A68" w:rsidRPr="000F7A68">
          <w:rPr>
            <w:rFonts w:asciiTheme="majorBidi" w:hAnsiTheme="majorBidi" w:cstheme="majorBidi"/>
            <w:noProof/>
            <w:webHidden/>
            <w:sz w:val="24"/>
            <w:szCs w:val="24"/>
          </w:rPr>
          <w:fldChar w:fldCharType="separate"/>
        </w:r>
        <w:r w:rsidR="000F7A68" w:rsidRPr="000F7A68">
          <w:rPr>
            <w:rFonts w:asciiTheme="majorBidi" w:hAnsiTheme="majorBidi" w:cstheme="majorBidi"/>
            <w:noProof/>
            <w:webHidden/>
            <w:sz w:val="24"/>
            <w:szCs w:val="24"/>
          </w:rPr>
          <w:t>15</w:t>
        </w:r>
        <w:r w:rsidR="000F7A68" w:rsidRPr="000F7A68">
          <w:rPr>
            <w:rFonts w:asciiTheme="majorBidi" w:hAnsiTheme="majorBidi" w:cstheme="majorBidi"/>
            <w:noProof/>
            <w:webHidden/>
            <w:sz w:val="24"/>
            <w:szCs w:val="24"/>
          </w:rPr>
          <w:fldChar w:fldCharType="end"/>
        </w:r>
      </w:hyperlink>
    </w:p>
    <w:p w14:paraId="5E99B633" w14:textId="762C9339" w:rsidR="000F7A68" w:rsidRPr="000F7A68" w:rsidRDefault="00000000">
      <w:pPr>
        <w:pStyle w:val="TOC2"/>
        <w:rPr>
          <w:rFonts w:asciiTheme="majorBidi" w:eastAsiaTheme="minorEastAsia" w:hAnsiTheme="majorBidi" w:cstheme="majorBidi"/>
          <w:b w:val="0"/>
          <w:bCs w:val="0"/>
          <w:kern w:val="2"/>
          <w:sz w:val="24"/>
          <w:szCs w:val="24"/>
          <w:lang w:eastAsia="nl-NL" w:bidi="he-IL"/>
          <w14:ligatures w14:val="standardContextual"/>
        </w:rPr>
      </w:pPr>
      <w:hyperlink w:anchor="_Toc169963053" w:history="1">
        <w:r w:rsidR="000F7A68" w:rsidRPr="000F7A68">
          <w:rPr>
            <w:rStyle w:val="Hyperlink"/>
            <w:rFonts w:asciiTheme="majorBidi" w:hAnsiTheme="majorBidi" w:cstheme="majorBidi"/>
            <w:sz w:val="24"/>
            <w:szCs w:val="24"/>
          </w:rPr>
          <w:t>2.4 Rechtspraak na Viking en Laval</w:t>
        </w:r>
        <w:r w:rsidR="000F7A68" w:rsidRPr="000F7A68">
          <w:rPr>
            <w:rFonts w:asciiTheme="majorBidi" w:hAnsiTheme="majorBidi" w:cstheme="majorBidi"/>
            <w:webHidden/>
            <w:sz w:val="24"/>
            <w:szCs w:val="24"/>
          </w:rPr>
          <w:tab/>
        </w:r>
        <w:r w:rsidR="000F7A68" w:rsidRPr="000F7A68">
          <w:rPr>
            <w:rFonts w:asciiTheme="majorBidi" w:hAnsiTheme="majorBidi" w:cstheme="majorBidi"/>
            <w:webHidden/>
            <w:sz w:val="24"/>
            <w:szCs w:val="24"/>
          </w:rPr>
          <w:fldChar w:fldCharType="begin"/>
        </w:r>
        <w:r w:rsidR="000F7A68" w:rsidRPr="000F7A68">
          <w:rPr>
            <w:rFonts w:asciiTheme="majorBidi" w:hAnsiTheme="majorBidi" w:cstheme="majorBidi"/>
            <w:webHidden/>
            <w:sz w:val="24"/>
            <w:szCs w:val="24"/>
          </w:rPr>
          <w:instrText xml:space="preserve"> PAGEREF _Toc169963053 \h </w:instrText>
        </w:r>
        <w:r w:rsidR="000F7A68" w:rsidRPr="000F7A68">
          <w:rPr>
            <w:rFonts w:asciiTheme="majorBidi" w:hAnsiTheme="majorBidi" w:cstheme="majorBidi"/>
            <w:webHidden/>
            <w:sz w:val="24"/>
            <w:szCs w:val="24"/>
          </w:rPr>
        </w:r>
        <w:r w:rsidR="000F7A68" w:rsidRPr="000F7A68">
          <w:rPr>
            <w:rFonts w:asciiTheme="majorBidi" w:hAnsiTheme="majorBidi" w:cstheme="majorBidi"/>
            <w:webHidden/>
            <w:sz w:val="24"/>
            <w:szCs w:val="24"/>
          </w:rPr>
          <w:fldChar w:fldCharType="separate"/>
        </w:r>
        <w:r w:rsidR="000F7A68" w:rsidRPr="000F7A68">
          <w:rPr>
            <w:rFonts w:asciiTheme="majorBidi" w:hAnsiTheme="majorBidi" w:cstheme="majorBidi"/>
            <w:webHidden/>
            <w:sz w:val="24"/>
            <w:szCs w:val="24"/>
          </w:rPr>
          <w:t>18</w:t>
        </w:r>
        <w:r w:rsidR="000F7A68" w:rsidRPr="000F7A68">
          <w:rPr>
            <w:rFonts w:asciiTheme="majorBidi" w:hAnsiTheme="majorBidi" w:cstheme="majorBidi"/>
            <w:webHidden/>
            <w:sz w:val="24"/>
            <w:szCs w:val="24"/>
          </w:rPr>
          <w:fldChar w:fldCharType="end"/>
        </w:r>
      </w:hyperlink>
    </w:p>
    <w:p w14:paraId="49EFB910" w14:textId="030E824F" w:rsidR="000F7A68" w:rsidRPr="000F7A68" w:rsidRDefault="00000000">
      <w:pPr>
        <w:pStyle w:val="TOC3"/>
        <w:tabs>
          <w:tab w:val="right" w:leader="dot" w:pos="9350"/>
        </w:tabs>
        <w:rPr>
          <w:rFonts w:asciiTheme="majorBidi" w:hAnsiTheme="majorBidi" w:cstheme="majorBidi"/>
          <w:noProof/>
          <w:kern w:val="2"/>
          <w:sz w:val="24"/>
          <w:szCs w:val="24"/>
          <w:lang w:bidi="he-IL"/>
          <w14:ligatures w14:val="standardContextual"/>
        </w:rPr>
      </w:pPr>
      <w:hyperlink w:anchor="_Toc169963054" w:history="1">
        <w:r w:rsidR="000F7A68" w:rsidRPr="000F7A68">
          <w:rPr>
            <w:rStyle w:val="Hyperlink"/>
            <w:rFonts w:asciiTheme="majorBidi" w:hAnsiTheme="majorBidi" w:cstheme="majorBidi"/>
            <w:noProof/>
            <w:sz w:val="24"/>
            <w:szCs w:val="24"/>
          </w:rPr>
          <w:t>Minder juridisch activisme</w:t>
        </w:r>
        <w:r w:rsidR="000F7A68" w:rsidRPr="000F7A68">
          <w:rPr>
            <w:rFonts w:asciiTheme="majorBidi" w:hAnsiTheme="majorBidi" w:cstheme="majorBidi"/>
            <w:noProof/>
            <w:webHidden/>
            <w:sz w:val="24"/>
            <w:szCs w:val="24"/>
          </w:rPr>
          <w:tab/>
        </w:r>
        <w:r w:rsidR="000F7A68" w:rsidRPr="000F7A68">
          <w:rPr>
            <w:rFonts w:asciiTheme="majorBidi" w:hAnsiTheme="majorBidi" w:cstheme="majorBidi"/>
            <w:noProof/>
            <w:webHidden/>
            <w:sz w:val="24"/>
            <w:szCs w:val="24"/>
          </w:rPr>
          <w:fldChar w:fldCharType="begin"/>
        </w:r>
        <w:r w:rsidR="000F7A68" w:rsidRPr="000F7A68">
          <w:rPr>
            <w:rFonts w:asciiTheme="majorBidi" w:hAnsiTheme="majorBidi" w:cstheme="majorBidi"/>
            <w:noProof/>
            <w:webHidden/>
            <w:sz w:val="24"/>
            <w:szCs w:val="24"/>
          </w:rPr>
          <w:instrText xml:space="preserve"> PAGEREF _Toc169963054 \h </w:instrText>
        </w:r>
        <w:r w:rsidR="000F7A68" w:rsidRPr="000F7A68">
          <w:rPr>
            <w:rFonts w:asciiTheme="majorBidi" w:hAnsiTheme="majorBidi" w:cstheme="majorBidi"/>
            <w:noProof/>
            <w:webHidden/>
            <w:sz w:val="24"/>
            <w:szCs w:val="24"/>
          </w:rPr>
        </w:r>
        <w:r w:rsidR="000F7A68" w:rsidRPr="000F7A68">
          <w:rPr>
            <w:rFonts w:asciiTheme="majorBidi" w:hAnsiTheme="majorBidi" w:cstheme="majorBidi"/>
            <w:noProof/>
            <w:webHidden/>
            <w:sz w:val="24"/>
            <w:szCs w:val="24"/>
          </w:rPr>
          <w:fldChar w:fldCharType="separate"/>
        </w:r>
        <w:r w:rsidR="000F7A68" w:rsidRPr="000F7A68">
          <w:rPr>
            <w:rFonts w:asciiTheme="majorBidi" w:hAnsiTheme="majorBidi" w:cstheme="majorBidi"/>
            <w:noProof/>
            <w:webHidden/>
            <w:sz w:val="24"/>
            <w:szCs w:val="24"/>
          </w:rPr>
          <w:t>18</w:t>
        </w:r>
        <w:r w:rsidR="000F7A68" w:rsidRPr="000F7A68">
          <w:rPr>
            <w:rFonts w:asciiTheme="majorBidi" w:hAnsiTheme="majorBidi" w:cstheme="majorBidi"/>
            <w:noProof/>
            <w:webHidden/>
            <w:sz w:val="24"/>
            <w:szCs w:val="24"/>
          </w:rPr>
          <w:fldChar w:fldCharType="end"/>
        </w:r>
      </w:hyperlink>
    </w:p>
    <w:p w14:paraId="0C9B824B" w14:textId="021B487D" w:rsidR="000F7A68" w:rsidRPr="000F7A68" w:rsidRDefault="00000000">
      <w:pPr>
        <w:pStyle w:val="TOC3"/>
        <w:tabs>
          <w:tab w:val="right" w:leader="dot" w:pos="9350"/>
        </w:tabs>
        <w:rPr>
          <w:rFonts w:asciiTheme="majorBidi" w:hAnsiTheme="majorBidi" w:cstheme="majorBidi"/>
          <w:noProof/>
          <w:kern w:val="2"/>
          <w:sz w:val="24"/>
          <w:szCs w:val="24"/>
          <w:lang w:bidi="he-IL"/>
          <w14:ligatures w14:val="standardContextual"/>
        </w:rPr>
      </w:pPr>
      <w:hyperlink w:anchor="_Toc169963055" w:history="1">
        <w:r w:rsidR="000F7A68" w:rsidRPr="000F7A68">
          <w:rPr>
            <w:rStyle w:val="Hyperlink"/>
            <w:rFonts w:asciiTheme="majorBidi" w:hAnsiTheme="majorBidi" w:cstheme="majorBidi"/>
            <w:noProof/>
            <w:sz w:val="24"/>
            <w:szCs w:val="24"/>
          </w:rPr>
          <w:t>Rechtstreekse werking van artikel 28 Hv</w:t>
        </w:r>
        <w:r w:rsidR="000F7A68" w:rsidRPr="000F7A68">
          <w:rPr>
            <w:rFonts w:asciiTheme="majorBidi" w:hAnsiTheme="majorBidi" w:cstheme="majorBidi"/>
            <w:noProof/>
            <w:webHidden/>
            <w:sz w:val="24"/>
            <w:szCs w:val="24"/>
          </w:rPr>
          <w:tab/>
        </w:r>
        <w:r w:rsidR="000F7A68" w:rsidRPr="000F7A68">
          <w:rPr>
            <w:rFonts w:asciiTheme="majorBidi" w:hAnsiTheme="majorBidi" w:cstheme="majorBidi"/>
            <w:noProof/>
            <w:webHidden/>
            <w:sz w:val="24"/>
            <w:szCs w:val="24"/>
          </w:rPr>
          <w:fldChar w:fldCharType="begin"/>
        </w:r>
        <w:r w:rsidR="000F7A68" w:rsidRPr="000F7A68">
          <w:rPr>
            <w:rFonts w:asciiTheme="majorBidi" w:hAnsiTheme="majorBidi" w:cstheme="majorBidi"/>
            <w:noProof/>
            <w:webHidden/>
            <w:sz w:val="24"/>
            <w:szCs w:val="24"/>
          </w:rPr>
          <w:instrText xml:space="preserve"> PAGEREF _Toc169963055 \h </w:instrText>
        </w:r>
        <w:r w:rsidR="000F7A68" w:rsidRPr="000F7A68">
          <w:rPr>
            <w:rFonts w:asciiTheme="majorBidi" w:hAnsiTheme="majorBidi" w:cstheme="majorBidi"/>
            <w:noProof/>
            <w:webHidden/>
            <w:sz w:val="24"/>
            <w:szCs w:val="24"/>
          </w:rPr>
        </w:r>
        <w:r w:rsidR="000F7A68" w:rsidRPr="000F7A68">
          <w:rPr>
            <w:rFonts w:asciiTheme="majorBidi" w:hAnsiTheme="majorBidi" w:cstheme="majorBidi"/>
            <w:noProof/>
            <w:webHidden/>
            <w:sz w:val="24"/>
            <w:szCs w:val="24"/>
          </w:rPr>
          <w:fldChar w:fldCharType="separate"/>
        </w:r>
        <w:r w:rsidR="000F7A68" w:rsidRPr="000F7A68">
          <w:rPr>
            <w:rFonts w:asciiTheme="majorBidi" w:hAnsiTheme="majorBidi" w:cstheme="majorBidi"/>
            <w:noProof/>
            <w:webHidden/>
            <w:sz w:val="24"/>
            <w:szCs w:val="24"/>
          </w:rPr>
          <w:t>19</w:t>
        </w:r>
        <w:r w:rsidR="000F7A68" w:rsidRPr="000F7A68">
          <w:rPr>
            <w:rFonts w:asciiTheme="majorBidi" w:hAnsiTheme="majorBidi" w:cstheme="majorBidi"/>
            <w:noProof/>
            <w:webHidden/>
            <w:sz w:val="24"/>
            <w:szCs w:val="24"/>
          </w:rPr>
          <w:fldChar w:fldCharType="end"/>
        </w:r>
      </w:hyperlink>
    </w:p>
    <w:p w14:paraId="44E224CD" w14:textId="7C52EFAE" w:rsidR="000F7A68" w:rsidRPr="000F7A68" w:rsidRDefault="00000000">
      <w:pPr>
        <w:pStyle w:val="TOC3"/>
        <w:tabs>
          <w:tab w:val="right" w:leader="dot" w:pos="9350"/>
        </w:tabs>
        <w:rPr>
          <w:rFonts w:asciiTheme="majorBidi" w:hAnsiTheme="majorBidi" w:cstheme="majorBidi"/>
          <w:noProof/>
          <w:kern w:val="2"/>
          <w:sz w:val="24"/>
          <w:szCs w:val="24"/>
          <w:lang w:bidi="he-IL"/>
          <w14:ligatures w14:val="standardContextual"/>
        </w:rPr>
      </w:pPr>
      <w:hyperlink w:anchor="_Toc169963056" w:history="1">
        <w:r w:rsidR="000F7A68" w:rsidRPr="000F7A68">
          <w:rPr>
            <w:rStyle w:val="Hyperlink"/>
            <w:rFonts w:asciiTheme="majorBidi" w:hAnsiTheme="majorBidi" w:cstheme="majorBidi"/>
            <w:noProof/>
            <w:sz w:val="24"/>
            <w:szCs w:val="24"/>
          </w:rPr>
          <w:t>Het stakings- en consumentenrecht tegenover de vrijheid van ondernemerschap</w:t>
        </w:r>
        <w:r w:rsidR="000F7A68" w:rsidRPr="000F7A68">
          <w:rPr>
            <w:rFonts w:asciiTheme="majorBidi" w:hAnsiTheme="majorBidi" w:cstheme="majorBidi"/>
            <w:noProof/>
            <w:webHidden/>
            <w:sz w:val="24"/>
            <w:szCs w:val="24"/>
          </w:rPr>
          <w:tab/>
        </w:r>
        <w:r w:rsidR="000F7A68" w:rsidRPr="000F7A68">
          <w:rPr>
            <w:rFonts w:asciiTheme="majorBidi" w:hAnsiTheme="majorBidi" w:cstheme="majorBidi"/>
            <w:noProof/>
            <w:webHidden/>
            <w:sz w:val="24"/>
            <w:szCs w:val="24"/>
          </w:rPr>
          <w:fldChar w:fldCharType="begin"/>
        </w:r>
        <w:r w:rsidR="000F7A68" w:rsidRPr="000F7A68">
          <w:rPr>
            <w:rFonts w:asciiTheme="majorBidi" w:hAnsiTheme="majorBidi" w:cstheme="majorBidi"/>
            <w:noProof/>
            <w:webHidden/>
            <w:sz w:val="24"/>
            <w:szCs w:val="24"/>
          </w:rPr>
          <w:instrText xml:space="preserve"> PAGEREF _Toc169963056 \h </w:instrText>
        </w:r>
        <w:r w:rsidR="000F7A68" w:rsidRPr="000F7A68">
          <w:rPr>
            <w:rFonts w:asciiTheme="majorBidi" w:hAnsiTheme="majorBidi" w:cstheme="majorBidi"/>
            <w:noProof/>
            <w:webHidden/>
            <w:sz w:val="24"/>
            <w:szCs w:val="24"/>
          </w:rPr>
        </w:r>
        <w:r w:rsidR="000F7A68" w:rsidRPr="000F7A68">
          <w:rPr>
            <w:rFonts w:asciiTheme="majorBidi" w:hAnsiTheme="majorBidi" w:cstheme="majorBidi"/>
            <w:noProof/>
            <w:webHidden/>
            <w:sz w:val="24"/>
            <w:szCs w:val="24"/>
          </w:rPr>
          <w:fldChar w:fldCharType="separate"/>
        </w:r>
        <w:r w:rsidR="000F7A68" w:rsidRPr="000F7A68">
          <w:rPr>
            <w:rFonts w:asciiTheme="majorBidi" w:hAnsiTheme="majorBidi" w:cstheme="majorBidi"/>
            <w:noProof/>
            <w:webHidden/>
            <w:sz w:val="24"/>
            <w:szCs w:val="24"/>
          </w:rPr>
          <w:t>20</w:t>
        </w:r>
        <w:r w:rsidR="000F7A68" w:rsidRPr="000F7A68">
          <w:rPr>
            <w:rFonts w:asciiTheme="majorBidi" w:hAnsiTheme="majorBidi" w:cstheme="majorBidi"/>
            <w:noProof/>
            <w:webHidden/>
            <w:sz w:val="24"/>
            <w:szCs w:val="24"/>
          </w:rPr>
          <w:fldChar w:fldCharType="end"/>
        </w:r>
      </w:hyperlink>
    </w:p>
    <w:p w14:paraId="32AAB719" w14:textId="5BF1349D" w:rsidR="000F7A68" w:rsidRPr="000F7A68" w:rsidRDefault="00000000">
      <w:pPr>
        <w:pStyle w:val="TOC2"/>
        <w:rPr>
          <w:rFonts w:asciiTheme="majorBidi" w:eastAsiaTheme="minorEastAsia" w:hAnsiTheme="majorBidi" w:cstheme="majorBidi"/>
          <w:b w:val="0"/>
          <w:bCs w:val="0"/>
          <w:kern w:val="2"/>
          <w:sz w:val="24"/>
          <w:szCs w:val="24"/>
          <w:lang w:eastAsia="nl-NL" w:bidi="he-IL"/>
          <w14:ligatures w14:val="standardContextual"/>
        </w:rPr>
      </w:pPr>
      <w:hyperlink w:anchor="_Toc169963057" w:history="1">
        <w:r w:rsidR="000F7A68" w:rsidRPr="000F7A68">
          <w:rPr>
            <w:rStyle w:val="Hyperlink"/>
            <w:rFonts w:asciiTheme="majorBidi" w:hAnsiTheme="majorBidi" w:cstheme="majorBidi"/>
            <w:sz w:val="24"/>
            <w:szCs w:val="24"/>
          </w:rPr>
          <w:t>2.5 Afronding</w:t>
        </w:r>
        <w:r w:rsidR="000F7A68" w:rsidRPr="000F7A68">
          <w:rPr>
            <w:rFonts w:asciiTheme="majorBidi" w:hAnsiTheme="majorBidi" w:cstheme="majorBidi"/>
            <w:webHidden/>
            <w:sz w:val="24"/>
            <w:szCs w:val="24"/>
          </w:rPr>
          <w:tab/>
        </w:r>
        <w:r w:rsidR="000F7A68" w:rsidRPr="000F7A68">
          <w:rPr>
            <w:rFonts w:asciiTheme="majorBidi" w:hAnsiTheme="majorBidi" w:cstheme="majorBidi"/>
            <w:webHidden/>
            <w:sz w:val="24"/>
            <w:szCs w:val="24"/>
          </w:rPr>
          <w:fldChar w:fldCharType="begin"/>
        </w:r>
        <w:r w:rsidR="000F7A68" w:rsidRPr="000F7A68">
          <w:rPr>
            <w:rFonts w:asciiTheme="majorBidi" w:hAnsiTheme="majorBidi" w:cstheme="majorBidi"/>
            <w:webHidden/>
            <w:sz w:val="24"/>
            <w:szCs w:val="24"/>
          </w:rPr>
          <w:instrText xml:space="preserve"> PAGEREF _Toc169963057 \h </w:instrText>
        </w:r>
        <w:r w:rsidR="000F7A68" w:rsidRPr="000F7A68">
          <w:rPr>
            <w:rFonts w:asciiTheme="majorBidi" w:hAnsiTheme="majorBidi" w:cstheme="majorBidi"/>
            <w:webHidden/>
            <w:sz w:val="24"/>
            <w:szCs w:val="24"/>
          </w:rPr>
        </w:r>
        <w:r w:rsidR="000F7A68" w:rsidRPr="000F7A68">
          <w:rPr>
            <w:rFonts w:asciiTheme="majorBidi" w:hAnsiTheme="majorBidi" w:cstheme="majorBidi"/>
            <w:webHidden/>
            <w:sz w:val="24"/>
            <w:szCs w:val="24"/>
          </w:rPr>
          <w:fldChar w:fldCharType="separate"/>
        </w:r>
        <w:r w:rsidR="000F7A68" w:rsidRPr="000F7A68">
          <w:rPr>
            <w:rFonts w:asciiTheme="majorBidi" w:hAnsiTheme="majorBidi" w:cstheme="majorBidi"/>
            <w:webHidden/>
            <w:sz w:val="24"/>
            <w:szCs w:val="24"/>
          </w:rPr>
          <w:t>22</w:t>
        </w:r>
        <w:r w:rsidR="000F7A68" w:rsidRPr="000F7A68">
          <w:rPr>
            <w:rFonts w:asciiTheme="majorBidi" w:hAnsiTheme="majorBidi" w:cstheme="majorBidi"/>
            <w:webHidden/>
            <w:sz w:val="24"/>
            <w:szCs w:val="24"/>
          </w:rPr>
          <w:fldChar w:fldCharType="end"/>
        </w:r>
      </w:hyperlink>
    </w:p>
    <w:p w14:paraId="5A3EFFC4" w14:textId="5B7CEE12" w:rsidR="000F7A68" w:rsidRPr="000F7A68" w:rsidRDefault="00000000">
      <w:pPr>
        <w:pStyle w:val="TOC1"/>
        <w:tabs>
          <w:tab w:val="right" w:leader="dot" w:pos="9350"/>
        </w:tabs>
        <w:rPr>
          <w:rFonts w:asciiTheme="majorBidi" w:eastAsiaTheme="minorEastAsia" w:hAnsiTheme="majorBidi" w:cstheme="majorBidi"/>
          <w:noProof/>
          <w:kern w:val="2"/>
          <w:sz w:val="24"/>
          <w:szCs w:val="24"/>
          <w:lang w:eastAsia="nl-NL" w:bidi="he-IL"/>
          <w14:ligatures w14:val="standardContextual"/>
        </w:rPr>
      </w:pPr>
      <w:hyperlink w:anchor="_Toc169963058" w:history="1">
        <w:r w:rsidR="000F7A68" w:rsidRPr="000F7A68">
          <w:rPr>
            <w:rStyle w:val="Hyperlink"/>
            <w:rFonts w:asciiTheme="majorBidi" w:hAnsiTheme="majorBidi" w:cstheme="majorBidi"/>
            <w:noProof/>
            <w:sz w:val="24"/>
            <w:szCs w:val="24"/>
          </w:rPr>
          <w:t>Hoofdstuk 3. Het stakingsrecht in de internationale rechtsorde</w:t>
        </w:r>
        <w:r w:rsidR="000F7A68" w:rsidRPr="000F7A68">
          <w:rPr>
            <w:rFonts w:asciiTheme="majorBidi" w:hAnsiTheme="majorBidi" w:cstheme="majorBidi"/>
            <w:noProof/>
            <w:webHidden/>
            <w:sz w:val="24"/>
            <w:szCs w:val="24"/>
          </w:rPr>
          <w:tab/>
        </w:r>
        <w:r w:rsidR="000F7A68" w:rsidRPr="000F7A68">
          <w:rPr>
            <w:rFonts w:asciiTheme="majorBidi" w:hAnsiTheme="majorBidi" w:cstheme="majorBidi"/>
            <w:noProof/>
            <w:webHidden/>
            <w:sz w:val="24"/>
            <w:szCs w:val="24"/>
          </w:rPr>
          <w:fldChar w:fldCharType="begin"/>
        </w:r>
        <w:r w:rsidR="000F7A68" w:rsidRPr="000F7A68">
          <w:rPr>
            <w:rFonts w:asciiTheme="majorBidi" w:hAnsiTheme="majorBidi" w:cstheme="majorBidi"/>
            <w:noProof/>
            <w:webHidden/>
            <w:sz w:val="24"/>
            <w:szCs w:val="24"/>
          </w:rPr>
          <w:instrText xml:space="preserve"> PAGEREF _Toc169963058 \h </w:instrText>
        </w:r>
        <w:r w:rsidR="000F7A68" w:rsidRPr="000F7A68">
          <w:rPr>
            <w:rFonts w:asciiTheme="majorBidi" w:hAnsiTheme="majorBidi" w:cstheme="majorBidi"/>
            <w:noProof/>
            <w:webHidden/>
            <w:sz w:val="24"/>
            <w:szCs w:val="24"/>
          </w:rPr>
        </w:r>
        <w:r w:rsidR="000F7A68" w:rsidRPr="000F7A68">
          <w:rPr>
            <w:rFonts w:asciiTheme="majorBidi" w:hAnsiTheme="majorBidi" w:cstheme="majorBidi"/>
            <w:noProof/>
            <w:webHidden/>
            <w:sz w:val="24"/>
            <w:szCs w:val="24"/>
          </w:rPr>
          <w:fldChar w:fldCharType="separate"/>
        </w:r>
        <w:r w:rsidR="000F7A68" w:rsidRPr="000F7A68">
          <w:rPr>
            <w:rFonts w:asciiTheme="majorBidi" w:hAnsiTheme="majorBidi" w:cstheme="majorBidi"/>
            <w:noProof/>
            <w:webHidden/>
            <w:sz w:val="24"/>
            <w:szCs w:val="24"/>
          </w:rPr>
          <w:t>24</w:t>
        </w:r>
        <w:r w:rsidR="000F7A68" w:rsidRPr="000F7A68">
          <w:rPr>
            <w:rFonts w:asciiTheme="majorBidi" w:hAnsiTheme="majorBidi" w:cstheme="majorBidi"/>
            <w:noProof/>
            <w:webHidden/>
            <w:sz w:val="24"/>
            <w:szCs w:val="24"/>
          </w:rPr>
          <w:fldChar w:fldCharType="end"/>
        </w:r>
      </w:hyperlink>
    </w:p>
    <w:p w14:paraId="3DE6D932" w14:textId="55FA6771" w:rsidR="000F7A68" w:rsidRPr="000F7A68" w:rsidRDefault="00000000">
      <w:pPr>
        <w:pStyle w:val="TOC2"/>
        <w:rPr>
          <w:rFonts w:asciiTheme="majorBidi" w:eastAsiaTheme="minorEastAsia" w:hAnsiTheme="majorBidi" w:cstheme="majorBidi"/>
          <w:b w:val="0"/>
          <w:bCs w:val="0"/>
          <w:kern w:val="2"/>
          <w:sz w:val="24"/>
          <w:szCs w:val="24"/>
          <w:lang w:eastAsia="nl-NL" w:bidi="he-IL"/>
          <w14:ligatures w14:val="standardContextual"/>
        </w:rPr>
      </w:pPr>
      <w:hyperlink w:anchor="_Toc169963059" w:history="1">
        <w:r w:rsidR="000F7A68" w:rsidRPr="000F7A68">
          <w:rPr>
            <w:rStyle w:val="Hyperlink"/>
            <w:rFonts w:asciiTheme="majorBidi" w:hAnsiTheme="majorBidi" w:cstheme="majorBidi"/>
            <w:sz w:val="24"/>
            <w:szCs w:val="24"/>
          </w:rPr>
          <w:t>3.1 Inhoud</w:t>
        </w:r>
        <w:r w:rsidR="000F7A68" w:rsidRPr="000F7A68">
          <w:rPr>
            <w:rFonts w:asciiTheme="majorBidi" w:hAnsiTheme="majorBidi" w:cstheme="majorBidi"/>
            <w:webHidden/>
            <w:sz w:val="24"/>
            <w:szCs w:val="24"/>
          </w:rPr>
          <w:tab/>
        </w:r>
        <w:r w:rsidR="000F7A68" w:rsidRPr="000F7A68">
          <w:rPr>
            <w:rFonts w:asciiTheme="majorBidi" w:hAnsiTheme="majorBidi" w:cstheme="majorBidi"/>
            <w:webHidden/>
            <w:sz w:val="24"/>
            <w:szCs w:val="24"/>
          </w:rPr>
          <w:fldChar w:fldCharType="begin"/>
        </w:r>
        <w:r w:rsidR="000F7A68" w:rsidRPr="000F7A68">
          <w:rPr>
            <w:rFonts w:asciiTheme="majorBidi" w:hAnsiTheme="majorBidi" w:cstheme="majorBidi"/>
            <w:webHidden/>
            <w:sz w:val="24"/>
            <w:szCs w:val="24"/>
          </w:rPr>
          <w:instrText xml:space="preserve"> PAGEREF _Toc169963059 \h </w:instrText>
        </w:r>
        <w:r w:rsidR="000F7A68" w:rsidRPr="000F7A68">
          <w:rPr>
            <w:rFonts w:asciiTheme="majorBidi" w:hAnsiTheme="majorBidi" w:cstheme="majorBidi"/>
            <w:webHidden/>
            <w:sz w:val="24"/>
            <w:szCs w:val="24"/>
          </w:rPr>
        </w:r>
        <w:r w:rsidR="000F7A68" w:rsidRPr="000F7A68">
          <w:rPr>
            <w:rFonts w:asciiTheme="majorBidi" w:hAnsiTheme="majorBidi" w:cstheme="majorBidi"/>
            <w:webHidden/>
            <w:sz w:val="24"/>
            <w:szCs w:val="24"/>
          </w:rPr>
          <w:fldChar w:fldCharType="separate"/>
        </w:r>
        <w:r w:rsidR="000F7A68" w:rsidRPr="000F7A68">
          <w:rPr>
            <w:rFonts w:asciiTheme="majorBidi" w:hAnsiTheme="majorBidi" w:cstheme="majorBidi"/>
            <w:webHidden/>
            <w:sz w:val="24"/>
            <w:szCs w:val="24"/>
          </w:rPr>
          <w:t>24</w:t>
        </w:r>
        <w:r w:rsidR="000F7A68" w:rsidRPr="000F7A68">
          <w:rPr>
            <w:rFonts w:asciiTheme="majorBidi" w:hAnsiTheme="majorBidi" w:cstheme="majorBidi"/>
            <w:webHidden/>
            <w:sz w:val="24"/>
            <w:szCs w:val="24"/>
          </w:rPr>
          <w:fldChar w:fldCharType="end"/>
        </w:r>
      </w:hyperlink>
    </w:p>
    <w:p w14:paraId="5C272895" w14:textId="58205EE1" w:rsidR="000F7A68" w:rsidRPr="000F7A68" w:rsidRDefault="00000000">
      <w:pPr>
        <w:pStyle w:val="TOC2"/>
        <w:rPr>
          <w:rFonts w:asciiTheme="majorBidi" w:eastAsiaTheme="minorEastAsia" w:hAnsiTheme="majorBidi" w:cstheme="majorBidi"/>
          <w:b w:val="0"/>
          <w:bCs w:val="0"/>
          <w:kern w:val="2"/>
          <w:sz w:val="24"/>
          <w:szCs w:val="24"/>
          <w:lang w:eastAsia="nl-NL" w:bidi="he-IL"/>
          <w14:ligatures w14:val="standardContextual"/>
        </w:rPr>
      </w:pPr>
      <w:hyperlink w:anchor="_Toc169963060" w:history="1">
        <w:r w:rsidR="000F7A68" w:rsidRPr="000F7A68">
          <w:rPr>
            <w:rStyle w:val="Hyperlink"/>
            <w:rFonts w:asciiTheme="majorBidi" w:hAnsiTheme="majorBidi" w:cstheme="majorBidi"/>
            <w:sz w:val="24"/>
            <w:szCs w:val="24"/>
          </w:rPr>
          <w:t>3.2 Verschillende grondrechtenstelsels vergeleken: EVRM, ESH en ILO-Verdrag 87</w:t>
        </w:r>
        <w:r w:rsidR="000F7A68" w:rsidRPr="000F7A68">
          <w:rPr>
            <w:rFonts w:asciiTheme="majorBidi" w:hAnsiTheme="majorBidi" w:cstheme="majorBidi"/>
            <w:webHidden/>
            <w:sz w:val="24"/>
            <w:szCs w:val="24"/>
          </w:rPr>
          <w:tab/>
        </w:r>
        <w:r w:rsidR="000F7A68" w:rsidRPr="000F7A68">
          <w:rPr>
            <w:rFonts w:asciiTheme="majorBidi" w:hAnsiTheme="majorBidi" w:cstheme="majorBidi"/>
            <w:webHidden/>
            <w:sz w:val="24"/>
            <w:szCs w:val="24"/>
          </w:rPr>
          <w:fldChar w:fldCharType="begin"/>
        </w:r>
        <w:r w:rsidR="000F7A68" w:rsidRPr="000F7A68">
          <w:rPr>
            <w:rFonts w:asciiTheme="majorBidi" w:hAnsiTheme="majorBidi" w:cstheme="majorBidi"/>
            <w:webHidden/>
            <w:sz w:val="24"/>
            <w:szCs w:val="24"/>
          </w:rPr>
          <w:instrText xml:space="preserve"> PAGEREF _Toc169963060 \h </w:instrText>
        </w:r>
        <w:r w:rsidR="000F7A68" w:rsidRPr="000F7A68">
          <w:rPr>
            <w:rFonts w:asciiTheme="majorBidi" w:hAnsiTheme="majorBidi" w:cstheme="majorBidi"/>
            <w:webHidden/>
            <w:sz w:val="24"/>
            <w:szCs w:val="24"/>
          </w:rPr>
        </w:r>
        <w:r w:rsidR="000F7A68" w:rsidRPr="000F7A68">
          <w:rPr>
            <w:rFonts w:asciiTheme="majorBidi" w:hAnsiTheme="majorBidi" w:cstheme="majorBidi"/>
            <w:webHidden/>
            <w:sz w:val="24"/>
            <w:szCs w:val="24"/>
          </w:rPr>
          <w:fldChar w:fldCharType="separate"/>
        </w:r>
        <w:r w:rsidR="000F7A68" w:rsidRPr="000F7A68">
          <w:rPr>
            <w:rFonts w:asciiTheme="majorBidi" w:hAnsiTheme="majorBidi" w:cstheme="majorBidi"/>
            <w:webHidden/>
            <w:sz w:val="24"/>
            <w:szCs w:val="24"/>
          </w:rPr>
          <w:t>24</w:t>
        </w:r>
        <w:r w:rsidR="000F7A68" w:rsidRPr="000F7A68">
          <w:rPr>
            <w:rFonts w:asciiTheme="majorBidi" w:hAnsiTheme="majorBidi" w:cstheme="majorBidi"/>
            <w:webHidden/>
            <w:sz w:val="24"/>
            <w:szCs w:val="24"/>
          </w:rPr>
          <w:fldChar w:fldCharType="end"/>
        </w:r>
      </w:hyperlink>
    </w:p>
    <w:p w14:paraId="654CB8AA" w14:textId="6EFBCB71" w:rsidR="000F7A68" w:rsidRPr="000F7A68" w:rsidRDefault="00000000">
      <w:pPr>
        <w:pStyle w:val="TOC3"/>
        <w:tabs>
          <w:tab w:val="right" w:leader="dot" w:pos="9350"/>
        </w:tabs>
        <w:rPr>
          <w:rFonts w:asciiTheme="majorBidi" w:hAnsiTheme="majorBidi" w:cstheme="majorBidi"/>
          <w:noProof/>
          <w:kern w:val="2"/>
          <w:sz w:val="24"/>
          <w:szCs w:val="24"/>
          <w:lang w:bidi="he-IL"/>
          <w14:ligatures w14:val="standardContextual"/>
        </w:rPr>
      </w:pPr>
      <w:hyperlink w:anchor="_Toc169963061" w:history="1">
        <w:r w:rsidR="000F7A68" w:rsidRPr="000F7A68">
          <w:rPr>
            <w:rStyle w:val="Hyperlink"/>
            <w:rFonts w:asciiTheme="majorBidi" w:hAnsiTheme="majorBidi" w:cstheme="majorBidi"/>
            <w:noProof/>
            <w:sz w:val="24"/>
            <w:szCs w:val="24"/>
          </w:rPr>
          <w:t>Handhaving van EVRM-, ESH- en ILO-grondrechten</w:t>
        </w:r>
        <w:r w:rsidR="000F7A68" w:rsidRPr="000F7A68">
          <w:rPr>
            <w:rFonts w:asciiTheme="majorBidi" w:hAnsiTheme="majorBidi" w:cstheme="majorBidi"/>
            <w:noProof/>
            <w:webHidden/>
            <w:sz w:val="24"/>
            <w:szCs w:val="24"/>
          </w:rPr>
          <w:tab/>
        </w:r>
        <w:r w:rsidR="000F7A68" w:rsidRPr="000F7A68">
          <w:rPr>
            <w:rFonts w:asciiTheme="majorBidi" w:hAnsiTheme="majorBidi" w:cstheme="majorBidi"/>
            <w:noProof/>
            <w:webHidden/>
            <w:sz w:val="24"/>
            <w:szCs w:val="24"/>
          </w:rPr>
          <w:fldChar w:fldCharType="begin"/>
        </w:r>
        <w:r w:rsidR="000F7A68" w:rsidRPr="000F7A68">
          <w:rPr>
            <w:rFonts w:asciiTheme="majorBidi" w:hAnsiTheme="majorBidi" w:cstheme="majorBidi"/>
            <w:noProof/>
            <w:webHidden/>
            <w:sz w:val="24"/>
            <w:szCs w:val="24"/>
          </w:rPr>
          <w:instrText xml:space="preserve"> PAGEREF _Toc169963061 \h </w:instrText>
        </w:r>
        <w:r w:rsidR="000F7A68" w:rsidRPr="000F7A68">
          <w:rPr>
            <w:rFonts w:asciiTheme="majorBidi" w:hAnsiTheme="majorBidi" w:cstheme="majorBidi"/>
            <w:noProof/>
            <w:webHidden/>
            <w:sz w:val="24"/>
            <w:szCs w:val="24"/>
          </w:rPr>
        </w:r>
        <w:r w:rsidR="000F7A68" w:rsidRPr="000F7A68">
          <w:rPr>
            <w:rFonts w:asciiTheme="majorBidi" w:hAnsiTheme="majorBidi" w:cstheme="majorBidi"/>
            <w:noProof/>
            <w:webHidden/>
            <w:sz w:val="24"/>
            <w:szCs w:val="24"/>
          </w:rPr>
          <w:fldChar w:fldCharType="separate"/>
        </w:r>
        <w:r w:rsidR="000F7A68" w:rsidRPr="000F7A68">
          <w:rPr>
            <w:rFonts w:asciiTheme="majorBidi" w:hAnsiTheme="majorBidi" w:cstheme="majorBidi"/>
            <w:noProof/>
            <w:webHidden/>
            <w:sz w:val="24"/>
            <w:szCs w:val="24"/>
          </w:rPr>
          <w:t>24</w:t>
        </w:r>
        <w:r w:rsidR="000F7A68" w:rsidRPr="000F7A68">
          <w:rPr>
            <w:rFonts w:asciiTheme="majorBidi" w:hAnsiTheme="majorBidi" w:cstheme="majorBidi"/>
            <w:noProof/>
            <w:webHidden/>
            <w:sz w:val="24"/>
            <w:szCs w:val="24"/>
          </w:rPr>
          <w:fldChar w:fldCharType="end"/>
        </w:r>
      </w:hyperlink>
    </w:p>
    <w:p w14:paraId="4B55381C" w14:textId="77DAB22C" w:rsidR="000F7A68" w:rsidRPr="000F7A68" w:rsidRDefault="00000000">
      <w:pPr>
        <w:pStyle w:val="TOC3"/>
        <w:tabs>
          <w:tab w:val="right" w:leader="dot" w:pos="9350"/>
        </w:tabs>
        <w:rPr>
          <w:rFonts w:asciiTheme="majorBidi" w:hAnsiTheme="majorBidi" w:cstheme="majorBidi"/>
          <w:noProof/>
          <w:kern w:val="2"/>
          <w:sz w:val="24"/>
          <w:szCs w:val="24"/>
          <w:lang w:bidi="he-IL"/>
          <w14:ligatures w14:val="standardContextual"/>
        </w:rPr>
      </w:pPr>
      <w:hyperlink w:anchor="_Toc169963062" w:history="1">
        <w:r w:rsidR="000F7A68" w:rsidRPr="000F7A68">
          <w:rPr>
            <w:rStyle w:val="Hyperlink"/>
            <w:rFonts w:asciiTheme="majorBidi" w:hAnsiTheme="majorBidi" w:cstheme="majorBidi"/>
            <w:noProof/>
            <w:sz w:val="24"/>
            <w:szCs w:val="24"/>
          </w:rPr>
          <w:t>Het stakingsrecht onder de verschillende stelsels</w:t>
        </w:r>
        <w:r w:rsidR="000F7A68" w:rsidRPr="000F7A68">
          <w:rPr>
            <w:rFonts w:asciiTheme="majorBidi" w:hAnsiTheme="majorBidi" w:cstheme="majorBidi"/>
            <w:noProof/>
            <w:webHidden/>
            <w:sz w:val="24"/>
            <w:szCs w:val="24"/>
          </w:rPr>
          <w:tab/>
        </w:r>
        <w:r w:rsidR="000F7A68" w:rsidRPr="000F7A68">
          <w:rPr>
            <w:rFonts w:asciiTheme="majorBidi" w:hAnsiTheme="majorBidi" w:cstheme="majorBidi"/>
            <w:noProof/>
            <w:webHidden/>
            <w:sz w:val="24"/>
            <w:szCs w:val="24"/>
          </w:rPr>
          <w:fldChar w:fldCharType="begin"/>
        </w:r>
        <w:r w:rsidR="000F7A68" w:rsidRPr="000F7A68">
          <w:rPr>
            <w:rFonts w:asciiTheme="majorBidi" w:hAnsiTheme="majorBidi" w:cstheme="majorBidi"/>
            <w:noProof/>
            <w:webHidden/>
            <w:sz w:val="24"/>
            <w:szCs w:val="24"/>
          </w:rPr>
          <w:instrText xml:space="preserve"> PAGEREF _Toc169963062 \h </w:instrText>
        </w:r>
        <w:r w:rsidR="000F7A68" w:rsidRPr="000F7A68">
          <w:rPr>
            <w:rFonts w:asciiTheme="majorBidi" w:hAnsiTheme="majorBidi" w:cstheme="majorBidi"/>
            <w:noProof/>
            <w:webHidden/>
            <w:sz w:val="24"/>
            <w:szCs w:val="24"/>
          </w:rPr>
        </w:r>
        <w:r w:rsidR="000F7A68" w:rsidRPr="000F7A68">
          <w:rPr>
            <w:rFonts w:asciiTheme="majorBidi" w:hAnsiTheme="majorBidi" w:cstheme="majorBidi"/>
            <w:noProof/>
            <w:webHidden/>
            <w:sz w:val="24"/>
            <w:szCs w:val="24"/>
          </w:rPr>
          <w:fldChar w:fldCharType="separate"/>
        </w:r>
        <w:r w:rsidR="000F7A68" w:rsidRPr="000F7A68">
          <w:rPr>
            <w:rFonts w:asciiTheme="majorBidi" w:hAnsiTheme="majorBidi" w:cstheme="majorBidi"/>
            <w:noProof/>
            <w:webHidden/>
            <w:sz w:val="24"/>
            <w:szCs w:val="24"/>
          </w:rPr>
          <w:t>26</w:t>
        </w:r>
        <w:r w:rsidR="000F7A68" w:rsidRPr="000F7A68">
          <w:rPr>
            <w:rFonts w:asciiTheme="majorBidi" w:hAnsiTheme="majorBidi" w:cstheme="majorBidi"/>
            <w:noProof/>
            <w:webHidden/>
            <w:sz w:val="24"/>
            <w:szCs w:val="24"/>
          </w:rPr>
          <w:fldChar w:fldCharType="end"/>
        </w:r>
      </w:hyperlink>
    </w:p>
    <w:p w14:paraId="1F5668A9" w14:textId="077A6BB7" w:rsidR="000F7A68" w:rsidRPr="000F7A68" w:rsidRDefault="00000000">
      <w:pPr>
        <w:pStyle w:val="TOC2"/>
        <w:rPr>
          <w:rFonts w:asciiTheme="majorBidi" w:eastAsiaTheme="minorEastAsia" w:hAnsiTheme="majorBidi" w:cstheme="majorBidi"/>
          <w:b w:val="0"/>
          <w:bCs w:val="0"/>
          <w:kern w:val="2"/>
          <w:sz w:val="24"/>
          <w:szCs w:val="24"/>
          <w:lang w:eastAsia="nl-NL" w:bidi="he-IL"/>
          <w14:ligatures w14:val="standardContextual"/>
        </w:rPr>
      </w:pPr>
      <w:hyperlink w:anchor="_Toc169963063" w:history="1">
        <w:r w:rsidR="000F7A68" w:rsidRPr="000F7A68">
          <w:rPr>
            <w:rStyle w:val="Hyperlink"/>
            <w:rFonts w:asciiTheme="majorBidi" w:hAnsiTheme="majorBidi" w:cstheme="majorBidi"/>
            <w:sz w:val="24"/>
            <w:szCs w:val="24"/>
          </w:rPr>
          <w:t>3.3 De internationale stakingsrechtspraak en de verhouding met het Unierecht</w:t>
        </w:r>
        <w:r w:rsidR="000F7A68" w:rsidRPr="000F7A68">
          <w:rPr>
            <w:rFonts w:asciiTheme="majorBidi" w:hAnsiTheme="majorBidi" w:cstheme="majorBidi"/>
            <w:webHidden/>
            <w:sz w:val="24"/>
            <w:szCs w:val="24"/>
          </w:rPr>
          <w:tab/>
        </w:r>
        <w:r w:rsidR="000F7A68" w:rsidRPr="000F7A68">
          <w:rPr>
            <w:rFonts w:asciiTheme="majorBidi" w:hAnsiTheme="majorBidi" w:cstheme="majorBidi"/>
            <w:webHidden/>
            <w:sz w:val="24"/>
            <w:szCs w:val="24"/>
          </w:rPr>
          <w:fldChar w:fldCharType="begin"/>
        </w:r>
        <w:r w:rsidR="000F7A68" w:rsidRPr="000F7A68">
          <w:rPr>
            <w:rFonts w:asciiTheme="majorBidi" w:hAnsiTheme="majorBidi" w:cstheme="majorBidi"/>
            <w:webHidden/>
            <w:sz w:val="24"/>
            <w:szCs w:val="24"/>
          </w:rPr>
          <w:instrText xml:space="preserve"> PAGEREF _Toc169963063 \h </w:instrText>
        </w:r>
        <w:r w:rsidR="000F7A68" w:rsidRPr="000F7A68">
          <w:rPr>
            <w:rFonts w:asciiTheme="majorBidi" w:hAnsiTheme="majorBidi" w:cstheme="majorBidi"/>
            <w:webHidden/>
            <w:sz w:val="24"/>
            <w:szCs w:val="24"/>
          </w:rPr>
        </w:r>
        <w:r w:rsidR="000F7A68" w:rsidRPr="000F7A68">
          <w:rPr>
            <w:rFonts w:asciiTheme="majorBidi" w:hAnsiTheme="majorBidi" w:cstheme="majorBidi"/>
            <w:webHidden/>
            <w:sz w:val="24"/>
            <w:szCs w:val="24"/>
          </w:rPr>
          <w:fldChar w:fldCharType="separate"/>
        </w:r>
        <w:r w:rsidR="000F7A68" w:rsidRPr="000F7A68">
          <w:rPr>
            <w:rFonts w:asciiTheme="majorBidi" w:hAnsiTheme="majorBidi" w:cstheme="majorBidi"/>
            <w:webHidden/>
            <w:sz w:val="24"/>
            <w:szCs w:val="24"/>
          </w:rPr>
          <w:t>26</w:t>
        </w:r>
        <w:r w:rsidR="000F7A68" w:rsidRPr="000F7A68">
          <w:rPr>
            <w:rFonts w:asciiTheme="majorBidi" w:hAnsiTheme="majorBidi" w:cstheme="majorBidi"/>
            <w:webHidden/>
            <w:sz w:val="24"/>
            <w:szCs w:val="24"/>
          </w:rPr>
          <w:fldChar w:fldCharType="end"/>
        </w:r>
      </w:hyperlink>
    </w:p>
    <w:p w14:paraId="50F9D0BE" w14:textId="5C837BC4" w:rsidR="000F7A68" w:rsidRPr="000F7A68" w:rsidRDefault="00000000">
      <w:pPr>
        <w:pStyle w:val="TOC3"/>
        <w:tabs>
          <w:tab w:val="right" w:leader="dot" w:pos="9350"/>
        </w:tabs>
        <w:rPr>
          <w:rFonts w:asciiTheme="majorBidi" w:hAnsiTheme="majorBidi" w:cstheme="majorBidi"/>
          <w:noProof/>
          <w:kern w:val="2"/>
          <w:sz w:val="24"/>
          <w:szCs w:val="24"/>
          <w:lang w:bidi="he-IL"/>
          <w14:ligatures w14:val="standardContextual"/>
        </w:rPr>
      </w:pPr>
      <w:hyperlink w:anchor="_Toc169963064" w:history="1">
        <w:r w:rsidR="000F7A68" w:rsidRPr="000F7A68">
          <w:rPr>
            <w:rStyle w:val="Hyperlink"/>
            <w:rFonts w:asciiTheme="majorBidi" w:hAnsiTheme="majorBidi" w:cstheme="majorBidi"/>
            <w:noProof/>
            <w:sz w:val="24"/>
            <w:szCs w:val="24"/>
          </w:rPr>
          <w:t>Het Unison-arrest: de weg naar erkenning van het stakingsrecht onder artikel 11 EVRM en de inperking van dit recht omwille van het economisch werkgeversbelang</w:t>
        </w:r>
        <w:r w:rsidR="000F7A68" w:rsidRPr="000F7A68">
          <w:rPr>
            <w:rFonts w:asciiTheme="majorBidi" w:hAnsiTheme="majorBidi" w:cstheme="majorBidi"/>
            <w:noProof/>
            <w:webHidden/>
            <w:sz w:val="24"/>
            <w:szCs w:val="24"/>
          </w:rPr>
          <w:tab/>
        </w:r>
        <w:r w:rsidR="000F7A68" w:rsidRPr="000F7A68">
          <w:rPr>
            <w:rFonts w:asciiTheme="majorBidi" w:hAnsiTheme="majorBidi" w:cstheme="majorBidi"/>
            <w:noProof/>
            <w:webHidden/>
            <w:sz w:val="24"/>
            <w:szCs w:val="24"/>
          </w:rPr>
          <w:fldChar w:fldCharType="begin"/>
        </w:r>
        <w:r w:rsidR="000F7A68" w:rsidRPr="000F7A68">
          <w:rPr>
            <w:rFonts w:asciiTheme="majorBidi" w:hAnsiTheme="majorBidi" w:cstheme="majorBidi"/>
            <w:noProof/>
            <w:webHidden/>
            <w:sz w:val="24"/>
            <w:szCs w:val="24"/>
          </w:rPr>
          <w:instrText xml:space="preserve"> PAGEREF _Toc169963064 \h </w:instrText>
        </w:r>
        <w:r w:rsidR="000F7A68" w:rsidRPr="000F7A68">
          <w:rPr>
            <w:rFonts w:asciiTheme="majorBidi" w:hAnsiTheme="majorBidi" w:cstheme="majorBidi"/>
            <w:noProof/>
            <w:webHidden/>
            <w:sz w:val="24"/>
            <w:szCs w:val="24"/>
          </w:rPr>
        </w:r>
        <w:r w:rsidR="000F7A68" w:rsidRPr="000F7A68">
          <w:rPr>
            <w:rFonts w:asciiTheme="majorBidi" w:hAnsiTheme="majorBidi" w:cstheme="majorBidi"/>
            <w:noProof/>
            <w:webHidden/>
            <w:sz w:val="24"/>
            <w:szCs w:val="24"/>
          </w:rPr>
          <w:fldChar w:fldCharType="separate"/>
        </w:r>
        <w:r w:rsidR="000F7A68" w:rsidRPr="000F7A68">
          <w:rPr>
            <w:rFonts w:asciiTheme="majorBidi" w:hAnsiTheme="majorBidi" w:cstheme="majorBidi"/>
            <w:noProof/>
            <w:webHidden/>
            <w:sz w:val="24"/>
            <w:szCs w:val="24"/>
          </w:rPr>
          <w:t>26</w:t>
        </w:r>
        <w:r w:rsidR="000F7A68" w:rsidRPr="000F7A68">
          <w:rPr>
            <w:rFonts w:asciiTheme="majorBidi" w:hAnsiTheme="majorBidi" w:cstheme="majorBidi"/>
            <w:noProof/>
            <w:webHidden/>
            <w:sz w:val="24"/>
            <w:szCs w:val="24"/>
          </w:rPr>
          <w:fldChar w:fldCharType="end"/>
        </w:r>
      </w:hyperlink>
    </w:p>
    <w:p w14:paraId="1AC9EF74" w14:textId="32B44402" w:rsidR="000F7A68" w:rsidRPr="000F7A68" w:rsidRDefault="00000000">
      <w:pPr>
        <w:pStyle w:val="TOC3"/>
        <w:tabs>
          <w:tab w:val="right" w:leader="dot" w:pos="9350"/>
        </w:tabs>
        <w:rPr>
          <w:rFonts w:asciiTheme="majorBidi" w:hAnsiTheme="majorBidi" w:cstheme="majorBidi"/>
          <w:noProof/>
          <w:kern w:val="2"/>
          <w:sz w:val="24"/>
          <w:szCs w:val="24"/>
          <w:lang w:bidi="he-IL"/>
          <w14:ligatures w14:val="standardContextual"/>
        </w:rPr>
      </w:pPr>
      <w:hyperlink w:anchor="_Toc169963065" w:history="1">
        <w:r w:rsidR="000F7A68" w:rsidRPr="000F7A68">
          <w:rPr>
            <w:rStyle w:val="Hyperlink"/>
            <w:rFonts w:asciiTheme="majorBidi" w:hAnsiTheme="majorBidi" w:cstheme="majorBidi"/>
            <w:noProof/>
            <w:sz w:val="24"/>
            <w:szCs w:val="24"/>
          </w:rPr>
          <w:t>Het stakingsrecht als belangrijk of essentieel onderdeel van artikel 11 EVRM?</w:t>
        </w:r>
        <w:r w:rsidR="000F7A68" w:rsidRPr="000F7A68">
          <w:rPr>
            <w:rFonts w:asciiTheme="majorBidi" w:hAnsiTheme="majorBidi" w:cstheme="majorBidi"/>
            <w:noProof/>
            <w:webHidden/>
            <w:sz w:val="24"/>
            <w:szCs w:val="24"/>
          </w:rPr>
          <w:tab/>
        </w:r>
        <w:r w:rsidR="000F7A68" w:rsidRPr="000F7A68">
          <w:rPr>
            <w:rFonts w:asciiTheme="majorBidi" w:hAnsiTheme="majorBidi" w:cstheme="majorBidi"/>
            <w:noProof/>
            <w:webHidden/>
            <w:sz w:val="24"/>
            <w:szCs w:val="24"/>
          </w:rPr>
          <w:fldChar w:fldCharType="begin"/>
        </w:r>
        <w:r w:rsidR="000F7A68" w:rsidRPr="000F7A68">
          <w:rPr>
            <w:rFonts w:asciiTheme="majorBidi" w:hAnsiTheme="majorBidi" w:cstheme="majorBidi"/>
            <w:noProof/>
            <w:webHidden/>
            <w:sz w:val="24"/>
            <w:szCs w:val="24"/>
          </w:rPr>
          <w:instrText xml:space="preserve"> PAGEREF _Toc169963065 \h </w:instrText>
        </w:r>
        <w:r w:rsidR="000F7A68" w:rsidRPr="000F7A68">
          <w:rPr>
            <w:rFonts w:asciiTheme="majorBidi" w:hAnsiTheme="majorBidi" w:cstheme="majorBidi"/>
            <w:noProof/>
            <w:webHidden/>
            <w:sz w:val="24"/>
            <w:szCs w:val="24"/>
          </w:rPr>
        </w:r>
        <w:r w:rsidR="000F7A68" w:rsidRPr="000F7A68">
          <w:rPr>
            <w:rFonts w:asciiTheme="majorBidi" w:hAnsiTheme="majorBidi" w:cstheme="majorBidi"/>
            <w:noProof/>
            <w:webHidden/>
            <w:sz w:val="24"/>
            <w:szCs w:val="24"/>
          </w:rPr>
          <w:fldChar w:fldCharType="separate"/>
        </w:r>
        <w:r w:rsidR="000F7A68" w:rsidRPr="000F7A68">
          <w:rPr>
            <w:rFonts w:asciiTheme="majorBidi" w:hAnsiTheme="majorBidi" w:cstheme="majorBidi"/>
            <w:noProof/>
            <w:webHidden/>
            <w:sz w:val="24"/>
            <w:szCs w:val="24"/>
          </w:rPr>
          <w:t>28</w:t>
        </w:r>
        <w:r w:rsidR="000F7A68" w:rsidRPr="000F7A68">
          <w:rPr>
            <w:rFonts w:asciiTheme="majorBidi" w:hAnsiTheme="majorBidi" w:cstheme="majorBidi"/>
            <w:noProof/>
            <w:webHidden/>
            <w:sz w:val="24"/>
            <w:szCs w:val="24"/>
          </w:rPr>
          <w:fldChar w:fldCharType="end"/>
        </w:r>
      </w:hyperlink>
    </w:p>
    <w:p w14:paraId="4FF3F43B" w14:textId="410AC616" w:rsidR="000F7A68" w:rsidRPr="000F7A68" w:rsidRDefault="00000000">
      <w:pPr>
        <w:pStyle w:val="TOC3"/>
        <w:tabs>
          <w:tab w:val="right" w:leader="dot" w:pos="9350"/>
        </w:tabs>
        <w:rPr>
          <w:rFonts w:asciiTheme="majorBidi" w:hAnsiTheme="majorBidi" w:cstheme="majorBidi"/>
          <w:noProof/>
          <w:kern w:val="2"/>
          <w:sz w:val="24"/>
          <w:szCs w:val="24"/>
          <w:lang w:bidi="he-IL"/>
          <w14:ligatures w14:val="standardContextual"/>
        </w:rPr>
      </w:pPr>
      <w:hyperlink w:anchor="_Toc169963066" w:history="1">
        <w:r w:rsidR="000F7A68" w:rsidRPr="000F7A68">
          <w:rPr>
            <w:rStyle w:val="Hyperlink"/>
            <w:rFonts w:asciiTheme="majorBidi" w:hAnsiTheme="majorBidi" w:cstheme="majorBidi"/>
            <w:noProof/>
            <w:sz w:val="24"/>
            <w:szCs w:val="24"/>
          </w:rPr>
          <w:t>Het Holship-arrest: de Viking- en Laval-doctrine in conflict met artikel 11 EVRM?</w:t>
        </w:r>
        <w:r w:rsidR="000F7A68" w:rsidRPr="000F7A68">
          <w:rPr>
            <w:rFonts w:asciiTheme="majorBidi" w:hAnsiTheme="majorBidi" w:cstheme="majorBidi"/>
            <w:noProof/>
            <w:webHidden/>
            <w:sz w:val="24"/>
            <w:szCs w:val="24"/>
          </w:rPr>
          <w:tab/>
        </w:r>
        <w:r w:rsidR="000F7A68" w:rsidRPr="000F7A68">
          <w:rPr>
            <w:rFonts w:asciiTheme="majorBidi" w:hAnsiTheme="majorBidi" w:cstheme="majorBidi"/>
            <w:noProof/>
            <w:webHidden/>
            <w:sz w:val="24"/>
            <w:szCs w:val="24"/>
          </w:rPr>
          <w:fldChar w:fldCharType="begin"/>
        </w:r>
        <w:r w:rsidR="000F7A68" w:rsidRPr="000F7A68">
          <w:rPr>
            <w:rFonts w:asciiTheme="majorBidi" w:hAnsiTheme="majorBidi" w:cstheme="majorBidi"/>
            <w:noProof/>
            <w:webHidden/>
            <w:sz w:val="24"/>
            <w:szCs w:val="24"/>
          </w:rPr>
          <w:instrText xml:space="preserve"> PAGEREF _Toc169963066 \h </w:instrText>
        </w:r>
        <w:r w:rsidR="000F7A68" w:rsidRPr="000F7A68">
          <w:rPr>
            <w:rFonts w:asciiTheme="majorBidi" w:hAnsiTheme="majorBidi" w:cstheme="majorBidi"/>
            <w:noProof/>
            <w:webHidden/>
            <w:sz w:val="24"/>
            <w:szCs w:val="24"/>
          </w:rPr>
        </w:r>
        <w:r w:rsidR="000F7A68" w:rsidRPr="000F7A68">
          <w:rPr>
            <w:rFonts w:asciiTheme="majorBidi" w:hAnsiTheme="majorBidi" w:cstheme="majorBidi"/>
            <w:noProof/>
            <w:webHidden/>
            <w:sz w:val="24"/>
            <w:szCs w:val="24"/>
          </w:rPr>
          <w:fldChar w:fldCharType="separate"/>
        </w:r>
        <w:r w:rsidR="000F7A68" w:rsidRPr="000F7A68">
          <w:rPr>
            <w:rFonts w:asciiTheme="majorBidi" w:hAnsiTheme="majorBidi" w:cstheme="majorBidi"/>
            <w:noProof/>
            <w:webHidden/>
            <w:sz w:val="24"/>
            <w:szCs w:val="24"/>
          </w:rPr>
          <w:t>29</w:t>
        </w:r>
        <w:r w:rsidR="000F7A68" w:rsidRPr="000F7A68">
          <w:rPr>
            <w:rFonts w:asciiTheme="majorBidi" w:hAnsiTheme="majorBidi" w:cstheme="majorBidi"/>
            <w:noProof/>
            <w:webHidden/>
            <w:sz w:val="24"/>
            <w:szCs w:val="24"/>
          </w:rPr>
          <w:fldChar w:fldCharType="end"/>
        </w:r>
      </w:hyperlink>
    </w:p>
    <w:p w14:paraId="5CED5306" w14:textId="22BE3927" w:rsidR="000F7A68" w:rsidRPr="000F7A68" w:rsidRDefault="00000000">
      <w:pPr>
        <w:pStyle w:val="TOC3"/>
        <w:tabs>
          <w:tab w:val="right" w:leader="dot" w:pos="9350"/>
        </w:tabs>
        <w:rPr>
          <w:rFonts w:asciiTheme="majorBidi" w:hAnsiTheme="majorBidi" w:cstheme="majorBidi"/>
          <w:noProof/>
          <w:kern w:val="2"/>
          <w:sz w:val="24"/>
          <w:szCs w:val="24"/>
          <w:lang w:bidi="he-IL"/>
          <w14:ligatures w14:val="standardContextual"/>
        </w:rPr>
      </w:pPr>
      <w:hyperlink w:anchor="_Toc169963067" w:history="1">
        <w:r w:rsidR="000F7A68" w:rsidRPr="000F7A68">
          <w:rPr>
            <w:rStyle w:val="Hyperlink"/>
            <w:rFonts w:asciiTheme="majorBidi" w:hAnsiTheme="majorBidi" w:cstheme="majorBidi"/>
            <w:noProof/>
            <w:sz w:val="24"/>
            <w:szCs w:val="24"/>
          </w:rPr>
          <w:t>Overwegingen van de CoE en het ECSR: forse kritiek op de Viking- en Laval-doctrine</w:t>
        </w:r>
        <w:r w:rsidR="000F7A68" w:rsidRPr="000F7A68">
          <w:rPr>
            <w:rFonts w:asciiTheme="majorBidi" w:hAnsiTheme="majorBidi" w:cstheme="majorBidi"/>
            <w:noProof/>
            <w:webHidden/>
            <w:sz w:val="24"/>
            <w:szCs w:val="24"/>
          </w:rPr>
          <w:tab/>
        </w:r>
        <w:r w:rsidR="000F7A68" w:rsidRPr="000F7A68">
          <w:rPr>
            <w:rFonts w:asciiTheme="majorBidi" w:hAnsiTheme="majorBidi" w:cstheme="majorBidi"/>
            <w:noProof/>
            <w:webHidden/>
            <w:sz w:val="24"/>
            <w:szCs w:val="24"/>
          </w:rPr>
          <w:fldChar w:fldCharType="begin"/>
        </w:r>
        <w:r w:rsidR="000F7A68" w:rsidRPr="000F7A68">
          <w:rPr>
            <w:rFonts w:asciiTheme="majorBidi" w:hAnsiTheme="majorBidi" w:cstheme="majorBidi"/>
            <w:noProof/>
            <w:webHidden/>
            <w:sz w:val="24"/>
            <w:szCs w:val="24"/>
          </w:rPr>
          <w:instrText xml:space="preserve"> PAGEREF _Toc169963067 \h </w:instrText>
        </w:r>
        <w:r w:rsidR="000F7A68" w:rsidRPr="000F7A68">
          <w:rPr>
            <w:rFonts w:asciiTheme="majorBidi" w:hAnsiTheme="majorBidi" w:cstheme="majorBidi"/>
            <w:noProof/>
            <w:webHidden/>
            <w:sz w:val="24"/>
            <w:szCs w:val="24"/>
          </w:rPr>
        </w:r>
        <w:r w:rsidR="000F7A68" w:rsidRPr="000F7A68">
          <w:rPr>
            <w:rFonts w:asciiTheme="majorBidi" w:hAnsiTheme="majorBidi" w:cstheme="majorBidi"/>
            <w:noProof/>
            <w:webHidden/>
            <w:sz w:val="24"/>
            <w:szCs w:val="24"/>
          </w:rPr>
          <w:fldChar w:fldCharType="separate"/>
        </w:r>
        <w:r w:rsidR="000F7A68" w:rsidRPr="000F7A68">
          <w:rPr>
            <w:rFonts w:asciiTheme="majorBidi" w:hAnsiTheme="majorBidi" w:cstheme="majorBidi"/>
            <w:noProof/>
            <w:webHidden/>
            <w:sz w:val="24"/>
            <w:szCs w:val="24"/>
          </w:rPr>
          <w:t>33</w:t>
        </w:r>
        <w:r w:rsidR="000F7A68" w:rsidRPr="000F7A68">
          <w:rPr>
            <w:rFonts w:asciiTheme="majorBidi" w:hAnsiTheme="majorBidi" w:cstheme="majorBidi"/>
            <w:noProof/>
            <w:webHidden/>
            <w:sz w:val="24"/>
            <w:szCs w:val="24"/>
          </w:rPr>
          <w:fldChar w:fldCharType="end"/>
        </w:r>
      </w:hyperlink>
    </w:p>
    <w:p w14:paraId="1796F3FC" w14:textId="025F94FE" w:rsidR="000F7A68" w:rsidRPr="000F7A68" w:rsidRDefault="00000000">
      <w:pPr>
        <w:pStyle w:val="TOC2"/>
        <w:rPr>
          <w:rFonts w:asciiTheme="majorBidi" w:eastAsiaTheme="minorEastAsia" w:hAnsiTheme="majorBidi" w:cstheme="majorBidi"/>
          <w:b w:val="0"/>
          <w:bCs w:val="0"/>
          <w:kern w:val="2"/>
          <w:sz w:val="24"/>
          <w:szCs w:val="24"/>
          <w:lang w:eastAsia="nl-NL" w:bidi="he-IL"/>
          <w14:ligatures w14:val="standardContextual"/>
        </w:rPr>
      </w:pPr>
      <w:hyperlink w:anchor="_Toc169963068" w:history="1">
        <w:r w:rsidR="000F7A68" w:rsidRPr="000F7A68">
          <w:rPr>
            <w:rStyle w:val="Hyperlink"/>
            <w:rFonts w:asciiTheme="majorBidi" w:hAnsiTheme="majorBidi" w:cstheme="majorBidi"/>
            <w:sz w:val="24"/>
            <w:szCs w:val="24"/>
          </w:rPr>
          <w:t>3.4 De mate van binding van de EU aan het internationale stakingsrecht</w:t>
        </w:r>
        <w:r w:rsidR="000F7A68" w:rsidRPr="000F7A68">
          <w:rPr>
            <w:rFonts w:asciiTheme="majorBidi" w:hAnsiTheme="majorBidi" w:cstheme="majorBidi"/>
            <w:webHidden/>
            <w:sz w:val="24"/>
            <w:szCs w:val="24"/>
          </w:rPr>
          <w:tab/>
        </w:r>
        <w:r w:rsidR="000F7A68" w:rsidRPr="000F7A68">
          <w:rPr>
            <w:rFonts w:asciiTheme="majorBidi" w:hAnsiTheme="majorBidi" w:cstheme="majorBidi"/>
            <w:webHidden/>
            <w:sz w:val="24"/>
            <w:szCs w:val="24"/>
          </w:rPr>
          <w:fldChar w:fldCharType="begin"/>
        </w:r>
        <w:r w:rsidR="000F7A68" w:rsidRPr="000F7A68">
          <w:rPr>
            <w:rFonts w:asciiTheme="majorBidi" w:hAnsiTheme="majorBidi" w:cstheme="majorBidi"/>
            <w:webHidden/>
            <w:sz w:val="24"/>
            <w:szCs w:val="24"/>
          </w:rPr>
          <w:instrText xml:space="preserve"> PAGEREF _Toc169963068 \h </w:instrText>
        </w:r>
        <w:r w:rsidR="000F7A68" w:rsidRPr="000F7A68">
          <w:rPr>
            <w:rFonts w:asciiTheme="majorBidi" w:hAnsiTheme="majorBidi" w:cstheme="majorBidi"/>
            <w:webHidden/>
            <w:sz w:val="24"/>
            <w:szCs w:val="24"/>
          </w:rPr>
        </w:r>
        <w:r w:rsidR="000F7A68" w:rsidRPr="000F7A68">
          <w:rPr>
            <w:rFonts w:asciiTheme="majorBidi" w:hAnsiTheme="majorBidi" w:cstheme="majorBidi"/>
            <w:webHidden/>
            <w:sz w:val="24"/>
            <w:szCs w:val="24"/>
          </w:rPr>
          <w:fldChar w:fldCharType="separate"/>
        </w:r>
        <w:r w:rsidR="000F7A68" w:rsidRPr="000F7A68">
          <w:rPr>
            <w:rFonts w:asciiTheme="majorBidi" w:hAnsiTheme="majorBidi" w:cstheme="majorBidi"/>
            <w:webHidden/>
            <w:sz w:val="24"/>
            <w:szCs w:val="24"/>
          </w:rPr>
          <w:t>34</w:t>
        </w:r>
        <w:r w:rsidR="000F7A68" w:rsidRPr="000F7A68">
          <w:rPr>
            <w:rFonts w:asciiTheme="majorBidi" w:hAnsiTheme="majorBidi" w:cstheme="majorBidi"/>
            <w:webHidden/>
            <w:sz w:val="24"/>
            <w:szCs w:val="24"/>
          </w:rPr>
          <w:fldChar w:fldCharType="end"/>
        </w:r>
      </w:hyperlink>
    </w:p>
    <w:p w14:paraId="151AC61E" w14:textId="110241BB" w:rsidR="000F7A68" w:rsidRPr="000F7A68" w:rsidRDefault="00000000">
      <w:pPr>
        <w:pStyle w:val="TOC3"/>
        <w:tabs>
          <w:tab w:val="right" w:leader="dot" w:pos="9350"/>
        </w:tabs>
        <w:rPr>
          <w:rFonts w:asciiTheme="majorBidi" w:hAnsiTheme="majorBidi" w:cstheme="majorBidi"/>
          <w:noProof/>
          <w:kern w:val="2"/>
          <w:sz w:val="24"/>
          <w:szCs w:val="24"/>
          <w:lang w:bidi="he-IL"/>
          <w14:ligatures w14:val="standardContextual"/>
        </w:rPr>
      </w:pPr>
      <w:hyperlink w:anchor="_Toc169963069" w:history="1">
        <w:r w:rsidR="000F7A68" w:rsidRPr="000F7A68">
          <w:rPr>
            <w:rStyle w:val="Hyperlink"/>
            <w:rFonts w:asciiTheme="majorBidi" w:hAnsiTheme="majorBidi" w:cstheme="majorBidi"/>
            <w:noProof/>
            <w:sz w:val="24"/>
            <w:szCs w:val="24"/>
          </w:rPr>
          <w:t>De verhouding tussen EU-recht en EVRM-recht</w:t>
        </w:r>
        <w:r w:rsidR="000F7A68" w:rsidRPr="000F7A68">
          <w:rPr>
            <w:rFonts w:asciiTheme="majorBidi" w:hAnsiTheme="majorBidi" w:cstheme="majorBidi"/>
            <w:noProof/>
            <w:webHidden/>
            <w:sz w:val="24"/>
            <w:szCs w:val="24"/>
          </w:rPr>
          <w:tab/>
        </w:r>
        <w:r w:rsidR="000F7A68" w:rsidRPr="000F7A68">
          <w:rPr>
            <w:rFonts w:asciiTheme="majorBidi" w:hAnsiTheme="majorBidi" w:cstheme="majorBidi"/>
            <w:noProof/>
            <w:webHidden/>
            <w:sz w:val="24"/>
            <w:szCs w:val="24"/>
          </w:rPr>
          <w:fldChar w:fldCharType="begin"/>
        </w:r>
        <w:r w:rsidR="000F7A68" w:rsidRPr="000F7A68">
          <w:rPr>
            <w:rFonts w:asciiTheme="majorBidi" w:hAnsiTheme="majorBidi" w:cstheme="majorBidi"/>
            <w:noProof/>
            <w:webHidden/>
            <w:sz w:val="24"/>
            <w:szCs w:val="24"/>
          </w:rPr>
          <w:instrText xml:space="preserve"> PAGEREF _Toc169963069 \h </w:instrText>
        </w:r>
        <w:r w:rsidR="000F7A68" w:rsidRPr="000F7A68">
          <w:rPr>
            <w:rFonts w:asciiTheme="majorBidi" w:hAnsiTheme="majorBidi" w:cstheme="majorBidi"/>
            <w:noProof/>
            <w:webHidden/>
            <w:sz w:val="24"/>
            <w:szCs w:val="24"/>
          </w:rPr>
        </w:r>
        <w:r w:rsidR="000F7A68" w:rsidRPr="000F7A68">
          <w:rPr>
            <w:rFonts w:asciiTheme="majorBidi" w:hAnsiTheme="majorBidi" w:cstheme="majorBidi"/>
            <w:noProof/>
            <w:webHidden/>
            <w:sz w:val="24"/>
            <w:szCs w:val="24"/>
          </w:rPr>
          <w:fldChar w:fldCharType="separate"/>
        </w:r>
        <w:r w:rsidR="000F7A68" w:rsidRPr="000F7A68">
          <w:rPr>
            <w:rFonts w:asciiTheme="majorBidi" w:hAnsiTheme="majorBidi" w:cstheme="majorBidi"/>
            <w:noProof/>
            <w:webHidden/>
            <w:sz w:val="24"/>
            <w:szCs w:val="24"/>
          </w:rPr>
          <w:t>34</w:t>
        </w:r>
        <w:r w:rsidR="000F7A68" w:rsidRPr="000F7A68">
          <w:rPr>
            <w:rFonts w:asciiTheme="majorBidi" w:hAnsiTheme="majorBidi" w:cstheme="majorBidi"/>
            <w:noProof/>
            <w:webHidden/>
            <w:sz w:val="24"/>
            <w:szCs w:val="24"/>
          </w:rPr>
          <w:fldChar w:fldCharType="end"/>
        </w:r>
      </w:hyperlink>
    </w:p>
    <w:p w14:paraId="3F2F2FE2" w14:textId="546960FA" w:rsidR="000F7A68" w:rsidRPr="000F7A68" w:rsidRDefault="00000000">
      <w:pPr>
        <w:pStyle w:val="TOC3"/>
        <w:tabs>
          <w:tab w:val="right" w:leader="dot" w:pos="9350"/>
        </w:tabs>
        <w:rPr>
          <w:rFonts w:asciiTheme="majorBidi" w:hAnsiTheme="majorBidi" w:cstheme="majorBidi"/>
          <w:noProof/>
          <w:kern w:val="2"/>
          <w:sz w:val="24"/>
          <w:szCs w:val="24"/>
          <w:lang w:bidi="he-IL"/>
          <w14:ligatures w14:val="standardContextual"/>
        </w:rPr>
      </w:pPr>
      <w:hyperlink w:anchor="_Toc169963070" w:history="1">
        <w:r w:rsidR="000F7A68" w:rsidRPr="000F7A68">
          <w:rPr>
            <w:rStyle w:val="Hyperlink"/>
            <w:rFonts w:asciiTheme="majorBidi" w:hAnsiTheme="majorBidi" w:cstheme="majorBidi"/>
            <w:noProof/>
            <w:sz w:val="24"/>
            <w:szCs w:val="24"/>
          </w:rPr>
          <w:t>De verhouding tussen EU-recht, het ESH en ILO-Verdrag 87</w:t>
        </w:r>
        <w:r w:rsidR="000F7A68" w:rsidRPr="000F7A68">
          <w:rPr>
            <w:rFonts w:asciiTheme="majorBidi" w:hAnsiTheme="majorBidi" w:cstheme="majorBidi"/>
            <w:noProof/>
            <w:webHidden/>
            <w:sz w:val="24"/>
            <w:szCs w:val="24"/>
          </w:rPr>
          <w:tab/>
        </w:r>
        <w:r w:rsidR="000F7A68" w:rsidRPr="000F7A68">
          <w:rPr>
            <w:rFonts w:asciiTheme="majorBidi" w:hAnsiTheme="majorBidi" w:cstheme="majorBidi"/>
            <w:noProof/>
            <w:webHidden/>
            <w:sz w:val="24"/>
            <w:szCs w:val="24"/>
          </w:rPr>
          <w:fldChar w:fldCharType="begin"/>
        </w:r>
        <w:r w:rsidR="000F7A68" w:rsidRPr="000F7A68">
          <w:rPr>
            <w:rFonts w:asciiTheme="majorBidi" w:hAnsiTheme="majorBidi" w:cstheme="majorBidi"/>
            <w:noProof/>
            <w:webHidden/>
            <w:sz w:val="24"/>
            <w:szCs w:val="24"/>
          </w:rPr>
          <w:instrText xml:space="preserve"> PAGEREF _Toc169963070 \h </w:instrText>
        </w:r>
        <w:r w:rsidR="000F7A68" w:rsidRPr="000F7A68">
          <w:rPr>
            <w:rFonts w:asciiTheme="majorBidi" w:hAnsiTheme="majorBidi" w:cstheme="majorBidi"/>
            <w:noProof/>
            <w:webHidden/>
            <w:sz w:val="24"/>
            <w:szCs w:val="24"/>
          </w:rPr>
        </w:r>
        <w:r w:rsidR="000F7A68" w:rsidRPr="000F7A68">
          <w:rPr>
            <w:rFonts w:asciiTheme="majorBidi" w:hAnsiTheme="majorBidi" w:cstheme="majorBidi"/>
            <w:noProof/>
            <w:webHidden/>
            <w:sz w:val="24"/>
            <w:szCs w:val="24"/>
          </w:rPr>
          <w:fldChar w:fldCharType="separate"/>
        </w:r>
        <w:r w:rsidR="000F7A68" w:rsidRPr="000F7A68">
          <w:rPr>
            <w:rFonts w:asciiTheme="majorBidi" w:hAnsiTheme="majorBidi" w:cstheme="majorBidi"/>
            <w:noProof/>
            <w:webHidden/>
            <w:sz w:val="24"/>
            <w:szCs w:val="24"/>
          </w:rPr>
          <w:t>36</w:t>
        </w:r>
        <w:r w:rsidR="000F7A68" w:rsidRPr="000F7A68">
          <w:rPr>
            <w:rFonts w:asciiTheme="majorBidi" w:hAnsiTheme="majorBidi" w:cstheme="majorBidi"/>
            <w:noProof/>
            <w:webHidden/>
            <w:sz w:val="24"/>
            <w:szCs w:val="24"/>
          </w:rPr>
          <w:fldChar w:fldCharType="end"/>
        </w:r>
      </w:hyperlink>
    </w:p>
    <w:p w14:paraId="104CD9C8" w14:textId="5C5AF2CC" w:rsidR="000F7A68" w:rsidRPr="000F7A68" w:rsidRDefault="00000000">
      <w:pPr>
        <w:pStyle w:val="TOC2"/>
        <w:rPr>
          <w:rFonts w:asciiTheme="majorBidi" w:eastAsiaTheme="minorEastAsia" w:hAnsiTheme="majorBidi" w:cstheme="majorBidi"/>
          <w:b w:val="0"/>
          <w:bCs w:val="0"/>
          <w:kern w:val="2"/>
          <w:sz w:val="24"/>
          <w:szCs w:val="24"/>
          <w:lang w:eastAsia="nl-NL" w:bidi="he-IL"/>
          <w14:ligatures w14:val="standardContextual"/>
        </w:rPr>
      </w:pPr>
      <w:hyperlink w:anchor="_Toc169963071" w:history="1">
        <w:r w:rsidR="000F7A68" w:rsidRPr="000F7A68">
          <w:rPr>
            <w:rStyle w:val="Hyperlink"/>
            <w:rFonts w:asciiTheme="majorBidi" w:hAnsiTheme="majorBidi" w:cstheme="majorBidi"/>
            <w:sz w:val="24"/>
            <w:szCs w:val="24"/>
          </w:rPr>
          <w:t>3.5 Afronding</w:t>
        </w:r>
        <w:r w:rsidR="000F7A68" w:rsidRPr="000F7A68">
          <w:rPr>
            <w:rFonts w:asciiTheme="majorBidi" w:hAnsiTheme="majorBidi" w:cstheme="majorBidi"/>
            <w:webHidden/>
            <w:sz w:val="24"/>
            <w:szCs w:val="24"/>
          </w:rPr>
          <w:tab/>
        </w:r>
        <w:r w:rsidR="000F7A68" w:rsidRPr="000F7A68">
          <w:rPr>
            <w:rFonts w:asciiTheme="majorBidi" w:hAnsiTheme="majorBidi" w:cstheme="majorBidi"/>
            <w:webHidden/>
            <w:sz w:val="24"/>
            <w:szCs w:val="24"/>
          </w:rPr>
          <w:fldChar w:fldCharType="begin"/>
        </w:r>
        <w:r w:rsidR="000F7A68" w:rsidRPr="000F7A68">
          <w:rPr>
            <w:rFonts w:asciiTheme="majorBidi" w:hAnsiTheme="majorBidi" w:cstheme="majorBidi"/>
            <w:webHidden/>
            <w:sz w:val="24"/>
            <w:szCs w:val="24"/>
          </w:rPr>
          <w:instrText xml:space="preserve"> PAGEREF _Toc169963071 \h </w:instrText>
        </w:r>
        <w:r w:rsidR="000F7A68" w:rsidRPr="000F7A68">
          <w:rPr>
            <w:rFonts w:asciiTheme="majorBidi" w:hAnsiTheme="majorBidi" w:cstheme="majorBidi"/>
            <w:webHidden/>
            <w:sz w:val="24"/>
            <w:szCs w:val="24"/>
          </w:rPr>
        </w:r>
        <w:r w:rsidR="000F7A68" w:rsidRPr="000F7A68">
          <w:rPr>
            <w:rFonts w:asciiTheme="majorBidi" w:hAnsiTheme="majorBidi" w:cstheme="majorBidi"/>
            <w:webHidden/>
            <w:sz w:val="24"/>
            <w:szCs w:val="24"/>
          </w:rPr>
          <w:fldChar w:fldCharType="separate"/>
        </w:r>
        <w:r w:rsidR="000F7A68" w:rsidRPr="000F7A68">
          <w:rPr>
            <w:rFonts w:asciiTheme="majorBidi" w:hAnsiTheme="majorBidi" w:cstheme="majorBidi"/>
            <w:webHidden/>
            <w:sz w:val="24"/>
            <w:szCs w:val="24"/>
          </w:rPr>
          <w:t>39</w:t>
        </w:r>
        <w:r w:rsidR="000F7A68" w:rsidRPr="000F7A68">
          <w:rPr>
            <w:rFonts w:asciiTheme="majorBidi" w:hAnsiTheme="majorBidi" w:cstheme="majorBidi"/>
            <w:webHidden/>
            <w:sz w:val="24"/>
            <w:szCs w:val="24"/>
          </w:rPr>
          <w:fldChar w:fldCharType="end"/>
        </w:r>
      </w:hyperlink>
    </w:p>
    <w:p w14:paraId="6F4B779D" w14:textId="579037CB" w:rsidR="000F7A68" w:rsidRPr="000F7A68" w:rsidRDefault="00000000">
      <w:pPr>
        <w:pStyle w:val="TOC1"/>
        <w:tabs>
          <w:tab w:val="right" w:leader="dot" w:pos="9350"/>
        </w:tabs>
        <w:rPr>
          <w:rFonts w:asciiTheme="majorBidi" w:eastAsiaTheme="minorEastAsia" w:hAnsiTheme="majorBidi" w:cstheme="majorBidi"/>
          <w:noProof/>
          <w:kern w:val="2"/>
          <w:sz w:val="24"/>
          <w:szCs w:val="24"/>
          <w:lang w:eastAsia="nl-NL" w:bidi="he-IL"/>
          <w14:ligatures w14:val="standardContextual"/>
        </w:rPr>
      </w:pPr>
      <w:hyperlink w:anchor="_Toc169963072" w:history="1">
        <w:r w:rsidR="000F7A68" w:rsidRPr="000F7A68">
          <w:rPr>
            <w:rStyle w:val="Hyperlink"/>
            <w:rFonts w:asciiTheme="majorBidi" w:hAnsiTheme="majorBidi" w:cstheme="majorBidi"/>
            <w:noProof/>
            <w:sz w:val="24"/>
            <w:szCs w:val="24"/>
          </w:rPr>
          <w:t>Hoofdstuk 4. Eenwording van conflicterende regimes: feit of fictie?</w:t>
        </w:r>
        <w:r w:rsidR="000F7A68" w:rsidRPr="000F7A68">
          <w:rPr>
            <w:rFonts w:asciiTheme="majorBidi" w:hAnsiTheme="majorBidi" w:cstheme="majorBidi"/>
            <w:noProof/>
            <w:webHidden/>
            <w:sz w:val="24"/>
            <w:szCs w:val="24"/>
          </w:rPr>
          <w:tab/>
        </w:r>
        <w:r w:rsidR="000F7A68" w:rsidRPr="000F7A68">
          <w:rPr>
            <w:rFonts w:asciiTheme="majorBidi" w:hAnsiTheme="majorBidi" w:cstheme="majorBidi"/>
            <w:noProof/>
            <w:webHidden/>
            <w:sz w:val="24"/>
            <w:szCs w:val="24"/>
          </w:rPr>
          <w:fldChar w:fldCharType="begin"/>
        </w:r>
        <w:r w:rsidR="000F7A68" w:rsidRPr="000F7A68">
          <w:rPr>
            <w:rFonts w:asciiTheme="majorBidi" w:hAnsiTheme="majorBidi" w:cstheme="majorBidi"/>
            <w:noProof/>
            <w:webHidden/>
            <w:sz w:val="24"/>
            <w:szCs w:val="24"/>
          </w:rPr>
          <w:instrText xml:space="preserve"> PAGEREF _Toc169963072 \h </w:instrText>
        </w:r>
        <w:r w:rsidR="000F7A68" w:rsidRPr="000F7A68">
          <w:rPr>
            <w:rFonts w:asciiTheme="majorBidi" w:hAnsiTheme="majorBidi" w:cstheme="majorBidi"/>
            <w:noProof/>
            <w:webHidden/>
            <w:sz w:val="24"/>
            <w:szCs w:val="24"/>
          </w:rPr>
        </w:r>
        <w:r w:rsidR="000F7A68" w:rsidRPr="000F7A68">
          <w:rPr>
            <w:rFonts w:asciiTheme="majorBidi" w:hAnsiTheme="majorBidi" w:cstheme="majorBidi"/>
            <w:noProof/>
            <w:webHidden/>
            <w:sz w:val="24"/>
            <w:szCs w:val="24"/>
          </w:rPr>
          <w:fldChar w:fldCharType="separate"/>
        </w:r>
        <w:r w:rsidR="000F7A68" w:rsidRPr="000F7A68">
          <w:rPr>
            <w:rFonts w:asciiTheme="majorBidi" w:hAnsiTheme="majorBidi" w:cstheme="majorBidi"/>
            <w:noProof/>
            <w:webHidden/>
            <w:sz w:val="24"/>
            <w:szCs w:val="24"/>
          </w:rPr>
          <w:t>41</w:t>
        </w:r>
        <w:r w:rsidR="000F7A68" w:rsidRPr="000F7A68">
          <w:rPr>
            <w:rFonts w:asciiTheme="majorBidi" w:hAnsiTheme="majorBidi" w:cstheme="majorBidi"/>
            <w:noProof/>
            <w:webHidden/>
            <w:sz w:val="24"/>
            <w:szCs w:val="24"/>
          </w:rPr>
          <w:fldChar w:fldCharType="end"/>
        </w:r>
      </w:hyperlink>
    </w:p>
    <w:p w14:paraId="3D38B773" w14:textId="7A43CC3B" w:rsidR="000F7A68" w:rsidRPr="000F7A68" w:rsidRDefault="00000000">
      <w:pPr>
        <w:pStyle w:val="TOC2"/>
        <w:rPr>
          <w:rFonts w:asciiTheme="majorBidi" w:eastAsiaTheme="minorEastAsia" w:hAnsiTheme="majorBidi" w:cstheme="majorBidi"/>
          <w:b w:val="0"/>
          <w:bCs w:val="0"/>
          <w:kern w:val="2"/>
          <w:sz w:val="24"/>
          <w:szCs w:val="24"/>
          <w:lang w:eastAsia="nl-NL" w:bidi="he-IL"/>
          <w14:ligatures w14:val="standardContextual"/>
        </w:rPr>
      </w:pPr>
      <w:hyperlink w:anchor="_Toc169963073" w:history="1">
        <w:r w:rsidR="000F7A68" w:rsidRPr="000F7A68">
          <w:rPr>
            <w:rStyle w:val="Hyperlink"/>
            <w:rFonts w:asciiTheme="majorBidi" w:hAnsiTheme="majorBidi" w:cstheme="majorBidi"/>
            <w:sz w:val="24"/>
            <w:szCs w:val="24"/>
          </w:rPr>
          <w:t>4.1 Inhoud</w:t>
        </w:r>
        <w:r w:rsidR="000F7A68" w:rsidRPr="000F7A68">
          <w:rPr>
            <w:rFonts w:asciiTheme="majorBidi" w:hAnsiTheme="majorBidi" w:cstheme="majorBidi"/>
            <w:webHidden/>
            <w:sz w:val="24"/>
            <w:szCs w:val="24"/>
          </w:rPr>
          <w:tab/>
        </w:r>
        <w:r w:rsidR="000F7A68" w:rsidRPr="000F7A68">
          <w:rPr>
            <w:rFonts w:asciiTheme="majorBidi" w:hAnsiTheme="majorBidi" w:cstheme="majorBidi"/>
            <w:webHidden/>
            <w:sz w:val="24"/>
            <w:szCs w:val="24"/>
          </w:rPr>
          <w:fldChar w:fldCharType="begin"/>
        </w:r>
        <w:r w:rsidR="000F7A68" w:rsidRPr="000F7A68">
          <w:rPr>
            <w:rFonts w:asciiTheme="majorBidi" w:hAnsiTheme="majorBidi" w:cstheme="majorBidi"/>
            <w:webHidden/>
            <w:sz w:val="24"/>
            <w:szCs w:val="24"/>
          </w:rPr>
          <w:instrText xml:space="preserve"> PAGEREF _Toc169963073 \h </w:instrText>
        </w:r>
        <w:r w:rsidR="000F7A68" w:rsidRPr="000F7A68">
          <w:rPr>
            <w:rFonts w:asciiTheme="majorBidi" w:hAnsiTheme="majorBidi" w:cstheme="majorBidi"/>
            <w:webHidden/>
            <w:sz w:val="24"/>
            <w:szCs w:val="24"/>
          </w:rPr>
        </w:r>
        <w:r w:rsidR="000F7A68" w:rsidRPr="000F7A68">
          <w:rPr>
            <w:rFonts w:asciiTheme="majorBidi" w:hAnsiTheme="majorBidi" w:cstheme="majorBidi"/>
            <w:webHidden/>
            <w:sz w:val="24"/>
            <w:szCs w:val="24"/>
          </w:rPr>
          <w:fldChar w:fldCharType="separate"/>
        </w:r>
        <w:r w:rsidR="000F7A68" w:rsidRPr="000F7A68">
          <w:rPr>
            <w:rFonts w:asciiTheme="majorBidi" w:hAnsiTheme="majorBidi" w:cstheme="majorBidi"/>
            <w:webHidden/>
            <w:sz w:val="24"/>
            <w:szCs w:val="24"/>
          </w:rPr>
          <w:t>41</w:t>
        </w:r>
        <w:r w:rsidR="000F7A68" w:rsidRPr="000F7A68">
          <w:rPr>
            <w:rFonts w:asciiTheme="majorBidi" w:hAnsiTheme="majorBidi" w:cstheme="majorBidi"/>
            <w:webHidden/>
            <w:sz w:val="24"/>
            <w:szCs w:val="24"/>
          </w:rPr>
          <w:fldChar w:fldCharType="end"/>
        </w:r>
      </w:hyperlink>
    </w:p>
    <w:p w14:paraId="43E28288" w14:textId="74255B8F" w:rsidR="000F7A68" w:rsidRPr="000F7A68" w:rsidRDefault="00000000">
      <w:pPr>
        <w:pStyle w:val="TOC2"/>
        <w:rPr>
          <w:rFonts w:asciiTheme="majorBidi" w:eastAsiaTheme="minorEastAsia" w:hAnsiTheme="majorBidi" w:cstheme="majorBidi"/>
          <w:b w:val="0"/>
          <w:bCs w:val="0"/>
          <w:kern w:val="2"/>
          <w:sz w:val="24"/>
          <w:szCs w:val="24"/>
          <w:lang w:eastAsia="nl-NL" w:bidi="he-IL"/>
          <w14:ligatures w14:val="standardContextual"/>
        </w:rPr>
      </w:pPr>
      <w:hyperlink w:anchor="_Toc169963074" w:history="1">
        <w:r w:rsidR="000F7A68" w:rsidRPr="000F7A68">
          <w:rPr>
            <w:rStyle w:val="Hyperlink"/>
            <w:rFonts w:asciiTheme="majorBidi" w:hAnsiTheme="majorBidi" w:cstheme="majorBidi"/>
            <w:sz w:val="24"/>
            <w:szCs w:val="24"/>
          </w:rPr>
          <w:t>4.2 Rechtstreekse werking van artikel 28 Hv bij een link tussen de staking en een EU-richtlijn</w:t>
        </w:r>
        <w:r w:rsidR="000F7A68" w:rsidRPr="000F7A68">
          <w:rPr>
            <w:rFonts w:asciiTheme="majorBidi" w:hAnsiTheme="majorBidi" w:cstheme="majorBidi"/>
            <w:webHidden/>
            <w:sz w:val="24"/>
            <w:szCs w:val="24"/>
          </w:rPr>
          <w:tab/>
        </w:r>
        <w:r w:rsidR="000F7A68" w:rsidRPr="000F7A68">
          <w:rPr>
            <w:rFonts w:asciiTheme="majorBidi" w:hAnsiTheme="majorBidi" w:cstheme="majorBidi"/>
            <w:webHidden/>
            <w:sz w:val="24"/>
            <w:szCs w:val="24"/>
          </w:rPr>
          <w:fldChar w:fldCharType="begin"/>
        </w:r>
        <w:r w:rsidR="000F7A68" w:rsidRPr="000F7A68">
          <w:rPr>
            <w:rFonts w:asciiTheme="majorBidi" w:hAnsiTheme="majorBidi" w:cstheme="majorBidi"/>
            <w:webHidden/>
            <w:sz w:val="24"/>
            <w:szCs w:val="24"/>
          </w:rPr>
          <w:instrText xml:space="preserve"> PAGEREF _Toc169963074 \h </w:instrText>
        </w:r>
        <w:r w:rsidR="000F7A68" w:rsidRPr="000F7A68">
          <w:rPr>
            <w:rFonts w:asciiTheme="majorBidi" w:hAnsiTheme="majorBidi" w:cstheme="majorBidi"/>
            <w:webHidden/>
            <w:sz w:val="24"/>
            <w:szCs w:val="24"/>
          </w:rPr>
        </w:r>
        <w:r w:rsidR="000F7A68" w:rsidRPr="000F7A68">
          <w:rPr>
            <w:rFonts w:asciiTheme="majorBidi" w:hAnsiTheme="majorBidi" w:cstheme="majorBidi"/>
            <w:webHidden/>
            <w:sz w:val="24"/>
            <w:szCs w:val="24"/>
          </w:rPr>
          <w:fldChar w:fldCharType="separate"/>
        </w:r>
        <w:r w:rsidR="000F7A68" w:rsidRPr="000F7A68">
          <w:rPr>
            <w:rFonts w:asciiTheme="majorBidi" w:hAnsiTheme="majorBidi" w:cstheme="majorBidi"/>
            <w:webHidden/>
            <w:sz w:val="24"/>
            <w:szCs w:val="24"/>
          </w:rPr>
          <w:t>42</w:t>
        </w:r>
        <w:r w:rsidR="000F7A68" w:rsidRPr="000F7A68">
          <w:rPr>
            <w:rFonts w:asciiTheme="majorBidi" w:hAnsiTheme="majorBidi" w:cstheme="majorBidi"/>
            <w:webHidden/>
            <w:sz w:val="24"/>
            <w:szCs w:val="24"/>
          </w:rPr>
          <w:fldChar w:fldCharType="end"/>
        </w:r>
      </w:hyperlink>
    </w:p>
    <w:p w14:paraId="63B66762" w14:textId="6A38AE8D" w:rsidR="000F7A68" w:rsidRPr="000F7A68" w:rsidRDefault="00000000">
      <w:pPr>
        <w:pStyle w:val="TOC3"/>
        <w:tabs>
          <w:tab w:val="right" w:leader="dot" w:pos="9350"/>
        </w:tabs>
        <w:rPr>
          <w:rFonts w:asciiTheme="majorBidi" w:hAnsiTheme="majorBidi" w:cstheme="majorBidi"/>
          <w:noProof/>
          <w:kern w:val="2"/>
          <w:sz w:val="24"/>
          <w:szCs w:val="24"/>
          <w:lang w:bidi="he-IL"/>
          <w14:ligatures w14:val="standardContextual"/>
        </w:rPr>
      </w:pPr>
      <w:hyperlink w:anchor="_Toc169963075" w:history="1">
        <w:r w:rsidR="000F7A68" w:rsidRPr="000F7A68">
          <w:rPr>
            <w:rStyle w:val="Hyperlink"/>
            <w:rFonts w:asciiTheme="majorBidi" w:hAnsiTheme="majorBidi" w:cstheme="majorBidi"/>
            <w:noProof/>
            <w:sz w:val="24"/>
            <w:szCs w:val="24"/>
          </w:rPr>
          <w:t>Voorwaarden voor verticale en horizontale directe werking</w:t>
        </w:r>
        <w:r w:rsidR="000F7A68" w:rsidRPr="000F7A68">
          <w:rPr>
            <w:rFonts w:asciiTheme="majorBidi" w:hAnsiTheme="majorBidi" w:cstheme="majorBidi"/>
            <w:noProof/>
            <w:webHidden/>
            <w:sz w:val="24"/>
            <w:szCs w:val="24"/>
          </w:rPr>
          <w:tab/>
        </w:r>
        <w:r w:rsidR="000F7A68" w:rsidRPr="000F7A68">
          <w:rPr>
            <w:rFonts w:asciiTheme="majorBidi" w:hAnsiTheme="majorBidi" w:cstheme="majorBidi"/>
            <w:noProof/>
            <w:webHidden/>
            <w:sz w:val="24"/>
            <w:szCs w:val="24"/>
          </w:rPr>
          <w:fldChar w:fldCharType="begin"/>
        </w:r>
        <w:r w:rsidR="000F7A68" w:rsidRPr="000F7A68">
          <w:rPr>
            <w:rFonts w:asciiTheme="majorBidi" w:hAnsiTheme="majorBidi" w:cstheme="majorBidi"/>
            <w:noProof/>
            <w:webHidden/>
            <w:sz w:val="24"/>
            <w:szCs w:val="24"/>
          </w:rPr>
          <w:instrText xml:space="preserve"> PAGEREF _Toc169963075 \h </w:instrText>
        </w:r>
        <w:r w:rsidR="000F7A68" w:rsidRPr="000F7A68">
          <w:rPr>
            <w:rFonts w:asciiTheme="majorBidi" w:hAnsiTheme="majorBidi" w:cstheme="majorBidi"/>
            <w:noProof/>
            <w:webHidden/>
            <w:sz w:val="24"/>
            <w:szCs w:val="24"/>
          </w:rPr>
        </w:r>
        <w:r w:rsidR="000F7A68" w:rsidRPr="000F7A68">
          <w:rPr>
            <w:rFonts w:asciiTheme="majorBidi" w:hAnsiTheme="majorBidi" w:cstheme="majorBidi"/>
            <w:noProof/>
            <w:webHidden/>
            <w:sz w:val="24"/>
            <w:szCs w:val="24"/>
          </w:rPr>
          <w:fldChar w:fldCharType="separate"/>
        </w:r>
        <w:r w:rsidR="000F7A68" w:rsidRPr="000F7A68">
          <w:rPr>
            <w:rFonts w:asciiTheme="majorBidi" w:hAnsiTheme="majorBidi" w:cstheme="majorBidi"/>
            <w:noProof/>
            <w:webHidden/>
            <w:sz w:val="24"/>
            <w:szCs w:val="24"/>
          </w:rPr>
          <w:t>42</w:t>
        </w:r>
        <w:r w:rsidR="000F7A68" w:rsidRPr="000F7A68">
          <w:rPr>
            <w:rFonts w:asciiTheme="majorBidi" w:hAnsiTheme="majorBidi" w:cstheme="majorBidi"/>
            <w:noProof/>
            <w:webHidden/>
            <w:sz w:val="24"/>
            <w:szCs w:val="24"/>
          </w:rPr>
          <w:fldChar w:fldCharType="end"/>
        </w:r>
      </w:hyperlink>
    </w:p>
    <w:p w14:paraId="67A8FB7B" w14:textId="7B6CCD5C" w:rsidR="000F7A68" w:rsidRPr="000F7A68" w:rsidRDefault="00000000">
      <w:pPr>
        <w:pStyle w:val="TOC3"/>
        <w:tabs>
          <w:tab w:val="right" w:leader="dot" w:pos="9350"/>
        </w:tabs>
        <w:rPr>
          <w:rFonts w:asciiTheme="majorBidi" w:hAnsiTheme="majorBidi" w:cstheme="majorBidi"/>
          <w:noProof/>
          <w:kern w:val="2"/>
          <w:sz w:val="24"/>
          <w:szCs w:val="24"/>
          <w:lang w:bidi="he-IL"/>
          <w14:ligatures w14:val="standardContextual"/>
        </w:rPr>
      </w:pPr>
      <w:hyperlink w:anchor="_Toc169963076" w:history="1">
        <w:r w:rsidR="000F7A68" w:rsidRPr="000F7A68">
          <w:rPr>
            <w:rStyle w:val="Hyperlink"/>
            <w:rFonts w:asciiTheme="majorBidi" w:hAnsiTheme="majorBidi" w:cstheme="majorBidi"/>
            <w:noProof/>
            <w:sz w:val="24"/>
            <w:szCs w:val="24"/>
          </w:rPr>
          <w:t>Criteria toegepast op artikel 28 Hv</w:t>
        </w:r>
        <w:r w:rsidR="000F7A68" w:rsidRPr="000F7A68">
          <w:rPr>
            <w:rFonts w:asciiTheme="majorBidi" w:hAnsiTheme="majorBidi" w:cstheme="majorBidi"/>
            <w:noProof/>
            <w:webHidden/>
            <w:sz w:val="24"/>
            <w:szCs w:val="24"/>
          </w:rPr>
          <w:tab/>
        </w:r>
        <w:r w:rsidR="000F7A68" w:rsidRPr="000F7A68">
          <w:rPr>
            <w:rFonts w:asciiTheme="majorBidi" w:hAnsiTheme="majorBidi" w:cstheme="majorBidi"/>
            <w:noProof/>
            <w:webHidden/>
            <w:sz w:val="24"/>
            <w:szCs w:val="24"/>
          </w:rPr>
          <w:fldChar w:fldCharType="begin"/>
        </w:r>
        <w:r w:rsidR="000F7A68" w:rsidRPr="000F7A68">
          <w:rPr>
            <w:rFonts w:asciiTheme="majorBidi" w:hAnsiTheme="majorBidi" w:cstheme="majorBidi"/>
            <w:noProof/>
            <w:webHidden/>
            <w:sz w:val="24"/>
            <w:szCs w:val="24"/>
          </w:rPr>
          <w:instrText xml:space="preserve"> PAGEREF _Toc169963076 \h </w:instrText>
        </w:r>
        <w:r w:rsidR="000F7A68" w:rsidRPr="000F7A68">
          <w:rPr>
            <w:rFonts w:asciiTheme="majorBidi" w:hAnsiTheme="majorBidi" w:cstheme="majorBidi"/>
            <w:noProof/>
            <w:webHidden/>
            <w:sz w:val="24"/>
            <w:szCs w:val="24"/>
          </w:rPr>
        </w:r>
        <w:r w:rsidR="000F7A68" w:rsidRPr="000F7A68">
          <w:rPr>
            <w:rFonts w:asciiTheme="majorBidi" w:hAnsiTheme="majorBidi" w:cstheme="majorBidi"/>
            <w:noProof/>
            <w:webHidden/>
            <w:sz w:val="24"/>
            <w:szCs w:val="24"/>
          </w:rPr>
          <w:fldChar w:fldCharType="separate"/>
        </w:r>
        <w:r w:rsidR="000F7A68" w:rsidRPr="000F7A68">
          <w:rPr>
            <w:rFonts w:asciiTheme="majorBidi" w:hAnsiTheme="majorBidi" w:cstheme="majorBidi"/>
            <w:noProof/>
            <w:webHidden/>
            <w:sz w:val="24"/>
            <w:szCs w:val="24"/>
          </w:rPr>
          <w:t>43</w:t>
        </w:r>
        <w:r w:rsidR="000F7A68" w:rsidRPr="000F7A68">
          <w:rPr>
            <w:rFonts w:asciiTheme="majorBidi" w:hAnsiTheme="majorBidi" w:cstheme="majorBidi"/>
            <w:noProof/>
            <w:webHidden/>
            <w:sz w:val="24"/>
            <w:szCs w:val="24"/>
          </w:rPr>
          <w:fldChar w:fldCharType="end"/>
        </w:r>
      </w:hyperlink>
    </w:p>
    <w:p w14:paraId="58C49891" w14:textId="18844DB9" w:rsidR="000F7A68" w:rsidRPr="000F7A68" w:rsidRDefault="00000000">
      <w:pPr>
        <w:pStyle w:val="TOC3"/>
        <w:tabs>
          <w:tab w:val="right" w:leader="dot" w:pos="9350"/>
        </w:tabs>
        <w:rPr>
          <w:rFonts w:asciiTheme="majorBidi" w:hAnsiTheme="majorBidi" w:cstheme="majorBidi"/>
          <w:noProof/>
          <w:kern w:val="2"/>
          <w:sz w:val="24"/>
          <w:szCs w:val="24"/>
          <w:lang w:bidi="he-IL"/>
          <w14:ligatures w14:val="standardContextual"/>
        </w:rPr>
      </w:pPr>
      <w:hyperlink w:anchor="_Toc169963077" w:history="1">
        <w:r w:rsidR="000F7A68" w:rsidRPr="000F7A68">
          <w:rPr>
            <w:rStyle w:val="Hyperlink"/>
            <w:rFonts w:asciiTheme="majorBidi" w:hAnsiTheme="majorBidi" w:cstheme="majorBidi"/>
            <w:noProof/>
            <w:sz w:val="24"/>
            <w:szCs w:val="24"/>
          </w:rPr>
          <w:t>De toepasselijkheid van artikel 28 Hv via Wachauf-uitvoering</w:t>
        </w:r>
        <w:r w:rsidR="000F7A68" w:rsidRPr="000F7A68">
          <w:rPr>
            <w:rFonts w:asciiTheme="majorBidi" w:hAnsiTheme="majorBidi" w:cstheme="majorBidi"/>
            <w:noProof/>
            <w:webHidden/>
            <w:sz w:val="24"/>
            <w:szCs w:val="24"/>
          </w:rPr>
          <w:tab/>
        </w:r>
        <w:r w:rsidR="000F7A68" w:rsidRPr="000F7A68">
          <w:rPr>
            <w:rFonts w:asciiTheme="majorBidi" w:hAnsiTheme="majorBidi" w:cstheme="majorBidi"/>
            <w:noProof/>
            <w:webHidden/>
            <w:sz w:val="24"/>
            <w:szCs w:val="24"/>
          </w:rPr>
          <w:fldChar w:fldCharType="begin"/>
        </w:r>
        <w:r w:rsidR="000F7A68" w:rsidRPr="000F7A68">
          <w:rPr>
            <w:rFonts w:asciiTheme="majorBidi" w:hAnsiTheme="majorBidi" w:cstheme="majorBidi"/>
            <w:noProof/>
            <w:webHidden/>
            <w:sz w:val="24"/>
            <w:szCs w:val="24"/>
          </w:rPr>
          <w:instrText xml:space="preserve"> PAGEREF _Toc169963077 \h </w:instrText>
        </w:r>
        <w:r w:rsidR="000F7A68" w:rsidRPr="000F7A68">
          <w:rPr>
            <w:rFonts w:asciiTheme="majorBidi" w:hAnsiTheme="majorBidi" w:cstheme="majorBidi"/>
            <w:noProof/>
            <w:webHidden/>
            <w:sz w:val="24"/>
            <w:szCs w:val="24"/>
          </w:rPr>
        </w:r>
        <w:r w:rsidR="000F7A68" w:rsidRPr="000F7A68">
          <w:rPr>
            <w:rFonts w:asciiTheme="majorBidi" w:hAnsiTheme="majorBidi" w:cstheme="majorBidi"/>
            <w:noProof/>
            <w:webHidden/>
            <w:sz w:val="24"/>
            <w:szCs w:val="24"/>
          </w:rPr>
          <w:fldChar w:fldCharType="separate"/>
        </w:r>
        <w:r w:rsidR="000F7A68" w:rsidRPr="000F7A68">
          <w:rPr>
            <w:rFonts w:asciiTheme="majorBidi" w:hAnsiTheme="majorBidi" w:cstheme="majorBidi"/>
            <w:noProof/>
            <w:webHidden/>
            <w:sz w:val="24"/>
            <w:szCs w:val="24"/>
          </w:rPr>
          <w:t>45</w:t>
        </w:r>
        <w:r w:rsidR="000F7A68" w:rsidRPr="000F7A68">
          <w:rPr>
            <w:rFonts w:asciiTheme="majorBidi" w:hAnsiTheme="majorBidi" w:cstheme="majorBidi"/>
            <w:noProof/>
            <w:webHidden/>
            <w:sz w:val="24"/>
            <w:szCs w:val="24"/>
          </w:rPr>
          <w:fldChar w:fldCharType="end"/>
        </w:r>
      </w:hyperlink>
    </w:p>
    <w:p w14:paraId="091DC853" w14:textId="1C7A60B2" w:rsidR="000F7A68" w:rsidRPr="000F7A68" w:rsidRDefault="00000000">
      <w:pPr>
        <w:pStyle w:val="TOC2"/>
        <w:rPr>
          <w:rFonts w:asciiTheme="majorBidi" w:eastAsiaTheme="minorEastAsia" w:hAnsiTheme="majorBidi" w:cstheme="majorBidi"/>
          <w:b w:val="0"/>
          <w:bCs w:val="0"/>
          <w:kern w:val="2"/>
          <w:sz w:val="24"/>
          <w:szCs w:val="24"/>
          <w:lang w:eastAsia="nl-NL" w:bidi="he-IL"/>
          <w14:ligatures w14:val="standardContextual"/>
        </w:rPr>
      </w:pPr>
      <w:hyperlink w:anchor="_Toc169963078" w:history="1">
        <w:r w:rsidR="000F7A68" w:rsidRPr="000F7A68">
          <w:rPr>
            <w:rStyle w:val="Hyperlink"/>
            <w:rFonts w:asciiTheme="majorBidi" w:hAnsiTheme="majorBidi" w:cstheme="majorBidi"/>
            <w:sz w:val="24"/>
            <w:szCs w:val="24"/>
          </w:rPr>
          <w:t>4.3 Rechtstreekse werking van artikel 28 Hv in de context van het vrij verkeer</w:t>
        </w:r>
        <w:r w:rsidR="000F7A68" w:rsidRPr="000F7A68">
          <w:rPr>
            <w:rFonts w:asciiTheme="majorBidi" w:hAnsiTheme="majorBidi" w:cstheme="majorBidi"/>
            <w:webHidden/>
            <w:sz w:val="24"/>
            <w:szCs w:val="24"/>
          </w:rPr>
          <w:tab/>
        </w:r>
        <w:r w:rsidR="000F7A68" w:rsidRPr="000F7A68">
          <w:rPr>
            <w:rFonts w:asciiTheme="majorBidi" w:hAnsiTheme="majorBidi" w:cstheme="majorBidi"/>
            <w:webHidden/>
            <w:sz w:val="24"/>
            <w:szCs w:val="24"/>
          </w:rPr>
          <w:fldChar w:fldCharType="begin"/>
        </w:r>
        <w:r w:rsidR="000F7A68" w:rsidRPr="000F7A68">
          <w:rPr>
            <w:rFonts w:asciiTheme="majorBidi" w:hAnsiTheme="majorBidi" w:cstheme="majorBidi"/>
            <w:webHidden/>
            <w:sz w:val="24"/>
            <w:szCs w:val="24"/>
          </w:rPr>
          <w:instrText xml:space="preserve"> PAGEREF _Toc169963078 \h </w:instrText>
        </w:r>
        <w:r w:rsidR="000F7A68" w:rsidRPr="000F7A68">
          <w:rPr>
            <w:rFonts w:asciiTheme="majorBidi" w:hAnsiTheme="majorBidi" w:cstheme="majorBidi"/>
            <w:webHidden/>
            <w:sz w:val="24"/>
            <w:szCs w:val="24"/>
          </w:rPr>
        </w:r>
        <w:r w:rsidR="000F7A68" w:rsidRPr="000F7A68">
          <w:rPr>
            <w:rFonts w:asciiTheme="majorBidi" w:hAnsiTheme="majorBidi" w:cstheme="majorBidi"/>
            <w:webHidden/>
            <w:sz w:val="24"/>
            <w:szCs w:val="24"/>
          </w:rPr>
          <w:fldChar w:fldCharType="separate"/>
        </w:r>
        <w:r w:rsidR="000F7A68" w:rsidRPr="000F7A68">
          <w:rPr>
            <w:rFonts w:asciiTheme="majorBidi" w:hAnsiTheme="majorBidi" w:cstheme="majorBidi"/>
            <w:webHidden/>
            <w:sz w:val="24"/>
            <w:szCs w:val="24"/>
          </w:rPr>
          <w:t>48</w:t>
        </w:r>
        <w:r w:rsidR="000F7A68" w:rsidRPr="000F7A68">
          <w:rPr>
            <w:rFonts w:asciiTheme="majorBidi" w:hAnsiTheme="majorBidi" w:cstheme="majorBidi"/>
            <w:webHidden/>
            <w:sz w:val="24"/>
            <w:szCs w:val="24"/>
          </w:rPr>
          <w:fldChar w:fldCharType="end"/>
        </w:r>
      </w:hyperlink>
    </w:p>
    <w:p w14:paraId="569ABCDE" w14:textId="117FC420" w:rsidR="000F7A68" w:rsidRPr="000F7A68" w:rsidRDefault="00000000">
      <w:pPr>
        <w:pStyle w:val="TOC3"/>
        <w:tabs>
          <w:tab w:val="right" w:leader="dot" w:pos="9350"/>
        </w:tabs>
        <w:rPr>
          <w:rFonts w:asciiTheme="majorBidi" w:hAnsiTheme="majorBidi" w:cstheme="majorBidi"/>
          <w:noProof/>
          <w:kern w:val="2"/>
          <w:sz w:val="24"/>
          <w:szCs w:val="24"/>
          <w:lang w:bidi="he-IL"/>
          <w14:ligatures w14:val="standardContextual"/>
        </w:rPr>
      </w:pPr>
      <w:hyperlink w:anchor="_Toc169963079" w:history="1">
        <w:r w:rsidR="000F7A68" w:rsidRPr="000F7A68">
          <w:rPr>
            <w:rStyle w:val="Hyperlink"/>
            <w:rFonts w:asciiTheme="majorBidi" w:hAnsiTheme="majorBidi" w:cstheme="majorBidi"/>
            <w:noProof/>
            <w:sz w:val="24"/>
            <w:szCs w:val="24"/>
          </w:rPr>
          <w:t>Horizontale directe werking van Uniegrondrechten: ontwikkelingen in de jurisprudentie</w:t>
        </w:r>
        <w:r w:rsidR="000F7A68" w:rsidRPr="000F7A68">
          <w:rPr>
            <w:rFonts w:asciiTheme="majorBidi" w:hAnsiTheme="majorBidi" w:cstheme="majorBidi"/>
            <w:noProof/>
            <w:webHidden/>
            <w:sz w:val="24"/>
            <w:szCs w:val="24"/>
          </w:rPr>
          <w:tab/>
        </w:r>
        <w:r w:rsidR="000F7A68" w:rsidRPr="000F7A68">
          <w:rPr>
            <w:rFonts w:asciiTheme="majorBidi" w:hAnsiTheme="majorBidi" w:cstheme="majorBidi"/>
            <w:noProof/>
            <w:webHidden/>
            <w:sz w:val="24"/>
            <w:szCs w:val="24"/>
          </w:rPr>
          <w:fldChar w:fldCharType="begin"/>
        </w:r>
        <w:r w:rsidR="000F7A68" w:rsidRPr="000F7A68">
          <w:rPr>
            <w:rFonts w:asciiTheme="majorBidi" w:hAnsiTheme="majorBidi" w:cstheme="majorBidi"/>
            <w:noProof/>
            <w:webHidden/>
            <w:sz w:val="24"/>
            <w:szCs w:val="24"/>
          </w:rPr>
          <w:instrText xml:space="preserve"> PAGEREF _Toc169963079 \h </w:instrText>
        </w:r>
        <w:r w:rsidR="000F7A68" w:rsidRPr="000F7A68">
          <w:rPr>
            <w:rFonts w:asciiTheme="majorBidi" w:hAnsiTheme="majorBidi" w:cstheme="majorBidi"/>
            <w:noProof/>
            <w:webHidden/>
            <w:sz w:val="24"/>
            <w:szCs w:val="24"/>
          </w:rPr>
        </w:r>
        <w:r w:rsidR="000F7A68" w:rsidRPr="000F7A68">
          <w:rPr>
            <w:rFonts w:asciiTheme="majorBidi" w:hAnsiTheme="majorBidi" w:cstheme="majorBidi"/>
            <w:noProof/>
            <w:webHidden/>
            <w:sz w:val="24"/>
            <w:szCs w:val="24"/>
          </w:rPr>
          <w:fldChar w:fldCharType="separate"/>
        </w:r>
        <w:r w:rsidR="000F7A68" w:rsidRPr="000F7A68">
          <w:rPr>
            <w:rFonts w:asciiTheme="majorBidi" w:hAnsiTheme="majorBidi" w:cstheme="majorBidi"/>
            <w:noProof/>
            <w:webHidden/>
            <w:sz w:val="24"/>
            <w:szCs w:val="24"/>
          </w:rPr>
          <w:t>49</w:t>
        </w:r>
        <w:r w:rsidR="000F7A68" w:rsidRPr="000F7A68">
          <w:rPr>
            <w:rFonts w:asciiTheme="majorBidi" w:hAnsiTheme="majorBidi" w:cstheme="majorBidi"/>
            <w:noProof/>
            <w:webHidden/>
            <w:sz w:val="24"/>
            <w:szCs w:val="24"/>
          </w:rPr>
          <w:fldChar w:fldCharType="end"/>
        </w:r>
      </w:hyperlink>
    </w:p>
    <w:p w14:paraId="094C6AA4" w14:textId="723D6C52" w:rsidR="000F7A68" w:rsidRPr="000F7A68" w:rsidRDefault="00000000">
      <w:pPr>
        <w:pStyle w:val="TOC3"/>
        <w:tabs>
          <w:tab w:val="right" w:leader="dot" w:pos="9350"/>
        </w:tabs>
        <w:rPr>
          <w:rFonts w:asciiTheme="majorBidi" w:hAnsiTheme="majorBidi" w:cstheme="majorBidi"/>
          <w:noProof/>
          <w:kern w:val="2"/>
          <w:sz w:val="24"/>
          <w:szCs w:val="24"/>
          <w:lang w:bidi="he-IL"/>
          <w14:ligatures w14:val="standardContextual"/>
        </w:rPr>
      </w:pPr>
      <w:hyperlink w:anchor="_Toc169963080" w:history="1">
        <w:r w:rsidR="000F7A68" w:rsidRPr="000F7A68">
          <w:rPr>
            <w:rStyle w:val="Hyperlink"/>
            <w:rFonts w:asciiTheme="majorBidi" w:hAnsiTheme="majorBidi" w:cstheme="majorBidi"/>
            <w:noProof/>
            <w:sz w:val="24"/>
            <w:szCs w:val="24"/>
          </w:rPr>
          <w:t>Zuiver horizontale directe werking van artikel 28 Hv: toekomstmuziek?</w:t>
        </w:r>
        <w:r w:rsidR="000F7A68" w:rsidRPr="000F7A68">
          <w:rPr>
            <w:rFonts w:asciiTheme="majorBidi" w:hAnsiTheme="majorBidi" w:cstheme="majorBidi"/>
            <w:noProof/>
            <w:webHidden/>
            <w:sz w:val="24"/>
            <w:szCs w:val="24"/>
          </w:rPr>
          <w:tab/>
        </w:r>
        <w:r w:rsidR="000F7A68" w:rsidRPr="000F7A68">
          <w:rPr>
            <w:rFonts w:asciiTheme="majorBidi" w:hAnsiTheme="majorBidi" w:cstheme="majorBidi"/>
            <w:noProof/>
            <w:webHidden/>
            <w:sz w:val="24"/>
            <w:szCs w:val="24"/>
          </w:rPr>
          <w:fldChar w:fldCharType="begin"/>
        </w:r>
        <w:r w:rsidR="000F7A68" w:rsidRPr="000F7A68">
          <w:rPr>
            <w:rFonts w:asciiTheme="majorBidi" w:hAnsiTheme="majorBidi" w:cstheme="majorBidi"/>
            <w:noProof/>
            <w:webHidden/>
            <w:sz w:val="24"/>
            <w:szCs w:val="24"/>
          </w:rPr>
          <w:instrText xml:space="preserve"> PAGEREF _Toc169963080 \h </w:instrText>
        </w:r>
        <w:r w:rsidR="000F7A68" w:rsidRPr="000F7A68">
          <w:rPr>
            <w:rFonts w:asciiTheme="majorBidi" w:hAnsiTheme="majorBidi" w:cstheme="majorBidi"/>
            <w:noProof/>
            <w:webHidden/>
            <w:sz w:val="24"/>
            <w:szCs w:val="24"/>
          </w:rPr>
        </w:r>
        <w:r w:rsidR="000F7A68" w:rsidRPr="000F7A68">
          <w:rPr>
            <w:rFonts w:asciiTheme="majorBidi" w:hAnsiTheme="majorBidi" w:cstheme="majorBidi"/>
            <w:noProof/>
            <w:webHidden/>
            <w:sz w:val="24"/>
            <w:szCs w:val="24"/>
          </w:rPr>
          <w:fldChar w:fldCharType="separate"/>
        </w:r>
        <w:r w:rsidR="000F7A68" w:rsidRPr="000F7A68">
          <w:rPr>
            <w:rFonts w:asciiTheme="majorBidi" w:hAnsiTheme="majorBidi" w:cstheme="majorBidi"/>
            <w:noProof/>
            <w:webHidden/>
            <w:sz w:val="24"/>
            <w:szCs w:val="24"/>
          </w:rPr>
          <w:t>52</w:t>
        </w:r>
        <w:r w:rsidR="000F7A68" w:rsidRPr="000F7A68">
          <w:rPr>
            <w:rFonts w:asciiTheme="majorBidi" w:hAnsiTheme="majorBidi" w:cstheme="majorBidi"/>
            <w:noProof/>
            <w:webHidden/>
            <w:sz w:val="24"/>
            <w:szCs w:val="24"/>
          </w:rPr>
          <w:fldChar w:fldCharType="end"/>
        </w:r>
      </w:hyperlink>
    </w:p>
    <w:p w14:paraId="53A3CED3" w14:textId="5F8BC708" w:rsidR="000F7A68" w:rsidRPr="000F7A68" w:rsidRDefault="00000000">
      <w:pPr>
        <w:pStyle w:val="TOC2"/>
        <w:rPr>
          <w:rFonts w:asciiTheme="majorBidi" w:eastAsiaTheme="minorEastAsia" w:hAnsiTheme="majorBidi" w:cstheme="majorBidi"/>
          <w:b w:val="0"/>
          <w:bCs w:val="0"/>
          <w:kern w:val="2"/>
          <w:sz w:val="24"/>
          <w:szCs w:val="24"/>
          <w:lang w:eastAsia="nl-NL" w:bidi="he-IL"/>
          <w14:ligatures w14:val="standardContextual"/>
        </w:rPr>
      </w:pPr>
      <w:hyperlink w:anchor="_Toc169963081" w:history="1">
        <w:r w:rsidR="000F7A68" w:rsidRPr="000F7A68">
          <w:rPr>
            <w:rStyle w:val="Hyperlink"/>
            <w:rFonts w:asciiTheme="majorBidi" w:hAnsiTheme="majorBidi" w:cstheme="majorBidi"/>
            <w:sz w:val="24"/>
            <w:szCs w:val="24"/>
          </w:rPr>
          <w:t>4.4 Afronding</w:t>
        </w:r>
        <w:r w:rsidR="000F7A68" w:rsidRPr="000F7A68">
          <w:rPr>
            <w:rFonts w:asciiTheme="majorBidi" w:hAnsiTheme="majorBidi" w:cstheme="majorBidi"/>
            <w:webHidden/>
            <w:sz w:val="24"/>
            <w:szCs w:val="24"/>
          </w:rPr>
          <w:tab/>
        </w:r>
        <w:r w:rsidR="000F7A68" w:rsidRPr="000F7A68">
          <w:rPr>
            <w:rFonts w:asciiTheme="majorBidi" w:hAnsiTheme="majorBidi" w:cstheme="majorBidi"/>
            <w:webHidden/>
            <w:sz w:val="24"/>
            <w:szCs w:val="24"/>
          </w:rPr>
          <w:fldChar w:fldCharType="begin"/>
        </w:r>
        <w:r w:rsidR="000F7A68" w:rsidRPr="000F7A68">
          <w:rPr>
            <w:rFonts w:asciiTheme="majorBidi" w:hAnsiTheme="majorBidi" w:cstheme="majorBidi"/>
            <w:webHidden/>
            <w:sz w:val="24"/>
            <w:szCs w:val="24"/>
          </w:rPr>
          <w:instrText xml:space="preserve"> PAGEREF _Toc169963081 \h </w:instrText>
        </w:r>
        <w:r w:rsidR="000F7A68" w:rsidRPr="000F7A68">
          <w:rPr>
            <w:rFonts w:asciiTheme="majorBidi" w:hAnsiTheme="majorBidi" w:cstheme="majorBidi"/>
            <w:webHidden/>
            <w:sz w:val="24"/>
            <w:szCs w:val="24"/>
          </w:rPr>
        </w:r>
        <w:r w:rsidR="000F7A68" w:rsidRPr="000F7A68">
          <w:rPr>
            <w:rFonts w:asciiTheme="majorBidi" w:hAnsiTheme="majorBidi" w:cstheme="majorBidi"/>
            <w:webHidden/>
            <w:sz w:val="24"/>
            <w:szCs w:val="24"/>
          </w:rPr>
          <w:fldChar w:fldCharType="separate"/>
        </w:r>
        <w:r w:rsidR="000F7A68" w:rsidRPr="000F7A68">
          <w:rPr>
            <w:rFonts w:asciiTheme="majorBidi" w:hAnsiTheme="majorBidi" w:cstheme="majorBidi"/>
            <w:webHidden/>
            <w:sz w:val="24"/>
            <w:szCs w:val="24"/>
          </w:rPr>
          <w:t>54</w:t>
        </w:r>
        <w:r w:rsidR="000F7A68" w:rsidRPr="000F7A68">
          <w:rPr>
            <w:rFonts w:asciiTheme="majorBidi" w:hAnsiTheme="majorBidi" w:cstheme="majorBidi"/>
            <w:webHidden/>
            <w:sz w:val="24"/>
            <w:szCs w:val="24"/>
          </w:rPr>
          <w:fldChar w:fldCharType="end"/>
        </w:r>
      </w:hyperlink>
    </w:p>
    <w:p w14:paraId="4E4245CD" w14:textId="15B997C0" w:rsidR="000F7A68" w:rsidRPr="000F7A68" w:rsidRDefault="00000000">
      <w:pPr>
        <w:pStyle w:val="TOC1"/>
        <w:tabs>
          <w:tab w:val="right" w:leader="dot" w:pos="9350"/>
        </w:tabs>
        <w:rPr>
          <w:rFonts w:asciiTheme="majorBidi" w:eastAsiaTheme="minorEastAsia" w:hAnsiTheme="majorBidi" w:cstheme="majorBidi"/>
          <w:noProof/>
          <w:kern w:val="2"/>
          <w:sz w:val="24"/>
          <w:szCs w:val="24"/>
          <w:lang w:eastAsia="nl-NL" w:bidi="he-IL"/>
          <w14:ligatures w14:val="standardContextual"/>
        </w:rPr>
      </w:pPr>
      <w:hyperlink w:anchor="_Toc169963082" w:history="1">
        <w:r w:rsidR="000F7A68" w:rsidRPr="000F7A68">
          <w:rPr>
            <w:rStyle w:val="Hyperlink"/>
            <w:rFonts w:asciiTheme="majorBidi" w:hAnsiTheme="majorBidi" w:cstheme="majorBidi"/>
            <w:noProof/>
            <w:sz w:val="24"/>
            <w:szCs w:val="24"/>
          </w:rPr>
          <w:t>Hoofdstuk 5. Conclusie</w:t>
        </w:r>
        <w:r w:rsidR="000F7A68" w:rsidRPr="000F7A68">
          <w:rPr>
            <w:rFonts w:asciiTheme="majorBidi" w:hAnsiTheme="majorBidi" w:cstheme="majorBidi"/>
            <w:noProof/>
            <w:webHidden/>
            <w:sz w:val="24"/>
            <w:szCs w:val="24"/>
          </w:rPr>
          <w:tab/>
        </w:r>
        <w:r w:rsidR="000F7A68" w:rsidRPr="000F7A68">
          <w:rPr>
            <w:rFonts w:asciiTheme="majorBidi" w:hAnsiTheme="majorBidi" w:cstheme="majorBidi"/>
            <w:noProof/>
            <w:webHidden/>
            <w:sz w:val="24"/>
            <w:szCs w:val="24"/>
          </w:rPr>
          <w:fldChar w:fldCharType="begin"/>
        </w:r>
        <w:r w:rsidR="000F7A68" w:rsidRPr="000F7A68">
          <w:rPr>
            <w:rFonts w:asciiTheme="majorBidi" w:hAnsiTheme="majorBidi" w:cstheme="majorBidi"/>
            <w:noProof/>
            <w:webHidden/>
            <w:sz w:val="24"/>
            <w:szCs w:val="24"/>
          </w:rPr>
          <w:instrText xml:space="preserve"> PAGEREF _Toc169963082 \h </w:instrText>
        </w:r>
        <w:r w:rsidR="000F7A68" w:rsidRPr="000F7A68">
          <w:rPr>
            <w:rFonts w:asciiTheme="majorBidi" w:hAnsiTheme="majorBidi" w:cstheme="majorBidi"/>
            <w:noProof/>
            <w:webHidden/>
            <w:sz w:val="24"/>
            <w:szCs w:val="24"/>
          </w:rPr>
        </w:r>
        <w:r w:rsidR="000F7A68" w:rsidRPr="000F7A68">
          <w:rPr>
            <w:rFonts w:asciiTheme="majorBidi" w:hAnsiTheme="majorBidi" w:cstheme="majorBidi"/>
            <w:noProof/>
            <w:webHidden/>
            <w:sz w:val="24"/>
            <w:szCs w:val="24"/>
          </w:rPr>
          <w:fldChar w:fldCharType="separate"/>
        </w:r>
        <w:r w:rsidR="000F7A68" w:rsidRPr="000F7A68">
          <w:rPr>
            <w:rFonts w:asciiTheme="majorBidi" w:hAnsiTheme="majorBidi" w:cstheme="majorBidi"/>
            <w:noProof/>
            <w:webHidden/>
            <w:sz w:val="24"/>
            <w:szCs w:val="24"/>
          </w:rPr>
          <w:t>57</w:t>
        </w:r>
        <w:r w:rsidR="000F7A68" w:rsidRPr="000F7A68">
          <w:rPr>
            <w:rFonts w:asciiTheme="majorBidi" w:hAnsiTheme="majorBidi" w:cstheme="majorBidi"/>
            <w:noProof/>
            <w:webHidden/>
            <w:sz w:val="24"/>
            <w:szCs w:val="24"/>
          </w:rPr>
          <w:fldChar w:fldCharType="end"/>
        </w:r>
      </w:hyperlink>
    </w:p>
    <w:p w14:paraId="5F7C9872" w14:textId="00E111E6" w:rsidR="000F7A68" w:rsidRPr="000F7A68" w:rsidRDefault="00000000">
      <w:pPr>
        <w:pStyle w:val="TOC1"/>
        <w:tabs>
          <w:tab w:val="right" w:leader="dot" w:pos="9350"/>
        </w:tabs>
        <w:rPr>
          <w:rFonts w:asciiTheme="majorBidi" w:eastAsiaTheme="minorEastAsia" w:hAnsiTheme="majorBidi" w:cstheme="majorBidi"/>
          <w:noProof/>
          <w:kern w:val="2"/>
          <w:sz w:val="24"/>
          <w:szCs w:val="24"/>
          <w:lang w:eastAsia="nl-NL" w:bidi="he-IL"/>
          <w14:ligatures w14:val="standardContextual"/>
        </w:rPr>
      </w:pPr>
      <w:hyperlink w:anchor="_Toc169963083" w:history="1">
        <w:r w:rsidR="000F7A68" w:rsidRPr="000F7A68">
          <w:rPr>
            <w:rStyle w:val="Hyperlink"/>
            <w:rFonts w:asciiTheme="majorBidi" w:hAnsiTheme="majorBidi" w:cstheme="majorBidi"/>
            <w:noProof/>
            <w:sz w:val="24"/>
            <w:szCs w:val="24"/>
            <w:lang w:val="en-US"/>
          </w:rPr>
          <w:t>Bibliografie</w:t>
        </w:r>
        <w:r w:rsidR="000F7A68" w:rsidRPr="000F7A68">
          <w:rPr>
            <w:rFonts w:asciiTheme="majorBidi" w:hAnsiTheme="majorBidi" w:cstheme="majorBidi"/>
            <w:noProof/>
            <w:webHidden/>
            <w:sz w:val="24"/>
            <w:szCs w:val="24"/>
          </w:rPr>
          <w:tab/>
        </w:r>
        <w:r w:rsidR="000F7A68" w:rsidRPr="000F7A68">
          <w:rPr>
            <w:rFonts w:asciiTheme="majorBidi" w:hAnsiTheme="majorBidi" w:cstheme="majorBidi"/>
            <w:noProof/>
            <w:webHidden/>
            <w:sz w:val="24"/>
            <w:szCs w:val="24"/>
          </w:rPr>
          <w:fldChar w:fldCharType="begin"/>
        </w:r>
        <w:r w:rsidR="000F7A68" w:rsidRPr="000F7A68">
          <w:rPr>
            <w:rFonts w:asciiTheme="majorBidi" w:hAnsiTheme="majorBidi" w:cstheme="majorBidi"/>
            <w:noProof/>
            <w:webHidden/>
            <w:sz w:val="24"/>
            <w:szCs w:val="24"/>
          </w:rPr>
          <w:instrText xml:space="preserve"> PAGEREF _Toc169963083 \h </w:instrText>
        </w:r>
        <w:r w:rsidR="000F7A68" w:rsidRPr="000F7A68">
          <w:rPr>
            <w:rFonts w:asciiTheme="majorBidi" w:hAnsiTheme="majorBidi" w:cstheme="majorBidi"/>
            <w:noProof/>
            <w:webHidden/>
            <w:sz w:val="24"/>
            <w:szCs w:val="24"/>
          </w:rPr>
        </w:r>
        <w:r w:rsidR="000F7A68" w:rsidRPr="000F7A68">
          <w:rPr>
            <w:rFonts w:asciiTheme="majorBidi" w:hAnsiTheme="majorBidi" w:cstheme="majorBidi"/>
            <w:noProof/>
            <w:webHidden/>
            <w:sz w:val="24"/>
            <w:szCs w:val="24"/>
          </w:rPr>
          <w:fldChar w:fldCharType="separate"/>
        </w:r>
        <w:r w:rsidR="000F7A68" w:rsidRPr="000F7A68">
          <w:rPr>
            <w:rFonts w:asciiTheme="majorBidi" w:hAnsiTheme="majorBidi" w:cstheme="majorBidi"/>
            <w:noProof/>
            <w:webHidden/>
            <w:sz w:val="24"/>
            <w:szCs w:val="24"/>
          </w:rPr>
          <w:t>60</w:t>
        </w:r>
        <w:r w:rsidR="000F7A68" w:rsidRPr="000F7A68">
          <w:rPr>
            <w:rFonts w:asciiTheme="majorBidi" w:hAnsiTheme="majorBidi" w:cstheme="majorBidi"/>
            <w:noProof/>
            <w:webHidden/>
            <w:sz w:val="24"/>
            <w:szCs w:val="24"/>
          </w:rPr>
          <w:fldChar w:fldCharType="end"/>
        </w:r>
      </w:hyperlink>
    </w:p>
    <w:p w14:paraId="49F1387C" w14:textId="421220FD" w:rsidR="000F7A68" w:rsidRPr="000F7A68" w:rsidRDefault="00000000">
      <w:pPr>
        <w:pStyle w:val="TOC1"/>
        <w:tabs>
          <w:tab w:val="right" w:leader="dot" w:pos="9350"/>
        </w:tabs>
        <w:rPr>
          <w:rFonts w:asciiTheme="majorBidi" w:eastAsiaTheme="minorEastAsia" w:hAnsiTheme="majorBidi" w:cstheme="majorBidi"/>
          <w:noProof/>
          <w:kern w:val="2"/>
          <w:sz w:val="24"/>
          <w:szCs w:val="24"/>
          <w:lang w:eastAsia="nl-NL" w:bidi="he-IL"/>
          <w14:ligatures w14:val="standardContextual"/>
        </w:rPr>
      </w:pPr>
      <w:hyperlink w:anchor="_Toc169963084" w:history="1">
        <w:r w:rsidR="000F7A68" w:rsidRPr="000F7A68">
          <w:rPr>
            <w:rStyle w:val="Hyperlink"/>
            <w:rFonts w:asciiTheme="majorBidi" w:hAnsiTheme="majorBidi" w:cstheme="majorBidi"/>
            <w:noProof/>
            <w:sz w:val="24"/>
            <w:szCs w:val="24"/>
          </w:rPr>
          <w:t>Jurisprudentielijst</w:t>
        </w:r>
        <w:r w:rsidR="000F7A68" w:rsidRPr="000F7A68">
          <w:rPr>
            <w:rFonts w:asciiTheme="majorBidi" w:hAnsiTheme="majorBidi" w:cstheme="majorBidi"/>
            <w:noProof/>
            <w:webHidden/>
            <w:sz w:val="24"/>
            <w:szCs w:val="24"/>
          </w:rPr>
          <w:tab/>
        </w:r>
        <w:r w:rsidR="000F7A68" w:rsidRPr="000F7A68">
          <w:rPr>
            <w:rFonts w:asciiTheme="majorBidi" w:hAnsiTheme="majorBidi" w:cstheme="majorBidi"/>
            <w:noProof/>
            <w:webHidden/>
            <w:sz w:val="24"/>
            <w:szCs w:val="24"/>
          </w:rPr>
          <w:fldChar w:fldCharType="begin"/>
        </w:r>
        <w:r w:rsidR="000F7A68" w:rsidRPr="000F7A68">
          <w:rPr>
            <w:rFonts w:asciiTheme="majorBidi" w:hAnsiTheme="majorBidi" w:cstheme="majorBidi"/>
            <w:noProof/>
            <w:webHidden/>
            <w:sz w:val="24"/>
            <w:szCs w:val="24"/>
          </w:rPr>
          <w:instrText xml:space="preserve"> PAGEREF _Toc169963084 \h </w:instrText>
        </w:r>
        <w:r w:rsidR="000F7A68" w:rsidRPr="000F7A68">
          <w:rPr>
            <w:rFonts w:asciiTheme="majorBidi" w:hAnsiTheme="majorBidi" w:cstheme="majorBidi"/>
            <w:noProof/>
            <w:webHidden/>
            <w:sz w:val="24"/>
            <w:szCs w:val="24"/>
          </w:rPr>
        </w:r>
        <w:r w:rsidR="000F7A68" w:rsidRPr="000F7A68">
          <w:rPr>
            <w:rFonts w:asciiTheme="majorBidi" w:hAnsiTheme="majorBidi" w:cstheme="majorBidi"/>
            <w:noProof/>
            <w:webHidden/>
            <w:sz w:val="24"/>
            <w:szCs w:val="24"/>
          </w:rPr>
          <w:fldChar w:fldCharType="separate"/>
        </w:r>
        <w:r w:rsidR="000F7A68" w:rsidRPr="000F7A68">
          <w:rPr>
            <w:rFonts w:asciiTheme="majorBidi" w:hAnsiTheme="majorBidi" w:cstheme="majorBidi"/>
            <w:noProof/>
            <w:webHidden/>
            <w:sz w:val="24"/>
            <w:szCs w:val="24"/>
          </w:rPr>
          <w:t>73</w:t>
        </w:r>
        <w:r w:rsidR="000F7A68" w:rsidRPr="000F7A68">
          <w:rPr>
            <w:rFonts w:asciiTheme="majorBidi" w:hAnsiTheme="majorBidi" w:cstheme="majorBidi"/>
            <w:noProof/>
            <w:webHidden/>
            <w:sz w:val="24"/>
            <w:szCs w:val="24"/>
          </w:rPr>
          <w:fldChar w:fldCharType="end"/>
        </w:r>
      </w:hyperlink>
    </w:p>
    <w:p w14:paraId="15FF2DAE" w14:textId="4610DC8A" w:rsidR="00212F80" w:rsidRPr="00EF3595" w:rsidRDefault="00212F80" w:rsidP="00212F80">
      <w:pPr>
        <w:spacing w:after="0"/>
        <w:rPr>
          <w:sz w:val="24"/>
          <w:szCs w:val="24"/>
        </w:rPr>
      </w:pPr>
      <w:r w:rsidRPr="000F7A68">
        <w:rPr>
          <w:rFonts w:asciiTheme="majorBidi" w:hAnsiTheme="majorBidi" w:cstheme="majorBidi"/>
          <w:sz w:val="24"/>
          <w:szCs w:val="24"/>
        </w:rPr>
        <w:fldChar w:fldCharType="end"/>
      </w:r>
      <w:r w:rsidRPr="00EF3595">
        <w:rPr>
          <w:sz w:val="24"/>
          <w:szCs w:val="24"/>
        </w:rPr>
        <w:br w:type="page"/>
      </w:r>
    </w:p>
    <w:p w14:paraId="51D670F5" w14:textId="60CB6E34" w:rsidR="00FD7317" w:rsidRPr="00AC12C5" w:rsidRDefault="00FD7317" w:rsidP="00E534A3">
      <w:pPr>
        <w:pStyle w:val="Heading1"/>
        <w:rPr>
          <w:bCs/>
          <w:szCs w:val="24"/>
        </w:rPr>
      </w:pPr>
      <w:bookmarkStart w:id="1" w:name="_Toc169963032"/>
      <w:r w:rsidRPr="00AC12C5">
        <w:rPr>
          <w:szCs w:val="24"/>
        </w:rPr>
        <w:lastRenderedPageBreak/>
        <w:t>Lijst van afkortingen</w:t>
      </w:r>
      <w:bookmarkEnd w:id="1"/>
    </w:p>
    <w:p w14:paraId="2AB83980" w14:textId="77777777" w:rsidR="00FD7317" w:rsidRPr="00AC12C5" w:rsidRDefault="00FD7317" w:rsidP="00FD7317">
      <w:pPr>
        <w:spacing w:after="0"/>
        <w:rPr>
          <w:sz w:val="24"/>
          <w:szCs w:val="24"/>
        </w:rPr>
      </w:pPr>
    </w:p>
    <w:p w14:paraId="56170975" w14:textId="1298DD00" w:rsidR="00DF4B32" w:rsidRPr="00AC12C5" w:rsidRDefault="00DF4B32" w:rsidP="00FD7317">
      <w:pPr>
        <w:spacing w:after="0"/>
        <w:jc w:val="both"/>
        <w:rPr>
          <w:bCs/>
          <w:sz w:val="24"/>
          <w:szCs w:val="24"/>
        </w:rPr>
      </w:pPr>
      <w:r w:rsidRPr="00AC12C5">
        <w:rPr>
          <w:bCs/>
          <w:sz w:val="24"/>
          <w:szCs w:val="24"/>
        </w:rPr>
        <w:t>BW</w:t>
      </w:r>
      <w:r w:rsidRPr="00AC12C5">
        <w:rPr>
          <w:bCs/>
          <w:sz w:val="24"/>
          <w:szCs w:val="24"/>
        </w:rPr>
        <w:tab/>
      </w:r>
      <w:r w:rsidRPr="00AC12C5">
        <w:rPr>
          <w:bCs/>
          <w:sz w:val="24"/>
          <w:szCs w:val="24"/>
        </w:rPr>
        <w:tab/>
      </w:r>
      <w:r w:rsidR="00121A6A">
        <w:rPr>
          <w:bCs/>
          <w:sz w:val="24"/>
          <w:szCs w:val="24"/>
        </w:rPr>
        <w:tab/>
      </w:r>
      <w:r w:rsidRPr="00AC12C5">
        <w:rPr>
          <w:bCs/>
          <w:sz w:val="24"/>
          <w:szCs w:val="24"/>
        </w:rPr>
        <w:t>Burgerlijk Wetboek</w:t>
      </w:r>
    </w:p>
    <w:p w14:paraId="7882BCD0" w14:textId="0D6308B1" w:rsidR="00FD7317" w:rsidRPr="00AC12C5" w:rsidRDefault="00FD7317" w:rsidP="00FD7317">
      <w:pPr>
        <w:spacing w:after="0"/>
        <w:jc w:val="both"/>
        <w:rPr>
          <w:bCs/>
          <w:sz w:val="24"/>
          <w:szCs w:val="24"/>
          <w:lang w:val="en-GB"/>
        </w:rPr>
      </w:pPr>
      <w:r w:rsidRPr="00AC12C5">
        <w:rPr>
          <w:bCs/>
          <w:sz w:val="24"/>
          <w:szCs w:val="24"/>
          <w:lang w:val="en-US"/>
        </w:rPr>
        <w:t>CFA</w:t>
      </w:r>
      <w:r w:rsidRPr="00AC12C5">
        <w:rPr>
          <w:bCs/>
          <w:sz w:val="24"/>
          <w:szCs w:val="24"/>
          <w:lang w:val="en-US"/>
        </w:rPr>
        <w:tab/>
      </w:r>
      <w:r w:rsidRPr="00AC12C5">
        <w:rPr>
          <w:bCs/>
          <w:sz w:val="24"/>
          <w:szCs w:val="24"/>
          <w:lang w:val="en-US"/>
        </w:rPr>
        <w:tab/>
      </w:r>
      <w:r w:rsidR="00121A6A">
        <w:rPr>
          <w:bCs/>
          <w:sz w:val="24"/>
          <w:szCs w:val="24"/>
          <w:lang w:val="en-US"/>
        </w:rPr>
        <w:tab/>
      </w:r>
      <w:r w:rsidRPr="00AC12C5">
        <w:rPr>
          <w:bCs/>
          <w:sz w:val="24"/>
          <w:szCs w:val="24"/>
          <w:lang w:val="en-GB"/>
        </w:rPr>
        <w:t>Committee on Freedom of Association</w:t>
      </w:r>
    </w:p>
    <w:p w14:paraId="204F093F" w14:textId="58808B08" w:rsidR="006942EB" w:rsidRPr="00AC12C5" w:rsidRDefault="006942EB" w:rsidP="00121A6A">
      <w:pPr>
        <w:spacing w:after="0"/>
        <w:ind w:left="2124" w:hanging="2124"/>
        <w:jc w:val="both"/>
        <w:rPr>
          <w:sz w:val="24"/>
          <w:szCs w:val="24"/>
          <w:lang w:val="en-GB"/>
        </w:rPr>
      </w:pPr>
      <w:proofErr w:type="spellStart"/>
      <w:r w:rsidRPr="00AC12C5">
        <w:rPr>
          <w:bCs/>
          <w:sz w:val="24"/>
          <w:szCs w:val="24"/>
          <w:lang w:val="en-GB"/>
        </w:rPr>
        <w:t>CoE</w:t>
      </w:r>
      <w:proofErr w:type="spellEnd"/>
      <w:r w:rsidRPr="00AC12C5">
        <w:rPr>
          <w:bCs/>
          <w:sz w:val="24"/>
          <w:szCs w:val="24"/>
          <w:lang w:val="en-GB"/>
        </w:rPr>
        <w:tab/>
      </w:r>
      <w:r w:rsidRPr="00AC12C5">
        <w:rPr>
          <w:sz w:val="24"/>
          <w:szCs w:val="24"/>
          <w:lang w:val="en-GB"/>
        </w:rPr>
        <w:t>Committee of Experts on the Application of Conventions and Recommendations</w:t>
      </w:r>
    </w:p>
    <w:p w14:paraId="0FEDA5B9" w14:textId="640652F3" w:rsidR="00517745" w:rsidRPr="00AC12C5" w:rsidRDefault="00517745" w:rsidP="00FD7317">
      <w:pPr>
        <w:spacing w:after="0"/>
        <w:jc w:val="both"/>
        <w:rPr>
          <w:bCs/>
          <w:sz w:val="24"/>
          <w:szCs w:val="24"/>
          <w:lang w:val="en-US"/>
        </w:rPr>
      </w:pPr>
      <w:r w:rsidRPr="00AC12C5">
        <w:rPr>
          <w:sz w:val="24"/>
          <w:szCs w:val="24"/>
          <w:lang w:val="en-US"/>
        </w:rPr>
        <w:t>CAS</w:t>
      </w:r>
      <w:r w:rsidRPr="00AC12C5">
        <w:rPr>
          <w:sz w:val="24"/>
          <w:szCs w:val="24"/>
          <w:lang w:val="en-US"/>
        </w:rPr>
        <w:tab/>
      </w:r>
      <w:r w:rsidRPr="00AC12C5">
        <w:rPr>
          <w:sz w:val="24"/>
          <w:szCs w:val="24"/>
          <w:lang w:val="en-US"/>
        </w:rPr>
        <w:tab/>
      </w:r>
      <w:r w:rsidR="00121A6A">
        <w:rPr>
          <w:sz w:val="24"/>
          <w:szCs w:val="24"/>
          <w:lang w:val="en-US"/>
        </w:rPr>
        <w:tab/>
      </w:r>
      <w:r w:rsidRPr="00AC12C5">
        <w:rPr>
          <w:sz w:val="24"/>
          <w:szCs w:val="24"/>
          <w:lang w:val="en-US"/>
        </w:rPr>
        <w:t>Committee on the Application of Standards</w:t>
      </w:r>
    </w:p>
    <w:p w14:paraId="4A92652F" w14:textId="61A92591" w:rsidR="00FD7317" w:rsidRPr="00AC12C5" w:rsidRDefault="00FD7317" w:rsidP="00FD7317">
      <w:pPr>
        <w:spacing w:after="0"/>
        <w:ind w:left="1416" w:hanging="1416"/>
        <w:jc w:val="both"/>
        <w:rPr>
          <w:bCs/>
          <w:sz w:val="24"/>
          <w:szCs w:val="24"/>
        </w:rPr>
      </w:pPr>
      <w:r w:rsidRPr="00AC12C5">
        <w:rPr>
          <w:bCs/>
          <w:sz w:val="24"/>
          <w:szCs w:val="24"/>
        </w:rPr>
        <w:t>ECSR</w:t>
      </w:r>
      <w:r w:rsidRPr="00AC12C5">
        <w:rPr>
          <w:bCs/>
          <w:sz w:val="24"/>
          <w:szCs w:val="24"/>
        </w:rPr>
        <w:tab/>
      </w:r>
      <w:r w:rsidR="00121A6A">
        <w:rPr>
          <w:bCs/>
          <w:sz w:val="24"/>
          <w:szCs w:val="24"/>
        </w:rPr>
        <w:tab/>
      </w:r>
      <w:r w:rsidRPr="00AC12C5">
        <w:rPr>
          <w:bCs/>
          <w:sz w:val="24"/>
          <w:szCs w:val="24"/>
        </w:rPr>
        <w:t>Europees Comité voor Sociale Rechten</w:t>
      </w:r>
    </w:p>
    <w:p w14:paraId="6D408C05" w14:textId="3D3143AD" w:rsidR="00FD7317" w:rsidRPr="00AC12C5" w:rsidRDefault="00FD7317" w:rsidP="00121A6A">
      <w:pPr>
        <w:spacing w:after="0"/>
        <w:ind w:left="2124" w:hanging="2124"/>
        <w:jc w:val="both"/>
        <w:rPr>
          <w:bCs/>
          <w:sz w:val="24"/>
          <w:szCs w:val="24"/>
        </w:rPr>
      </w:pPr>
      <w:r w:rsidRPr="00AC12C5">
        <w:rPr>
          <w:bCs/>
          <w:sz w:val="24"/>
          <w:szCs w:val="24"/>
        </w:rPr>
        <w:t>EVRM</w:t>
      </w:r>
      <w:r w:rsidRPr="00AC12C5">
        <w:rPr>
          <w:bCs/>
          <w:sz w:val="24"/>
          <w:szCs w:val="24"/>
        </w:rPr>
        <w:tab/>
        <w:t xml:space="preserve">Europees Verdrag </w:t>
      </w:r>
      <w:r w:rsidRPr="00AC12C5">
        <w:rPr>
          <w:sz w:val="24"/>
          <w:szCs w:val="24"/>
        </w:rPr>
        <w:t xml:space="preserve">tot </w:t>
      </w:r>
      <w:r w:rsidR="00931B16">
        <w:rPr>
          <w:sz w:val="24"/>
          <w:szCs w:val="24"/>
        </w:rPr>
        <w:t>b</w:t>
      </w:r>
      <w:r w:rsidRPr="00AC12C5">
        <w:rPr>
          <w:sz w:val="24"/>
          <w:szCs w:val="24"/>
        </w:rPr>
        <w:t xml:space="preserve">escherming van de </w:t>
      </w:r>
      <w:r w:rsidR="00931B16">
        <w:rPr>
          <w:sz w:val="24"/>
          <w:szCs w:val="24"/>
        </w:rPr>
        <w:t>r</w:t>
      </w:r>
      <w:r w:rsidRPr="00AC12C5">
        <w:rPr>
          <w:sz w:val="24"/>
          <w:szCs w:val="24"/>
        </w:rPr>
        <w:t xml:space="preserve">echten van de </w:t>
      </w:r>
      <w:r w:rsidR="00931B16">
        <w:rPr>
          <w:sz w:val="24"/>
          <w:szCs w:val="24"/>
        </w:rPr>
        <w:t>m</w:t>
      </w:r>
      <w:r w:rsidRPr="00AC12C5">
        <w:rPr>
          <w:sz w:val="24"/>
          <w:szCs w:val="24"/>
        </w:rPr>
        <w:t xml:space="preserve">ens en de </w:t>
      </w:r>
      <w:r w:rsidR="00931B16">
        <w:rPr>
          <w:sz w:val="24"/>
          <w:szCs w:val="24"/>
        </w:rPr>
        <w:t>f</w:t>
      </w:r>
      <w:r w:rsidRPr="00AC12C5">
        <w:rPr>
          <w:sz w:val="24"/>
          <w:szCs w:val="24"/>
        </w:rPr>
        <w:t xml:space="preserve">undamentele </w:t>
      </w:r>
      <w:r w:rsidR="00931B16">
        <w:rPr>
          <w:sz w:val="24"/>
          <w:szCs w:val="24"/>
        </w:rPr>
        <w:t>v</w:t>
      </w:r>
      <w:r w:rsidRPr="00AC12C5">
        <w:rPr>
          <w:sz w:val="24"/>
          <w:szCs w:val="24"/>
        </w:rPr>
        <w:t>rijheden</w:t>
      </w:r>
    </w:p>
    <w:p w14:paraId="604894C0" w14:textId="648A01A6" w:rsidR="00FD7317" w:rsidRPr="00AC12C5" w:rsidRDefault="00FD7317" w:rsidP="00FD7317">
      <w:pPr>
        <w:spacing w:after="0"/>
        <w:jc w:val="both"/>
        <w:rPr>
          <w:sz w:val="24"/>
          <w:szCs w:val="24"/>
        </w:rPr>
      </w:pPr>
      <w:r w:rsidRPr="00AC12C5">
        <w:rPr>
          <w:bCs/>
          <w:sz w:val="24"/>
          <w:szCs w:val="24"/>
        </w:rPr>
        <w:t>EHRM</w:t>
      </w:r>
      <w:r w:rsidRPr="00AC12C5">
        <w:rPr>
          <w:bCs/>
          <w:sz w:val="24"/>
          <w:szCs w:val="24"/>
        </w:rPr>
        <w:tab/>
      </w:r>
      <w:r w:rsidRPr="00AC12C5">
        <w:rPr>
          <w:bCs/>
          <w:sz w:val="24"/>
          <w:szCs w:val="24"/>
        </w:rPr>
        <w:tab/>
      </w:r>
      <w:r w:rsidR="00121A6A">
        <w:rPr>
          <w:bCs/>
          <w:sz w:val="24"/>
          <w:szCs w:val="24"/>
        </w:rPr>
        <w:tab/>
      </w:r>
      <w:r w:rsidRPr="00AC12C5">
        <w:rPr>
          <w:bCs/>
          <w:sz w:val="24"/>
          <w:szCs w:val="24"/>
        </w:rPr>
        <w:t xml:space="preserve">Europees Hof </w:t>
      </w:r>
      <w:r w:rsidRPr="00AC12C5">
        <w:rPr>
          <w:sz w:val="24"/>
          <w:szCs w:val="24"/>
        </w:rPr>
        <w:t>voor de Rechten van de Mens</w:t>
      </w:r>
    </w:p>
    <w:p w14:paraId="5B7F6A2E" w14:textId="1D6E39B0" w:rsidR="00FD7317" w:rsidRPr="00AC12C5" w:rsidRDefault="00FD7317" w:rsidP="00FD7317">
      <w:pPr>
        <w:spacing w:after="0"/>
        <w:jc w:val="both"/>
        <w:rPr>
          <w:sz w:val="24"/>
          <w:szCs w:val="24"/>
        </w:rPr>
      </w:pPr>
      <w:r w:rsidRPr="00AC12C5">
        <w:rPr>
          <w:sz w:val="24"/>
          <w:szCs w:val="24"/>
        </w:rPr>
        <w:t>ESH</w:t>
      </w:r>
      <w:r w:rsidRPr="00AC12C5">
        <w:rPr>
          <w:sz w:val="24"/>
          <w:szCs w:val="24"/>
        </w:rPr>
        <w:tab/>
      </w:r>
      <w:r w:rsidRPr="00AC12C5">
        <w:rPr>
          <w:sz w:val="24"/>
          <w:szCs w:val="24"/>
        </w:rPr>
        <w:tab/>
      </w:r>
      <w:r w:rsidR="00121A6A">
        <w:rPr>
          <w:sz w:val="24"/>
          <w:szCs w:val="24"/>
        </w:rPr>
        <w:tab/>
      </w:r>
      <w:r w:rsidRPr="00AC12C5">
        <w:rPr>
          <w:sz w:val="24"/>
          <w:szCs w:val="24"/>
        </w:rPr>
        <w:t>Europees Sociaal Handvest</w:t>
      </w:r>
    </w:p>
    <w:p w14:paraId="1F997C7E" w14:textId="28A7DC7F" w:rsidR="00A65B8D" w:rsidRPr="00AC12C5" w:rsidRDefault="00A65B8D" w:rsidP="00FD7317">
      <w:pPr>
        <w:spacing w:after="0"/>
        <w:jc w:val="both"/>
        <w:rPr>
          <w:sz w:val="24"/>
          <w:szCs w:val="24"/>
        </w:rPr>
      </w:pPr>
      <w:r w:rsidRPr="00AC12C5">
        <w:rPr>
          <w:sz w:val="24"/>
          <w:szCs w:val="24"/>
        </w:rPr>
        <w:t>EU</w:t>
      </w:r>
      <w:r w:rsidRPr="00AC12C5">
        <w:rPr>
          <w:sz w:val="24"/>
          <w:szCs w:val="24"/>
        </w:rPr>
        <w:tab/>
      </w:r>
      <w:r w:rsidRPr="00AC12C5">
        <w:rPr>
          <w:sz w:val="24"/>
          <w:szCs w:val="24"/>
        </w:rPr>
        <w:tab/>
      </w:r>
      <w:r w:rsidR="00121A6A">
        <w:rPr>
          <w:sz w:val="24"/>
          <w:szCs w:val="24"/>
        </w:rPr>
        <w:tab/>
      </w:r>
      <w:r w:rsidRPr="00AC12C5">
        <w:rPr>
          <w:sz w:val="24"/>
          <w:szCs w:val="24"/>
        </w:rPr>
        <w:t>Europese Unie</w:t>
      </w:r>
    </w:p>
    <w:p w14:paraId="3266C284" w14:textId="4AC2B985" w:rsidR="000454C0" w:rsidRPr="00AC12C5" w:rsidRDefault="000454C0" w:rsidP="00FD7317">
      <w:pPr>
        <w:spacing w:after="0"/>
        <w:jc w:val="both"/>
        <w:rPr>
          <w:sz w:val="24"/>
          <w:szCs w:val="24"/>
        </w:rPr>
      </w:pPr>
      <w:proofErr w:type="spellStart"/>
      <w:r w:rsidRPr="00AC12C5">
        <w:rPr>
          <w:sz w:val="24"/>
          <w:szCs w:val="24"/>
        </w:rPr>
        <w:t>Gw</w:t>
      </w:r>
      <w:proofErr w:type="spellEnd"/>
      <w:r w:rsidRPr="00AC12C5">
        <w:rPr>
          <w:sz w:val="24"/>
          <w:szCs w:val="24"/>
        </w:rPr>
        <w:tab/>
      </w:r>
      <w:r w:rsidRPr="00AC12C5">
        <w:rPr>
          <w:sz w:val="24"/>
          <w:szCs w:val="24"/>
        </w:rPr>
        <w:tab/>
      </w:r>
      <w:r w:rsidR="00121A6A">
        <w:rPr>
          <w:sz w:val="24"/>
          <w:szCs w:val="24"/>
        </w:rPr>
        <w:tab/>
      </w:r>
      <w:r w:rsidRPr="00AC12C5">
        <w:rPr>
          <w:sz w:val="24"/>
          <w:szCs w:val="24"/>
        </w:rPr>
        <w:t>Grondwet</w:t>
      </w:r>
    </w:p>
    <w:p w14:paraId="42195E26" w14:textId="2B5404CD" w:rsidR="00FD7317" w:rsidRPr="00AC12C5" w:rsidRDefault="00FD7317" w:rsidP="00FD7317">
      <w:pPr>
        <w:spacing w:after="0"/>
        <w:jc w:val="both"/>
        <w:rPr>
          <w:bCs/>
          <w:sz w:val="24"/>
          <w:szCs w:val="24"/>
        </w:rPr>
      </w:pPr>
      <w:r w:rsidRPr="00AC12C5">
        <w:rPr>
          <w:bCs/>
          <w:sz w:val="24"/>
          <w:szCs w:val="24"/>
        </w:rPr>
        <w:t>H</w:t>
      </w:r>
      <w:r w:rsidR="00453DF0" w:rsidRPr="00AC12C5">
        <w:rPr>
          <w:bCs/>
          <w:sz w:val="24"/>
          <w:szCs w:val="24"/>
        </w:rPr>
        <w:t>v</w:t>
      </w:r>
      <w:r w:rsidRPr="00AC12C5">
        <w:rPr>
          <w:bCs/>
          <w:sz w:val="24"/>
          <w:szCs w:val="24"/>
        </w:rPr>
        <w:tab/>
      </w:r>
      <w:r w:rsidRPr="00AC12C5">
        <w:rPr>
          <w:bCs/>
          <w:sz w:val="24"/>
          <w:szCs w:val="24"/>
        </w:rPr>
        <w:tab/>
      </w:r>
      <w:r w:rsidR="00121A6A">
        <w:rPr>
          <w:bCs/>
          <w:sz w:val="24"/>
          <w:szCs w:val="24"/>
        </w:rPr>
        <w:tab/>
      </w:r>
      <w:r w:rsidRPr="00AC12C5">
        <w:rPr>
          <w:bCs/>
          <w:sz w:val="24"/>
          <w:szCs w:val="24"/>
        </w:rPr>
        <w:t>Handvest van de grondrechten van de Europese Unie</w:t>
      </w:r>
    </w:p>
    <w:p w14:paraId="623D9FCF" w14:textId="77777777" w:rsidR="00FD7317" w:rsidRPr="00AC12C5" w:rsidRDefault="00FD7317" w:rsidP="00FD7317">
      <w:pPr>
        <w:spacing w:after="0"/>
        <w:jc w:val="both"/>
        <w:rPr>
          <w:bCs/>
          <w:sz w:val="24"/>
          <w:szCs w:val="24"/>
        </w:rPr>
      </w:pPr>
      <w:r w:rsidRPr="00AC12C5">
        <w:rPr>
          <w:bCs/>
          <w:sz w:val="24"/>
          <w:szCs w:val="24"/>
        </w:rPr>
        <w:t>HvJ EU</w:t>
      </w:r>
      <w:r w:rsidRPr="00AC12C5">
        <w:rPr>
          <w:bCs/>
          <w:sz w:val="24"/>
          <w:szCs w:val="24"/>
        </w:rPr>
        <w:tab/>
      </w:r>
      <w:r w:rsidRPr="00AC12C5">
        <w:rPr>
          <w:bCs/>
          <w:sz w:val="24"/>
          <w:szCs w:val="24"/>
        </w:rPr>
        <w:tab/>
        <w:t>Hof van Justitie van de Europese Unie</w:t>
      </w:r>
    </w:p>
    <w:p w14:paraId="36B0E050" w14:textId="75930A20" w:rsidR="009171F8" w:rsidRPr="00AC12C5" w:rsidRDefault="009171F8" w:rsidP="00FD7317">
      <w:pPr>
        <w:spacing w:after="0"/>
        <w:jc w:val="both"/>
        <w:rPr>
          <w:bCs/>
          <w:sz w:val="24"/>
          <w:szCs w:val="24"/>
        </w:rPr>
      </w:pPr>
      <w:r w:rsidRPr="00AC12C5">
        <w:rPr>
          <w:bCs/>
          <w:sz w:val="24"/>
          <w:szCs w:val="24"/>
        </w:rPr>
        <w:t>IGH</w:t>
      </w:r>
      <w:r w:rsidRPr="00AC12C5">
        <w:rPr>
          <w:bCs/>
          <w:sz w:val="24"/>
          <w:szCs w:val="24"/>
        </w:rPr>
        <w:tab/>
      </w:r>
      <w:r w:rsidRPr="00AC12C5">
        <w:rPr>
          <w:bCs/>
          <w:sz w:val="24"/>
          <w:szCs w:val="24"/>
        </w:rPr>
        <w:tab/>
      </w:r>
      <w:r w:rsidR="00121A6A">
        <w:rPr>
          <w:bCs/>
          <w:sz w:val="24"/>
          <w:szCs w:val="24"/>
        </w:rPr>
        <w:tab/>
      </w:r>
      <w:r w:rsidRPr="00AC12C5">
        <w:rPr>
          <w:bCs/>
          <w:sz w:val="24"/>
          <w:szCs w:val="24"/>
        </w:rPr>
        <w:t>Internationaal Gerechtshof</w:t>
      </w:r>
    </w:p>
    <w:p w14:paraId="7128B764" w14:textId="24F86211" w:rsidR="00FD7317" w:rsidRPr="0080665C" w:rsidRDefault="00FD7317" w:rsidP="00FD7317">
      <w:pPr>
        <w:spacing w:after="0"/>
        <w:jc w:val="both"/>
        <w:rPr>
          <w:bCs/>
          <w:sz w:val="24"/>
          <w:szCs w:val="24"/>
        </w:rPr>
      </w:pPr>
      <w:r w:rsidRPr="00AC12C5">
        <w:rPr>
          <w:bCs/>
          <w:sz w:val="24"/>
          <w:szCs w:val="24"/>
        </w:rPr>
        <w:t>ILO</w:t>
      </w:r>
      <w:r w:rsidRPr="00AC12C5">
        <w:rPr>
          <w:bCs/>
          <w:sz w:val="24"/>
          <w:szCs w:val="24"/>
        </w:rPr>
        <w:tab/>
      </w:r>
      <w:r w:rsidRPr="00AC12C5">
        <w:rPr>
          <w:bCs/>
          <w:sz w:val="24"/>
          <w:szCs w:val="24"/>
        </w:rPr>
        <w:tab/>
      </w:r>
      <w:r w:rsidR="00121A6A">
        <w:rPr>
          <w:bCs/>
          <w:sz w:val="24"/>
          <w:szCs w:val="24"/>
        </w:rPr>
        <w:tab/>
      </w:r>
      <w:r w:rsidRPr="0080665C">
        <w:rPr>
          <w:bCs/>
          <w:sz w:val="24"/>
          <w:szCs w:val="24"/>
        </w:rPr>
        <w:t xml:space="preserve">International Labour </w:t>
      </w:r>
      <w:proofErr w:type="spellStart"/>
      <w:r w:rsidRPr="0080665C">
        <w:rPr>
          <w:bCs/>
          <w:sz w:val="24"/>
          <w:szCs w:val="24"/>
        </w:rPr>
        <w:t>Organisation</w:t>
      </w:r>
      <w:proofErr w:type="spellEnd"/>
      <w:r w:rsidRPr="0080665C">
        <w:rPr>
          <w:bCs/>
          <w:sz w:val="24"/>
          <w:szCs w:val="24"/>
        </w:rPr>
        <w:t xml:space="preserve"> </w:t>
      </w:r>
    </w:p>
    <w:p w14:paraId="63F9BE51" w14:textId="2B27ED87" w:rsidR="009D21F5" w:rsidRPr="00AC12C5" w:rsidRDefault="009D21F5" w:rsidP="00FD7317">
      <w:pPr>
        <w:spacing w:after="0"/>
        <w:jc w:val="both"/>
        <w:rPr>
          <w:bCs/>
          <w:sz w:val="24"/>
          <w:szCs w:val="24"/>
        </w:rPr>
      </w:pPr>
      <w:r w:rsidRPr="00AC12C5">
        <w:rPr>
          <w:sz w:val="24"/>
          <w:szCs w:val="24"/>
        </w:rPr>
        <w:t>IVESCR</w:t>
      </w:r>
      <w:r w:rsidRPr="00AC12C5">
        <w:rPr>
          <w:sz w:val="24"/>
          <w:szCs w:val="24"/>
        </w:rPr>
        <w:tab/>
      </w:r>
      <w:r w:rsidR="00121A6A">
        <w:rPr>
          <w:sz w:val="24"/>
          <w:szCs w:val="24"/>
        </w:rPr>
        <w:tab/>
      </w:r>
      <w:r w:rsidRPr="00AC12C5">
        <w:rPr>
          <w:sz w:val="24"/>
          <w:szCs w:val="24"/>
        </w:rPr>
        <w:t xml:space="preserve">Internationaal Verdrag inzake </w:t>
      </w:r>
      <w:r w:rsidR="00931B16">
        <w:rPr>
          <w:sz w:val="24"/>
          <w:szCs w:val="24"/>
        </w:rPr>
        <w:t>e</w:t>
      </w:r>
      <w:r w:rsidRPr="00AC12C5">
        <w:rPr>
          <w:sz w:val="24"/>
          <w:szCs w:val="24"/>
        </w:rPr>
        <w:t xml:space="preserve">conomische, </w:t>
      </w:r>
      <w:r w:rsidR="00931B16">
        <w:rPr>
          <w:sz w:val="24"/>
          <w:szCs w:val="24"/>
        </w:rPr>
        <w:t>s</w:t>
      </w:r>
      <w:r w:rsidRPr="00AC12C5">
        <w:rPr>
          <w:sz w:val="24"/>
          <w:szCs w:val="24"/>
        </w:rPr>
        <w:t xml:space="preserve">ociale en </w:t>
      </w:r>
      <w:r w:rsidR="00931B16">
        <w:rPr>
          <w:sz w:val="24"/>
          <w:szCs w:val="24"/>
        </w:rPr>
        <w:t>c</w:t>
      </w:r>
      <w:r w:rsidRPr="00AC12C5">
        <w:rPr>
          <w:sz w:val="24"/>
          <w:szCs w:val="24"/>
        </w:rPr>
        <w:t xml:space="preserve">ulturele </w:t>
      </w:r>
      <w:r w:rsidR="00931B16">
        <w:rPr>
          <w:sz w:val="24"/>
          <w:szCs w:val="24"/>
        </w:rPr>
        <w:t>r</w:t>
      </w:r>
      <w:r w:rsidRPr="00AC12C5">
        <w:rPr>
          <w:sz w:val="24"/>
          <w:szCs w:val="24"/>
        </w:rPr>
        <w:t>echten</w:t>
      </w:r>
    </w:p>
    <w:p w14:paraId="664188D5" w14:textId="39FB1B3C" w:rsidR="005A3339" w:rsidRPr="00AC12C5" w:rsidRDefault="005A3339" w:rsidP="00FD7317">
      <w:pPr>
        <w:spacing w:after="0"/>
        <w:jc w:val="both"/>
        <w:rPr>
          <w:bCs/>
          <w:sz w:val="24"/>
          <w:szCs w:val="24"/>
        </w:rPr>
      </w:pPr>
      <w:r w:rsidRPr="00AC12C5">
        <w:rPr>
          <w:bCs/>
          <w:sz w:val="24"/>
          <w:szCs w:val="24"/>
        </w:rPr>
        <w:t>VEU</w:t>
      </w:r>
      <w:r w:rsidRPr="00AC12C5">
        <w:rPr>
          <w:bCs/>
          <w:sz w:val="24"/>
          <w:szCs w:val="24"/>
        </w:rPr>
        <w:tab/>
      </w:r>
      <w:r w:rsidRPr="00AC12C5">
        <w:rPr>
          <w:bCs/>
          <w:sz w:val="24"/>
          <w:szCs w:val="24"/>
        </w:rPr>
        <w:tab/>
      </w:r>
      <w:r w:rsidR="00121A6A">
        <w:rPr>
          <w:bCs/>
          <w:sz w:val="24"/>
          <w:szCs w:val="24"/>
        </w:rPr>
        <w:tab/>
      </w:r>
      <w:r w:rsidRPr="00AC12C5">
        <w:rPr>
          <w:bCs/>
          <w:sz w:val="24"/>
          <w:szCs w:val="24"/>
        </w:rPr>
        <w:t>Verdrag betreffende de Europese Unie</w:t>
      </w:r>
    </w:p>
    <w:p w14:paraId="45580E92" w14:textId="7150A4AF" w:rsidR="00517745" w:rsidRPr="00AC12C5" w:rsidRDefault="00517745" w:rsidP="00FD7317">
      <w:pPr>
        <w:spacing w:after="0"/>
        <w:jc w:val="both"/>
        <w:rPr>
          <w:bCs/>
          <w:sz w:val="24"/>
          <w:szCs w:val="24"/>
        </w:rPr>
      </w:pPr>
      <w:r w:rsidRPr="00AC12C5">
        <w:rPr>
          <w:bCs/>
          <w:sz w:val="24"/>
          <w:szCs w:val="24"/>
        </w:rPr>
        <w:t>VN</w:t>
      </w:r>
      <w:r w:rsidRPr="00AC12C5">
        <w:rPr>
          <w:bCs/>
          <w:sz w:val="24"/>
          <w:szCs w:val="24"/>
        </w:rPr>
        <w:tab/>
      </w:r>
      <w:r w:rsidRPr="00AC12C5">
        <w:rPr>
          <w:bCs/>
          <w:sz w:val="24"/>
          <w:szCs w:val="24"/>
        </w:rPr>
        <w:tab/>
      </w:r>
      <w:r w:rsidR="00121A6A">
        <w:rPr>
          <w:bCs/>
          <w:sz w:val="24"/>
          <w:szCs w:val="24"/>
        </w:rPr>
        <w:tab/>
      </w:r>
      <w:r w:rsidRPr="00AC12C5">
        <w:rPr>
          <w:bCs/>
          <w:sz w:val="24"/>
          <w:szCs w:val="24"/>
        </w:rPr>
        <w:t>Verenigde Naties</w:t>
      </w:r>
    </w:p>
    <w:p w14:paraId="67AC6DB2" w14:textId="3DCAD040" w:rsidR="005A3339" w:rsidRPr="00AC12C5" w:rsidRDefault="005A3339" w:rsidP="00FD7317">
      <w:pPr>
        <w:spacing w:after="0"/>
        <w:jc w:val="both"/>
        <w:rPr>
          <w:bCs/>
          <w:sz w:val="24"/>
          <w:szCs w:val="24"/>
        </w:rPr>
      </w:pPr>
      <w:r w:rsidRPr="00AC12C5">
        <w:rPr>
          <w:bCs/>
          <w:sz w:val="24"/>
          <w:szCs w:val="24"/>
        </w:rPr>
        <w:t>VwEU</w:t>
      </w:r>
      <w:r w:rsidRPr="00AC12C5">
        <w:rPr>
          <w:bCs/>
          <w:sz w:val="24"/>
          <w:szCs w:val="24"/>
        </w:rPr>
        <w:tab/>
      </w:r>
      <w:r w:rsidRPr="00AC12C5">
        <w:rPr>
          <w:bCs/>
          <w:sz w:val="24"/>
          <w:szCs w:val="24"/>
        </w:rPr>
        <w:tab/>
      </w:r>
      <w:r w:rsidR="00121A6A">
        <w:rPr>
          <w:bCs/>
          <w:sz w:val="24"/>
          <w:szCs w:val="24"/>
        </w:rPr>
        <w:tab/>
      </w:r>
      <w:r w:rsidRPr="00AC12C5">
        <w:rPr>
          <w:bCs/>
          <w:sz w:val="24"/>
          <w:szCs w:val="24"/>
        </w:rPr>
        <w:t>Verdrag betreffende de werking van de Europese Unie</w:t>
      </w:r>
    </w:p>
    <w:p w14:paraId="10D0FD93" w14:textId="4CADDE68" w:rsidR="005E1B0F" w:rsidRPr="00AC12C5" w:rsidRDefault="005E1B0F" w:rsidP="00FD7317">
      <w:pPr>
        <w:spacing w:after="0"/>
        <w:jc w:val="both"/>
        <w:rPr>
          <w:bCs/>
          <w:sz w:val="24"/>
          <w:szCs w:val="24"/>
        </w:rPr>
      </w:pPr>
      <w:r w:rsidRPr="00AC12C5">
        <w:rPr>
          <w:bCs/>
          <w:sz w:val="24"/>
          <w:szCs w:val="24"/>
        </w:rPr>
        <w:t>WVV</w:t>
      </w:r>
      <w:r w:rsidRPr="00AC12C5">
        <w:rPr>
          <w:bCs/>
          <w:sz w:val="24"/>
          <w:szCs w:val="24"/>
        </w:rPr>
        <w:tab/>
      </w:r>
      <w:r w:rsidRPr="00AC12C5">
        <w:rPr>
          <w:bCs/>
          <w:sz w:val="24"/>
          <w:szCs w:val="24"/>
        </w:rPr>
        <w:tab/>
      </w:r>
      <w:r w:rsidR="00121A6A">
        <w:rPr>
          <w:bCs/>
          <w:sz w:val="24"/>
          <w:szCs w:val="24"/>
        </w:rPr>
        <w:tab/>
      </w:r>
      <w:r w:rsidRPr="00AC12C5">
        <w:rPr>
          <w:bCs/>
          <w:sz w:val="24"/>
          <w:szCs w:val="24"/>
        </w:rPr>
        <w:t>Verdrag van Wenen inzake het verdragenrecht</w:t>
      </w:r>
      <w:r w:rsidR="00503D59">
        <w:rPr>
          <w:bCs/>
          <w:sz w:val="24"/>
          <w:szCs w:val="24"/>
        </w:rPr>
        <w:t xml:space="preserve"> (Weens Verdragenverdrag)</w:t>
      </w:r>
    </w:p>
    <w:p w14:paraId="488CAF62" w14:textId="77777777" w:rsidR="00FD7317" w:rsidRPr="002F01A8" w:rsidRDefault="00FD7317">
      <w:pPr>
        <w:rPr>
          <w:rFonts w:eastAsiaTheme="majorEastAsia" w:cstheme="majorBidi"/>
          <w:b/>
          <w:kern w:val="2"/>
          <w:sz w:val="24"/>
          <w:szCs w:val="32"/>
          <w14:ligatures w14:val="standardContextual"/>
        </w:rPr>
      </w:pPr>
      <w:r w:rsidRPr="002F01A8">
        <w:rPr>
          <w:bCs/>
        </w:rPr>
        <w:br w:type="page"/>
      </w:r>
    </w:p>
    <w:p w14:paraId="2C681E20" w14:textId="1851B014" w:rsidR="00877DAD" w:rsidRPr="00594EC9" w:rsidRDefault="00877DAD" w:rsidP="00E534A3">
      <w:pPr>
        <w:pStyle w:val="Heading1"/>
        <w:rPr>
          <w:bCs/>
        </w:rPr>
      </w:pPr>
      <w:bookmarkStart w:id="2" w:name="_Toc169963033"/>
      <w:r w:rsidRPr="00594EC9">
        <w:lastRenderedPageBreak/>
        <w:t>Hoofdstuk 1</w:t>
      </w:r>
      <w:r w:rsidR="009F557F">
        <w:t>.</w:t>
      </w:r>
      <w:r w:rsidRPr="00594EC9">
        <w:t xml:space="preserve"> </w:t>
      </w:r>
      <w:r w:rsidR="00097647">
        <w:t>O</w:t>
      </w:r>
      <w:r w:rsidRPr="00594EC9">
        <w:t>nderzoeksopzet</w:t>
      </w:r>
      <w:bookmarkEnd w:id="2"/>
    </w:p>
    <w:p w14:paraId="315878E2" w14:textId="77777777" w:rsidR="00877DAD" w:rsidRDefault="00877DAD" w:rsidP="008E3A81">
      <w:pPr>
        <w:spacing w:after="0"/>
        <w:jc w:val="both"/>
        <w:rPr>
          <w:b/>
          <w:bCs/>
        </w:rPr>
      </w:pPr>
    </w:p>
    <w:p w14:paraId="7A757725" w14:textId="1168061B" w:rsidR="008E3A81" w:rsidRPr="00121A6A" w:rsidRDefault="00591A3C" w:rsidP="00591A3C">
      <w:pPr>
        <w:pStyle w:val="Heading2"/>
        <w:rPr>
          <w:sz w:val="24"/>
          <w:szCs w:val="24"/>
        </w:rPr>
      </w:pPr>
      <w:bookmarkStart w:id="3" w:name="_Toc169963034"/>
      <w:r w:rsidRPr="00121A6A">
        <w:rPr>
          <w:sz w:val="24"/>
          <w:szCs w:val="24"/>
        </w:rPr>
        <w:t xml:space="preserve">1.1 </w:t>
      </w:r>
      <w:r w:rsidR="005F4DD9" w:rsidRPr="00121A6A">
        <w:rPr>
          <w:sz w:val="24"/>
          <w:szCs w:val="24"/>
        </w:rPr>
        <w:t>Introductie</w:t>
      </w:r>
      <w:bookmarkEnd w:id="3"/>
    </w:p>
    <w:p w14:paraId="3696A850" w14:textId="1E3542B2" w:rsidR="00F70869" w:rsidRDefault="002D3227" w:rsidP="00DB13D4">
      <w:pPr>
        <w:spacing w:after="0"/>
        <w:jc w:val="both"/>
        <w:rPr>
          <w:sz w:val="24"/>
          <w:szCs w:val="24"/>
        </w:rPr>
      </w:pPr>
      <w:r w:rsidRPr="00121A6A">
        <w:rPr>
          <w:sz w:val="24"/>
          <w:szCs w:val="24"/>
        </w:rPr>
        <w:t xml:space="preserve">Wie denkt dat het stakingsrecht zijn hoogtijdagen heeft gehad, heeft het mis. </w:t>
      </w:r>
      <w:r w:rsidR="0002498B" w:rsidRPr="00121A6A">
        <w:rPr>
          <w:sz w:val="24"/>
          <w:szCs w:val="24"/>
        </w:rPr>
        <w:t>In 2023</w:t>
      </w:r>
      <w:r w:rsidRPr="00121A6A">
        <w:rPr>
          <w:sz w:val="24"/>
          <w:szCs w:val="24"/>
        </w:rPr>
        <w:t xml:space="preserve"> hebben werknemers in tal van sectoren hun werk neergelegd met als voornaamste inzet hoger loon.</w:t>
      </w:r>
      <w:r w:rsidRPr="00121A6A">
        <w:rPr>
          <w:rStyle w:val="FootnoteReference"/>
          <w:sz w:val="24"/>
          <w:szCs w:val="24"/>
        </w:rPr>
        <w:footnoteReference w:id="1"/>
      </w:r>
      <w:r w:rsidRPr="00121A6A">
        <w:rPr>
          <w:sz w:val="24"/>
          <w:szCs w:val="24"/>
        </w:rPr>
        <w:t xml:space="preserve"> De geschiedenis heeft bewezen dat </w:t>
      </w:r>
      <w:r w:rsidR="007C4617">
        <w:rPr>
          <w:sz w:val="24"/>
          <w:szCs w:val="24"/>
        </w:rPr>
        <w:t xml:space="preserve">de </w:t>
      </w:r>
      <w:r w:rsidR="001F68C0">
        <w:rPr>
          <w:sz w:val="24"/>
          <w:szCs w:val="24"/>
        </w:rPr>
        <w:t xml:space="preserve">vrijheid om </w:t>
      </w:r>
      <w:r w:rsidR="00DE1B98" w:rsidRPr="00121A6A">
        <w:rPr>
          <w:sz w:val="24"/>
          <w:szCs w:val="24"/>
        </w:rPr>
        <w:t>dit</w:t>
      </w:r>
      <w:r w:rsidRPr="00121A6A">
        <w:rPr>
          <w:sz w:val="24"/>
          <w:szCs w:val="24"/>
        </w:rPr>
        <w:t xml:space="preserve"> fundamentele werknemersrecht </w:t>
      </w:r>
      <w:r w:rsidR="001F68C0">
        <w:rPr>
          <w:sz w:val="24"/>
          <w:szCs w:val="24"/>
        </w:rPr>
        <w:t xml:space="preserve">uit te oefenen </w:t>
      </w:r>
      <w:r w:rsidR="00DE1B98" w:rsidRPr="00121A6A">
        <w:rPr>
          <w:sz w:val="24"/>
          <w:szCs w:val="24"/>
        </w:rPr>
        <w:t>e</w:t>
      </w:r>
      <w:r w:rsidRPr="00121A6A">
        <w:rPr>
          <w:sz w:val="24"/>
          <w:szCs w:val="24"/>
        </w:rPr>
        <w:t xml:space="preserve">ssentieel is om arbeidsvoorwaarden en -omstandigheden te </w:t>
      </w:r>
      <w:r w:rsidR="006F4076" w:rsidRPr="00121A6A">
        <w:rPr>
          <w:sz w:val="24"/>
          <w:szCs w:val="24"/>
        </w:rPr>
        <w:t>borgen</w:t>
      </w:r>
      <w:r w:rsidRPr="00121A6A">
        <w:rPr>
          <w:sz w:val="24"/>
          <w:szCs w:val="24"/>
        </w:rPr>
        <w:t xml:space="preserve"> en te verbeteren. Het stakingsmiddel is </w:t>
      </w:r>
      <w:r w:rsidR="00256013">
        <w:rPr>
          <w:sz w:val="24"/>
          <w:szCs w:val="24"/>
        </w:rPr>
        <w:t>namelijk</w:t>
      </w:r>
      <w:r w:rsidRPr="00121A6A">
        <w:rPr>
          <w:sz w:val="24"/>
          <w:szCs w:val="24"/>
        </w:rPr>
        <w:t xml:space="preserve"> het ultieme pressiemiddel in handen van (economisch) ondergeschikte werknemers.</w:t>
      </w:r>
      <w:r w:rsidR="00EF597F" w:rsidRPr="00121A6A">
        <w:rPr>
          <w:rStyle w:val="FootnoteReference"/>
          <w:sz w:val="24"/>
          <w:szCs w:val="24"/>
        </w:rPr>
        <w:footnoteReference w:id="2"/>
      </w:r>
      <w:r w:rsidRPr="00121A6A">
        <w:rPr>
          <w:sz w:val="24"/>
          <w:szCs w:val="24"/>
        </w:rPr>
        <w:t xml:space="preserve"> Het stelt hen in staat om macht uit te oefenen op hun werkgever, die over het algemeen een sterkere onderhandelingspositie heeft. </w:t>
      </w:r>
      <w:r w:rsidR="00256013">
        <w:rPr>
          <w:sz w:val="24"/>
          <w:szCs w:val="24"/>
        </w:rPr>
        <w:t>Zodoende</w:t>
      </w:r>
      <w:r w:rsidRPr="00121A6A">
        <w:rPr>
          <w:sz w:val="24"/>
          <w:szCs w:val="24"/>
        </w:rPr>
        <w:t xml:space="preserve"> kan ongelijkheidscompensatie worden bereikt. </w:t>
      </w:r>
    </w:p>
    <w:p w14:paraId="2DD991EB" w14:textId="270CF2BA" w:rsidR="00A65B8D" w:rsidRPr="00121A6A" w:rsidRDefault="002D3227" w:rsidP="00F70869">
      <w:pPr>
        <w:spacing w:after="0"/>
        <w:ind w:firstLine="708"/>
        <w:jc w:val="both"/>
        <w:rPr>
          <w:sz w:val="24"/>
          <w:szCs w:val="24"/>
        </w:rPr>
      </w:pPr>
      <w:r w:rsidRPr="00121A6A">
        <w:rPr>
          <w:sz w:val="24"/>
          <w:szCs w:val="24"/>
        </w:rPr>
        <w:t>Niet voor niets wordt het grondrecht op collectieve actie dan ook in diverse verdragen (impliciet) erkend. De belangrijkste daarvan zijn artikel 28 Handvest van de grondrechten van de Europese Unie (Hv), artikel 11 Europees Verdrag voor de Rechten van de Mens (EVRM), Verdrag nr. 87</w:t>
      </w:r>
      <w:r w:rsidR="005059F8">
        <w:rPr>
          <w:sz w:val="24"/>
          <w:szCs w:val="24"/>
        </w:rPr>
        <w:t xml:space="preserve"> </w:t>
      </w:r>
      <w:r w:rsidRPr="00121A6A">
        <w:rPr>
          <w:sz w:val="24"/>
          <w:szCs w:val="24"/>
        </w:rPr>
        <w:t xml:space="preserve">van de </w:t>
      </w:r>
      <w:r w:rsidRPr="00D73966">
        <w:rPr>
          <w:sz w:val="24"/>
          <w:szCs w:val="24"/>
        </w:rPr>
        <w:t xml:space="preserve">International Labour </w:t>
      </w:r>
      <w:proofErr w:type="spellStart"/>
      <w:r w:rsidRPr="00D73966">
        <w:rPr>
          <w:sz w:val="24"/>
          <w:szCs w:val="24"/>
        </w:rPr>
        <w:t>Organisation</w:t>
      </w:r>
      <w:proofErr w:type="spellEnd"/>
      <w:r w:rsidRPr="00121A6A">
        <w:rPr>
          <w:sz w:val="24"/>
          <w:szCs w:val="24"/>
        </w:rPr>
        <w:t xml:space="preserve"> (ILO</w:t>
      </w:r>
      <w:r w:rsidR="006D7D9A">
        <w:rPr>
          <w:sz w:val="24"/>
          <w:szCs w:val="24"/>
        </w:rPr>
        <w:t>-Verdrag 87</w:t>
      </w:r>
      <w:r w:rsidRPr="00121A6A">
        <w:rPr>
          <w:sz w:val="24"/>
          <w:szCs w:val="24"/>
        </w:rPr>
        <w:t>) en artikel 6 lid 4 Europees Sociaal Handvest (ESH) (herzien).</w:t>
      </w:r>
      <w:r w:rsidRPr="00121A6A">
        <w:rPr>
          <w:rStyle w:val="FootnoteReference"/>
          <w:sz w:val="24"/>
          <w:szCs w:val="24"/>
        </w:rPr>
        <w:footnoteReference w:id="3"/>
      </w:r>
      <w:r w:rsidRPr="00121A6A">
        <w:rPr>
          <w:sz w:val="24"/>
          <w:szCs w:val="24"/>
        </w:rPr>
        <w:t xml:space="preserve"> </w:t>
      </w:r>
      <w:r w:rsidR="001D3DEE">
        <w:rPr>
          <w:sz w:val="24"/>
          <w:szCs w:val="24"/>
        </w:rPr>
        <w:t>Deze</w:t>
      </w:r>
      <w:r w:rsidRPr="00121A6A">
        <w:rPr>
          <w:sz w:val="24"/>
          <w:szCs w:val="24"/>
        </w:rPr>
        <w:t xml:space="preserve"> </w:t>
      </w:r>
      <w:r w:rsidR="00B12E13">
        <w:rPr>
          <w:sz w:val="24"/>
          <w:szCs w:val="24"/>
        </w:rPr>
        <w:t>verdragen</w:t>
      </w:r>
      <w:r w:rsidRPr="00121A6A">
        <w:rPr>
          <w:sz w:val="24"/>
          <w:szCs w:val="24"/>
        </w:rPr>
        <w:t xml:space="preserve"> worden </w:t>
      </w:r>
      <w:r w:rsidR="00DE1B98" w:rsidRPr="00121A6A">
        <w:rPr>
          <w:sz w:val="24"/>
          <w:szCs w:val="24"/>
        </w:rPr>
        <w:t>uitgelegd</w:t>
      </w:r>
      <w:r w:rsidR="00660724">
        <w:rPr>
          <w:sz w:val="24"/>
          <w:szCs w:val="24"/>
        </w:rPr>
        <w:t xml:space="preserve"> door respectievelijk </w:t>
      </w:r>
      <w:r w:rsidR="001D3DEE">
        <w:rPr>
          <w:sz w:val="24"/>
          <w:szCs w:val="24"/>
        </w:rPr>
        <w:t>het</w:t>
      </w:r>
      <w:r w:rsidRPr="00121A6A">
        <w:rPr>
          <w:sz w:val="24"/>
          <w:szCs w:val="24"/>
        </w:rPr>
        <w:t xml:space="preserve"> Hof van Justitie (HvJ)</w:t>
      </w:r>
      <w:r w:rsidR="00172C2A" w:rsidRPr="00121A6A">
        <w:rPr>
          <w:sz w:val="24"/>
          <w:szCs w:val="24"/>
        </w:rPr>
        <w:t xml:space="preserve"> in Luxemburg</w:t>
      </w:r>
      <w:r w:rsidRPr="00121A6A">
        <w:rPr>
          <w:sz w:val="24"/>
          <w:szCs w:val="24"/>
        </w:rPr>
        <w:t>, het Europees Hof voor de Rechten van de Mens (EHRM)</w:t>
      </w:r>
      <w:r w:rsidR="00172C2A" w:rsidRPr="00121A6A">
        <w:rPr>
          <w:sz w:val="24"/>
          <w:szCs w:val="24"/>
        </w:rPr>
        <w:t xml:space="preserve"> in Straatsburg</w:t>
      </w:r>
      <w:r w:rsidRPr="00121A6A">
        <w:rPr>
          <w:sz w:val="24"/>
          <w:szCs w:val="24"/>
        </w:rPr>
        <w:t xml:space="preserve">, de </w:t>
      </w:r>
      <w:proofErr w:type="spellStart"/>
      <w:r w:rsidRPr="00D73966">
        <w:rPr>
          <w:sz w:val="24"/>
          <w:szCs w:val="24"/>
        </w:rPr>
        <w:t>Committee</w:t>
      </w:r>
      <w:proofErr w:type="spellEnd"/>
      <w:r w:rsidRPr="00D73966">
        <w:rPr>
          <w:sz w:val="24"/>
          <w:szCs w:val="24"/>
        </w:rPr>
        <w:t xml:space="preserve"> of Experts</w:t>
      </w:r>
      <w:r w:rsidRPr="00121A6A">
        <w:rPr>
          <w:sz w:val="24"/>
          <w:szCs w:val="24"/>
        </w:rPr>
        <w:t xml:space="preserve"> (</w:t>
      </w:r>
      <w:proofErr w:type="spellStart"/>
      <w:r w:rsidRPr="00121A6A">
        <w:rPr>
          <w:sz w:val="24"/>
          <w:szCs w:val="24"/>
        </w:rPr>
        <w:t>CoE</w:t>
      </w:r>
      <w:proofErr w:type="spellEnd"/>
      <w:r w:rsidRPr="00121A6A">
        <w:rPr>
          <w:sz w:val="24"/>
          <w:szCs w:val="24"/>
        </w:rPr>
        <w:t xml:space="preserve">) </w:t>
      </w:r>
      <w:r w:rsidR="00717A2F" w:rsidRPr="00121A6A">
        <w:rPr>
          <w:sz w:val="24"/>
          <w:szCs w:val="24"/>
        </w:rPr>
        <w:t>en</w:t>
      </w:r>
      <w:r w:rsidRPr="00121A6A">
        <w:rPr>
          <w:sz w:val="24"/>
          <w:szCs w:val="24"/>
        </w:rPr>
        <w:t xml:space="preserve"> de </w:t>
      </w:r>
      <w:proofErr w:type="spellStart"/>
      <w:r w:rsidRPr="00D73966">
        <w:rPr>
          <w:bCs/>
          <w:sz w:val="24"/>
          <w:szCs w:val="24"/>
        </w:rPr>
        <w:t>Committee</w:t>
      </w:r>
      <w:proofErr w:type="spellEnd"/>
      <w:r w:rsidRPr="00D73966">
        <w:rPr>
          <w:bCs/>
          <w:sz w:val="24"/>
          <w:szCs w:val="24"/>
        </w:rPr>
        <w:t xml:space="preserve"> on </w:t>
      </w:r>
      <w:proofErr w:type="spellStart"/>
      <w:r w:rsidRPr="00D73966">
        <w:rPr>
          <w:bCs/>
          <w:sz w:val="24"/>
          <w:szCs w:val="24"/>
        </w:rPr>
        <w:t>Freedom</w:t>
      </w:r>
      <w:proofErr w:type="spellEnd"/>
      <w:r w:rsidRPr="00D73966">
        <w:rPr>
          <w:bCs/>
          <w:sz w:val="24"/>
          <w:szCs w:val="24"/>
        </w:rPr>
        <w:t xml:space="preserve"> of Association</w:t>
      </w:r>
      <w:r w:rsidRPr="00121A6A">
        <w:rPr>
          <w:sz w:val="24"/>
          <w:szCs w:val="24"/>
        </w:rPr>
        <w:t xml:space="preserve"> (CFA) </w:t>
      </w:r>
      <w:r w:rsidR="00172C2A" w:rsidRPr="00121A6A">
        <w:rPr>
          <w:sz w:val="24"/>
          <w:szCs w:val="24"/>
        </w:rPr>
        <w:t xml:space="preserve">in Genève </w:t>
      </w:r>
      <w:r w:rsidRPr="00121A6A">
        <w:rPr>
          <w:sz w:val="24"/>
          <w:szCs w:val="24"/>
        </w:rPr>
        <w:t>en het Europees Comité voor Sociale Rechten (ECSR)</w:t>
      </w:r>
      <w:r w:rsidR="00172C2A" w:rsidRPr="00121A6A">
        <w:rPr>
          <w:sz w:val="24"/>
          <w:szCs w:val="24"/>
        </w:rPr>
        <w:t xml:space="preserve"> in Straatsburg</w:t>
      </w:r>
      <w:r w:rsidRPr="00121A6A">
        <w:rPr>
          <w:sz w:val="24"/>
          <w:szCs w:val="24"/>
        </w:rPr>
        <w:t>.</w:t>
      </w:r>
    </w:p>
    <w:p w14:paraId="4F0A6052" w14:textId="4F936920" w:rsidR="00643946" w:rsidRPr="00121A6A" w:rsidRDefault="004C1183" w:rsidP="007439ED">
      <w:pPr>
        <w:spacing w:after="0"/>
        <w:ind w:firstLine="708"/>
        <w:jc w:val="both"/>
        <w:rPr>
          <w:sz w:val="24"/>
          <w:szCs w:val="24"/>
        </w:rPr>
      </w:pPr>
      <w:r>
        <w:rPr>
          <w:sz w:val="24"/>
          <w:szCs w:val="24"/>
        </w:rPr>
        <w:t>In d</w:t>
      </w:r>
      <w:r w:rsidR="00560ADD" w:rsidRPr="00121A6A">
        <w:rPr>
          <w:sz w:val="24"/>
          <w:szCs w:val="24"/>
        </w:rPr>
        <w:t xml:space="preserve">it onderzoek </w:t>
      </w:r>
      <w:r>
        <w:rPr>
          <w:sz w:val="24"/>
          <w:szCs w:val="24"/>
        </w:rPr>
        <w:t xml:space="preserve">wordt </w:t>
      </w:r>
      <w:r w:rsidR="00560ADD" w:rsidRPr="00121A6A">
        <w:rPr>
          <w:sz w:val="24"/>
          <w:szCs w:val="24"/>
        </w:rPr>
        <w:t xml:space="preserve">het stakingsrecht onder </w:t>
      </w:r>
      <w:r w:rsidR="00DF7560">
        <w:rPr>
          <w:sz w:val="24"/>
          <w:szCs w:val="24"/>
        </w:rPr>
        <w:t>deze verscheidene</w:t>
      </w:r>
      <w:r w:rsidR="00560ADD" w:rsidRPr="00121A6A">
        <w:rPr>
          <w:sz w:val="24"/>
          <w:szCs w:val="24"/>
        </w:rPr>
        <w:t xml:space="preserve"> regimes onder de loep</w:t>
      </w:r>
      <w:r>
        <w:rPr>
          <w:sz w:val="24"/>
          <w:szCs w:val="24"/>
        </w:rPr>
        <w:t xml:space="preserve"> genomen</w:t>
      </w:r>
      <w:r w:rsidR="00560ADD" w:rsidRPr="00121A6A">
        <w:rPr>
          <w:sz w:val="24"/>
          <w:szCs w:val="24"/>
        </w:rPr>
        <w:t>.</w:t>
      </w:r>
      <w:r w:rsidR="00593412" w:rsidRPr="00121A6A">
        <w:rPr>
          <w:sz w:val="24"/>
          <w:szCs w:val="24"/>
        </w:rPr>
        <w:t xml:space="preserve"> </w:t>
      </w:r>
      <w:r w:rsidR="00DF7560">
        <w:rPr>
          <w:sz w:val="24"/>
          <w:szCs w:val="24"/>
        </w:rPr>
        <w:t>Daarbij staat a</w:t>
      </w:r>
      <w:r w:rsidR="00862DC5" w:rsidRPr="00121A6A">
        <w:rPr>
          <w:sz w:val="24"/>
          <w:szCs w:val="24"/>
        </w:rPr>
        <w:t>rtikel 28 Hv centraal,</w:t>
      </w:r>
      <w:r w:rsidR="00604DF6" w:rsidRPr="00121A6A">
        <w:rPr>
          <w:sz w:val="24"/>
          <w:szCs w:val="24"/>
        </w:rPr>
        <w:t xml:space="preserve"> aangezien</w:t>
      </w:r>
      <w:r w:rsidR="008560C8" w:rsidRPr="00121A6A">
        <w:rPr>
          <w:sz w:val="24"/>
          <w:szCs w:val="24"/>
        </w:rPr>
        <w:t xml:space="preserve"> </w:t>
      </w:r>
      <w:r w:rsidR="000E2D6D" w:rsidRPr="00121A6A">
        <w:rPr>
          <w:sz w:val="24"/>
          <w:szCs w:val="24"/>
        </w:rPr>
        <w:t>deze bepaling</w:t>
      </w:r>
      <w:r w:rsidR="008B477A" w:rsidRPr="00121A6A">
        <w:rPr>
          <w:sz w:val="24"/>
          <w:szCs w:val="24"/>
        </w:rPr>
        <w:t xml:space="preserve"> een </w:t>
      </w:r>
      <w:r w:rsidR="00CE1813" w:rsidRPr="00121A6A">
        <w:rPr>
          <w:sz w:val="24"/>
          <w:szCs w:val="24"/>
        </w:rPr>
        <w:t>beperkter</w:t>
      </w:r>
      <w:r w:rsidR="0007590E">
        <w:rPr>
          <w:sz w:val="24"/>
          <w:szCs w:val="24"/>
        </w:rPr>
        <w:t>e</w:t>
      </w:r>
      <w:r w:rsidR="00CE1813" w:rsidRPr="00121A6A">
        <w:rPr>
          <w:sz w:val="24"/>
          <w:szCs w:val="24"/>
        </w:rPr>
        <w:t xml:space="preserve"> </w:t>
      </w:r>
      <w:r w:rsidR="0007590E">
        <w:rPr>
          <w:sz w:val="24"/>
          <w:szCs w:val="24"/>
        </w:rPr>
        <w:t>werkingssfeer</w:t>
      </w:r>
      <w:r w:rsidR="00CE1813" w:rsidRPr="00121A6A">
        <w:rPr>
          <w:sz w:val="24"/>
          <w:szCs w:val="24"/>
        </w:rPr>
        <w:t xml:space="preserve"> </w:t>
      </w:r>
      <w:r w:rsidR="00D441EE" w:rsidRPr="00121A6A">
        <w:rPr>
          <w:sz w:val="24"/>
          <w:szCs w:val="24"/>
        </w:rPr>
        <w:t xml:space="preserve">heeft </w:t>
      </w:r>
      <w:r w:rsidR="00CE1813" w:rsidRPr="00121A6A">
        <w:rPr>
          <w:sz w:val="24"/>
          <w:szCs w:val="24"/>
        </w:rPr>
        <w:t>en meer door economische (</w:t>
      </w:r>
      <w:proofErr w:type="spellStart"/>
      <w:r w:rsidR="00CE1813" w:rsidRPr="00121A6A">
        <w:rPr>
          <w:sz w:val="24"/>
          <w:szCs w:val="24"/>
        </w:rPr>
        <w:t>verkeers</w:t>
      </w:r>
      <w:proofErr w:type="spellEnd"/>
      <w:r w:rsidR="00CE1813" w:rsidRPr="00121A6A">
        <w:rPr>
          <w:sz w:val="24"/>
          <w:szCs w:val="24"/>
        </w:rPr>
        <w:t>)vrijheden</w:t>
      </w:r>
      <w:r w:rsidR="00377CEF" w:rsidRPr="00121A6A">
        <w:rPr>
          <w:sz w:val="24"/>
          <w:szCs w:val="24"/>
        </w:rPr>
        <w:t xml:space="preserve"> </w:t>
      </w:r>
      <w:r w:rsidR="00F70869">
        <w:rPr>
          <w:sz w:val="24"/>
          <w:szCs w:val="24"/>
        </w:rPr>
        <w:t>wordt</w:t>
      </w:r>
      <w:r w:rsidR="00377CEF" w:rsidRPr="00121A6A">
        <w:rPr>
          <w:sz w:val="24"/>
          <w:szCs w:val="24"/>
        </w:rPr>
        <w:t xml:space="preserve"> gekleurd</w:t>
      </w:r>
      <w:r w:rsidR="00CE1813" w:rsidRPr="00121A6A">
        <w:rPr>
          <w:sz w:val="24"/>
          <w:szCs w:val="24"/>
        </w:rPr>
        <w:t xml:space="preserve">. </w:t>
      </w:r>
      <w:r w:rsidR="00103CF8" w:rsidRPr="00121A6A">
        <w:rPr>
          <w:sz w:val="24"/>
          <w:szCs w:val="24"/>
        </w:rPr>
        <w:t xml:space="preserve">Van belang is voorts dat het </w:t>
      </w:r>
      <w:r w:rsidR="00DF7560">
        <w:rPr>
          <w:sz w:val="24"/>
          <w:szCs w:val="24"/>
        </w:rPr>
        <w:t xml:space="preserve">Luxemburgse </w:t>
      </w:r>
      <w:r w:rsidR="00103CF8" w:rsidRPr="00121A6A">
        <w:rPr>
          <w:sz w:val="24"/>
          <w:szCs w:val="24"/>
        </w:rPr>
        <w:t>Hof i</w:t>
      </w:r>
      <w:r w:rsidR="00EF3F93" w:rsidRPr="00121A6A">
        <w:rPr>
          <w:sz w:val="24"/>
          <w:szCs w:val="24"/>
        </w:rPr>
        <w:t>n 2016</w:t>
      </w:r>
      <w:r w:rsidR="00593412" w:rsidRPr="00121A6A">
        <w:rPr>
          <w:sz w:val="24"/>
          <w:szCs w:val="24"/>
        </w:rPr>
        <w:t xml:space="preserve"> </w:t>
      </w:r>
      <w:r w:rsidR="00103CF8" w:rsidRPr="00121A6A">
        <w:rPr>
          <w:sz w:val="24"/>
          <w:szCs w:val="24"/>
        </w:rPr>
        <w:t>de reikwijdte van de vestigingsvrijheid</w:t>
      </w:r>
      <w:r w:rsidR="00C425C2" w:rsidRPr="00121A6A">
        <w:rPr>
          <w:sz w:val="24"/>
          <w:szCs w:val="24"/>
        </w:rPr>
        <w:t xml:space="preserve"> – en daarmee </w:t>
      </w:r>
      <w:r w:rsidR="00593412" w:rsidRPr="00121A6A">
        <w:rPr>
          <w:sz w:val="24"/>
          <w:szCs w:val="24"/>
        </w:rPr>
        <w:t xml:space="preserve">zijn eigen competentie om in laatste instantie te beslissen of een staking </w:t>
      </w:r>
      <w:r w:rsidR="00103CF8" w:rsidRPr="00121A6A">
        <w:rPr>
          <w:sz w:val="24"/>
          <w:szCs w:val="24"/>
        </w:rPr>
        <w:t xml:space="preserve">al dan niet </w:t>
      </w:r>
      <w:r w:rsidR="00593412" w:rsidRPr="00121A6A">
        <w:rPr>
          <w:sz w:val="24"/>
          <w:szCs w:val="24"/>
        </w:rPr>
        <w:t>is toegestaan</w:t>
      </w:r>
      <w:r w:rsidR="00382A7F" w:rsidRPr="00121A6A">
        <w:rPr>
          <w:sz w:val="24"/>
          <w:szCs w:val="24"/>
        </w:rPr>
        <w:t xml:space="preserve"> </w:t>
      </w:r>
      <w:r w:rsidR="00C425C2" w:rsidRPr="00121A6A">
        <w:rPr>
          <w:sz w:val="24"/>
          <w:szCs w:val="24"/>
        </w:rPr>
        <w:t xml:space="preserve">– </w:t>
      </w:r>
      <w:r w:rsidR="00593412" w:rsidRPr="00121A6A">
        <w:rPr>
          <w:sz w:val="24"/>
          <w:szCs w:val="24"/>
        </w:rPr>
        <w:t xml:space="preserve">significant </w:t>
      </w:r>
      <w:r w:rsidR="002C0488" w:rsidRPr="00121A6A">
        <w:rPr>
          <w:sz w:val="24"/>
          <w:szCs w:val="24"/>
        </w:rPr>
        <w:t xml:space="preserve">heeft </w:t>
      </w:r>
      <w:r w:rsidR="00593412" w:rsidRPr="00121A6A">
        <w:rPr>
          <w:sz w:val="24"/>
          <w:szCs w:val="24"/>
        </w:rPr>
        <w:t>verruimd.</w:t>
      </w:r>
      <w:r w:rsidR="00593412" w:rsidRPr="00121A6A">
        <w:rPr>
          <w:rStyle w:val="FootnoteReference"/>
          <w:sz w:val="24"/>
          <w:szCs w:val="24"/>
        </w:rPr>
        <w:footnoteReference w:id="4"/>
      </w:r>
      <w:r w:rsidR="00593412" w:rsidRPr="00121A6A">
        <w:rPr>
          <w:sz w:val="24"/>
          <w:szCs w:val="24"/>
        </w:rPr>
        <w:t xml:space="preserve"> </w:t>
      </w:r>
      <w:r w:rsidR="006F4076" w:rsidRPr="00121A6A">
        <w:rPr>
          <w:sz w:val="24"/>
          <w:szCs w:val="24"/>
        </w:rPr>
        <w:t>Hierdoor geeft</w:t>
      </w:r>
      <w:r w:rsidR="00593412" w:rsidRPr="00121A6A">
        <w:rPr>
          <w:sz w:val="24"/>
          <w:szCs w:val="24"/>
        </w:rPr>
        <w:t xml:space="preserve"> in meer gevallen dan voorheen </w:t>
      </w:r>
      <w:r w:rsidR="00692FFA" w:rsidRPr="00121A6A">
        <w:rPr>
          <w:sz w:val="24"/>
          <w:szCs w:val="24"/>
        </w:rPr>
        <w:t>(ook)</w:t>
      </w:r>
      <w:r w:rsidR="00593412" w:rsidRPr="00121A6A">
        <w:rPr>
          <w:sz w:val="24"/>
          <w:szCs w:val="24"/>
        </w:rPr>
        <w:t xml:space="preserve"> </w:t>
      </w:r>
      <w:r w:rsidR="00911718" w:rsidRPr="00121A6A">
        <w:rPr>
          <w:sz w:val="24"/>
          <w:szCs w:val="24"/>
        </w:rPr>
        <w:t xml:space="preserve">het </w:t>
      </w:r>
      <w:r w:rsidR="00DB13D4" w:rsidRPr="00121A6A">
        <w:rPr>
          <w:sz w:val="24"/>
          <w:szCs w:val="24"/>
        </w:rPr>
        <w:t>Unie</w:t>
      </w:r>
      <w:r w:rsidR="00593412" w:rsidRPr="00121A6A">
        <w:rPr>
          <w:sz w:val="24"/>
          <w:szCs w:val="24"/>
        </w:rPr>
        <w:t xml:space="preserve">recht het relevante kader om de </w:t>
      </w:r>
      <w:r w:rsidR="00EF27AD">
        <w:rPr>
          <w:sz w:val="24"/>
          <w:szCs w:val="24"/>
        </w:rPr>
        <w:t>(on)</w:t>
      </w:r>
      <w:r w:rsidR="00593412" w:rsidRPr="00121A6A">
        <w:rPr>
          <w:sz w:val="24"/>
          <w:szCs w:val="24"/>
        </w:rPr>
        <w:t>rechtmatigheid van een staking te beoordelen.</w:t>
      </w:r>
      <w:r w:rsidR="003F42BA" w:rsidRPr="00121A6A">
        <w:rPr>
          <w:sz w:val="24"/>
          <w:szCs w:val="24"/>
        </w:rPr>
        <w:t xml:space="preserve"> </w:t>
      </w:r>
      <w:r>
        <w:rPr>
          <w:sz w:val="24"/>
          <w:szCs w:val="24"/>
        </w:rPr>
        <w:t>H</w:t>
      </w:r>
      <w:r w:rsidR="006D7D9A">
        <w:rPr>
          <w:sz w:val="24"/>
          <w:szCs w:val="24"/>
        </w:rPr>
        <w:t xml:space="preserve">et </w:t>
      </w:r>
      <w:r>
        <w:rPr>
          <w:sz w:val="24"/>
          <w:szCs w:val="24"/>
        </w:rPr>
        <w:t xml:space="preserve">is daarom </w:t>
      </w:r>
      <w:r w:rsidR="00382A7F" w:rsidRPr="00121A6A">
        <w:rPr>
          <w:sz w:val="24"/>
          <w:szCs w:val="24"/>
        </w:rPr>
        <w:t xml:space="preserve">interessant </w:t>
      </w:r>
      <w:r w:rsidR="00EF27AD">
        <w:rPr>
          <w:sz w:val="24"/>
          <w:szCs w:val="24"/>
        </w:rPr>
        <w:t xml:space="preserve">om </w:t>
      </w:r>
      <w:r w:rsidR="00382A7F" w:rsidRPr="00121A6A">
        <w:rPr>
          <w:sz w:val="24"/>
          <w:szCs w:val="24"/>
        </w:rPr>
        <w:t xml:space="preserve">te onderzoeken </w:t>
      </w:r>
      <w:r w:rsidR="000B2E6B" w:rsidRPr="00121A6A">
        <w:rPr>
          <w:sz w:val="24"/>
          <w:szCs w:val="24"/>
        </w:rPr>
        <w:t xml:space="preserve">in hoeverre harmonie mogelijk is tussen het stakingsrecht </w:t>
      </w:r>
      <w:r>
        <w:rPr>
          <w:sz w:val="24"/>
          <w:szCs w:val="24"/>
        </w:rPr>
        <w:t>van</w:t>
      </w:r>
      <w:r w:rsidR="000B2E6B" w:rsidRPr="00121A6A">
        <w:rPr>
          <w:sz w:val="24"/>
          <w:szCs w:val="24"/>
        </w:rPr>
        <w:t xml:space="preserve"> artikel 28 Hv en</w:t>
      </w:r>
      <w:r w:rsidR="00CF0BDD" w:rsidRPr="00121A6A">
        <w:rPr>
          <w:sz w:val="24"/>
          <w:szCs w:val="24"/>
        </w:rPr>
        <w:t xml:space="preserve"> datzelfde recht</w:t>
      </w:r>
      <w:r w:rsidR="000B2E6B" w:rsidRPr="00121A6A">
        <w:rPr>
          <w:sz w:val="24"/>
          <w:szCs w:val="24"/>
        </w:rPr>
        <w:t xml:space="preserve"> onder artikel</w:t>
      </w:r>
      <w:r w:rsidR="00561381" w:rsidRPr="00121A6A">
        <w:rPr>
          <w:sz w:val="24"/>
          <w:szCs w:val="24"/>
        </w:rPr>
        <w:t xml:space="preserve"> </w:t>
      </w:r>
      <w:r w:rsidR="000B2E6B" w:rsidRPr="00121A6A">
        <w:rPr>
          <w:sz w:val="24"/>
          <w:szCs w:val="24"/>
        </w:rPr>
        <w:t xml:space="preserve">11 EVRM, </w:t>
      </w:r>
      <w:r w:rsidR="006B46D4" w:rsidRPr="00121A6A">
        <w:rPr>
          <w:sz w:val="24"/>
          <w:szCs w:val="24"/>
        </w:rPr>
        <w:t xml:space="preserve">ILO-Verdrag 87 </w:t>
      </w:r>
      <w:r w:rsidR="00561381" w:rsidRPr="00121A6A">
        <w:rPr>
          <w:sz w:val="24"/>
          <w:szCs w:val="24"/>
        </w:rPr>
        <w:t>en artikel 6 lid 4 ESH</w:t>
      </w:r>
      <w:r w:rsidR="000B2E6B" w:rsidRPr="00121A6A">
        <w:rPr>
          <w:sz w:val="24"/>
          <w:szCs w:val="24"/>
        </w:rPr>
        <w:t>.</w:t>
      </w:r>
    </w:p>
    <w:p w14:paraId="2B2B5262" w14:textId="2EE57C1A" w:rsidR="005F4DD9" w:rsidRPr="00121A6A" w:rsidRDefault="0045377C" w:rsidP="007439ED">
      <w:pPr>
        <w:spacing w:after="0"/>
        <w:ind w:firstLine="708"/>
        <w:jc w:val="both"/>
        <w:rPr>
          <w:sz w:val="24"/>
          <w:szCs w:val="24"/>
        </w:rPr>
      </w:pPr>
      <w:r w:rsidRPr="00121A6A">
        <w:rPr>
          <w:sz w:val="24"/>
          <w:szCs w:val="24"/>
        </w:rPr>
        <w:t>I</w:t>
      </w:r>
      <w:r w:rsidR="007439ED" w:rsidRPr="00121A6A">
        <w:rPr>
          <w:sz w:val="24"/>
          <w:szCs w:val="24"/>
        </w:rPr>
        <w:t xml:space="preserve">n dit hoofdstuk </w:t>
      </w:r>
      <w:r w:rsidRPr="00121A6A">
        <w:rPr>
          <w:sz w:val="24"/>
          <w:szCs w:val="24"/>
        </w:rPr>
        <w:t xml:space="preserve">wordt </w:t>
      </w:r>
      <w:r w:rsidR="007439ED" w:rsidRPr="00121A6A">
        <w:rPr>
          <w:sz w:val="24"/>
          <w:szCs w:val="24"/>
        </w:rPr>
        <w:t xml:space="preserve">het onderzoeksvoorstel uiteengezet. </w:t>
      </w:r>
      <w:r w:rsidR="00A03A91" w:rsidRPr="00121A6A">
        <w:rPr>
          <w:sz w:val="24"/>
          <w:szCs w:val="24"/>
        </w:rPr>
        <w:t>Op basis van</w:t>
      </w:r>
      <w:r w:rsidR="005F4DD9" w:rsidRPr="00121A6A">
        <w:rPr>
          <w:sz w:val="24"/>
          <w:szCs w:val="24"/>
        </w:rPr>
        <w:t xml:space="preserve"> de probleem</w:t>
      </w:r>
      <w:r w:rsidR="00626BAE" w:rsidRPr="00121A6A">
        <w:rPr>
          <w:sz w:val="24"/>
          <w:szCs w:val="24"/>
        </w:rPr>
        <w:t>stelling (par. 1.</w:t>
      </w:r>
      <w:r w:rsidRPr="00121A6A">
        <w:rPr>
          <w:sz w:val="24"/>
          <w:szCs w:val="24"/>
        </w:rPr>
        <w:t>2</w:t>
      </w:r>
      <w:r w:rsidR="00626BAE" w:rsidRPr="00121A6A">
        <w:rPr>
          <w:sz w:val="24"/>
          <w:szCs w:val="24"/>
        </w:rPr>
        <w:t>)</w:t>
      </w:r>
      <w:r w:rsidR="005F4DD9" w:rsidRPr="00121A6A">
        <w:rPr>
          <w:sz w:val="24"/>
          <w:szCs w:val="24"/>
        </w:rPr>
        <w:t xml:space="preserve"> en doelstelling </w:t>
      </w:r>
      <w:r w:rsidR="00626BAE" w:rsidRPr="00121A6A">
        <w:rPr>
          <w:sz w:val="24"/>
          <w:szCs w:val="24"/>
        </w:rPr>
        <w:t>(par. 1.</w:t>
      </w:r>
      <w:r w:rsidRPr="00121A6A">
        <w:rPr>
          <w:sz w:val="24"/>
          <w:szCs w:val="24"/>
        </w:rPr>
        <w:t>3</w:t>
      </w:r>
      <w:r w:rsidR="00626BAE" w:rsidRPr="00121A6A">
        <w:rPr>
          <w:sz w:val="24"/>
          <w:szCs w:val="24"/>
        </w:rPr>
        <w:t xml:space="preserve">) </w:t>
      </w:r>
      <w:r w:rsidR="00A03A91" w:rsidRPr="00121A6A">
        <w:rPr>
          <w:sz w:val="24"/>
          <w:szCs w:val="24"/>
        </w:rPr>
        <w:t>worden de</w:t>
      </w:r>
      <w:r w:rsidR="005F4DD9" w:rsidRPr="00121A6A">
        <w:rPr>
          <w:sz w:val="24"/>
          <w:szCs w:val="24"/>
        </w:rPr>
        <w:t xml:space="preserve"> onderzoeksvragen</w:t>
      </w:r>
      <w:r w:rsidR="00A03A91" w:rsidRPr="00121A6A">
        <w:rPr>
          <w:sz w:val="24"/>
          <w:szCs w:val="24"/>
        </w:rPr>
        <w:t xml:space="preserve"> geformuleerd</w:t>
      </w:r>
      <w:r w:rsidR="00626BAE" w:rsidRPr="00121A6A">
        <w:rPr>
          <w:sz w:val="24"/>
          <w:szCs w:val="24"/>
        </w:rPr>
        <w:t xml:space="preserve"> (par. 1.</w:t>
      </w:r>
      <w:r w:rsidRPr="00121A6A">
        <w:rPr>
          <w:sz w:val="24"/>
          <w:szCs w:val="24"/>
        </w:rPr>
        <w:t>4</w:t>
      </w:r>
      <w:r w:rsidR="00626BAE" w:rsidRPr="00121A6A">
        <w:rPr>
          <w:sz w:val="24"/>
          <w:szCs w:val="24"/>
        </w:rPr>
        <w:t>)</w:t>
      </w:r>
      <w:r w:rsidR="005F4DD9" w:rsidRPr="00121A6A">
        <w:rPr>
          <w:sz w:val="24"/>
          <w:szCs w:val="24"/>
        </w:rPr>
        <w:t>.</w:t>
      </w:r>
      <w:r w:rsidR="00F85525" w:rsidRPr="00121A6A">
        <w:rPr>
          <w:sz w:val="24"/>
          <w:szCs w:val="24"/>
        </w:rPr>
        <w:t xml:space="preserve"> </w:t>
      </w:r>
      <w:r w:rsidR="00EF27AD">
        <w:rPr>
          <w:sz w:val="24"/>
          <w:szCs w:val="24"/>
        </w:rPr>
        <w:t>Vervolgens</w:t>
      </w:r>
      <w:r w:rsidR="00A43FB1" w:rsidRPr="00121A6A">
        <w:rPr>
          <w:sz w:val="24"/>
          <w:szCs w:val="24"/>
        </w:rPr>
        <w:t xml:space="preserve"> wordt kort stilgestaan bij</w:t>
      </w:r>
      <w:r w:rsidR="005F4DD9" w:rsidRPr="00121A6A">
        <w:rPr>
          <w:sz w:val="24"/>
          <w:szCs w:val="24"/>
        </w:rPr>
        <w:t xml:space="preserve"> </w:t>
      </w:r>
      <w:r w:rsidRPr="00121A6A">
        <w:rPr>
          <w:sz w:val="24"/>
          <w:szCs w:val="24"/>
        </w:rPr>
        <w:t xml:space="preserve">het begrippenkader (par. 1.5), </w:t>
      </w:r>
      <w:r w:rsidR="005F4DD9" w:rsidRPr="00121A6A">
        <w:rPr>
          <w:sz w:val="24"/>
          <w:szCs w:val="24"/>
        </w:rPr>
        <w:t>de methode</w:t>
      </w:r>
      <w:r w:rsidR="00626BAE" w:rsidRPr="00121A6A">
        <w:rPr>
          <w:sz w:val="24"/>
          <w:szCs w:val="24"/>
        </w:rPr>
        <w:t xml:space="preserve"> (par. 1.</w:t>
      </w:r>
      <w:r w:rsidRPr="00121A6A">
        <w:rPr>
          <w:sz w:val="24"/>
          <w:szCs w:val="24"/>
        </w:rPr>
        <w:t>6</w:t>
      </w:r>
      <w:r w:rsidR="00626BAE" w:rsidRPr="00121A6A">
        <w:rPr>
          <w:sz w:val="24"/>
          <w:szCs w:val="24"/>
        </w:rPr>
        <w:t>)</w:t>
      </w:r>
      <w:r w:rsidR="007011D9">
        <w:rPr>
          <w:sz w:val="24"/>
          <w:szCs w:val="24"/>
        </w:rPr>
        <w:t xml:space="preserve">, </w:t>
      </w:r>
      <w:r w:rsidR="00C7260D" w:rsidRPr="00121A6A">
        <w:rPr>
          <w:sz w:val="24"/>
          <w:szCs w:val="24"/>
        </w:rPr>
        <w:t xml:space="preserve">de </w:t>
      </w:r>
      <w:r w:rsidR="005F4DD9" w:rsidRPr="00121A6A">
        <w:rPr>
          <w:sz w:val="24"/>
          <w:szCs w:val="24"/>
        </w:rPr>
        <w:t>afbakening</w:t>
      </w:r>
      <w:r w:rsidR="00626BAE" w:rsidRPr="00121A6A">
        <w:rPr>
          <w:sz w:val="24"/>
          <w:szCs w:val="24"/>
        </w:rPr>
        <w:t xml:space="preserve"> (par. 1.</w:t>
      </w:r>
      <w:r w:rsidRPr="00121A6A">
        <w:rPr>
          <w:sz w:val="24"/>
          <w:szCs w:val="24"/>
        </w:rPr>
        <w:t>7</w:t>
      </w:r>
      <w:r w:rsidR="00626BAE" w:rsidRPr="00121A6A">
        <w:rPr>
          <w:sz w:val="24"/>
          <w:szCs w:val="24"/>
        </w:rPr>
        <w:t>)</w:t>
      </w:r>
      <w:r w:rsidR="007011D9">
        <w:rPr>
          <w:sz w:val="24"/>
          <w:szCs w:val="24"/>
        </w:rPr>
        <w:t xml:space="preserve"> en de opbouw van het onderzoek (par. 1.8).</w:t>
      </w:r>
    </w:p>
    <w:p w14:paraId="75FB9D38" w14:textId="77777777" w:rsidR="008E3A81" w:rsidRPr="00121A6A" w:rsidRDefault="008E3A81" w:rsidP="008E3A81">
      <w:pPr>
        <w:spacing w:after="0"/>
        <w:jc w:val="both"/>
        <w:rPr>
          <w:b/>
          <w:bCs/>
          <w:sz w:val="24"/>
          <w:szCs w:val="24"/>
        </w:rPr>
      </w:pPr>
    </w:p>
    <w:p w14:paraId="2A664790" w14:textId="3FBDD1CB" w:rsidR="000753AE" w:rsidRPr="00121A6A" w:rsidRDefault="000622C4" w:rsidP="00B92A7F">
      <w:pPr>
        <w:pStyle w:val="Heading2"/>
        <w:rPr>
          <w:sz w:val="24"/>
          <w:szCs w:val="24"/>
        </w:rPr>
      </w:pPr>
      <w:bookmarkStart w:id="4" w:name="_Toc169963035"/>
      <w:r w:rsidRPr="00121A6A">
        <w:rPr>
          <w:sz w:val="24"/>
          <w:szCs w:val="24"/>
        </w:rPr>
        <w:t>1.</w:t>
      </w:r>
      <w:r w:rsidR="0045377C" w:rsidRPr="00121A6A">
        <w:rPr>
          <w:sz w:val="24"/>
          <w:szCs w:val="24"/>
        </w:rPr>
        <w:t>2</w:t>
      </w:r>
      <w:r w:rsidRPr="00121A6A">
        <w:rPr>
          <w:sz w:val="24"/>
          <w:szCs w:val="24"/>
        </w:rPr>
        <w:t xml:space="preserve"> </w:t>
      </w:r>
      <w:r w:rsidR="000753AE" w:rsidRPr="00121A6A">
        <w:rPr>
          <w:sz w:val="24"/>
          <w:szCs w:val="24"/>
        </w:rPr>
        <w:t xml:space="preserve">Probleemanalyse </w:t>
      </w:r>
      <w:r w:rsidR="00041177" w:rsidRPr="00121A6A">
        <w:rPr>
          <w:sz w:val="24"/>
          <w:szCs w:val="24"/>
        </w:rPr>
        <w:t>en juridisch kader</w:t>
      </w:r>
      <w:bookmarkEnd w:id="4"/>
    </w:p>
    <w:p w14:paraId="005CB366" w14:textId="02C48357" w:rsidR="00E044DE" w:rsidRPr="00121A6A" w:rsidRDefault="00677713" w:rsidP="00E044DE">
      <w:pPr>
        <w:spacing w:after="0"/>
        <w:jc w:val="both"/>
        <w:rPr>
          <w:sz w:val="24"/>
          <w:szCs w:val="24"/>
        </w:rPr>
      </w:pPr>
      <w:r>
        <w:rPr>
          <w:sz w:val="24"/>
          <w:szCs w:val="24"/>
        </w:rPr>
        <w:t>Het feit dat</w:t>
      </w:r>
      <w:r w:rsidR="009C57A4">
        <w:rPr>
          <w:sz w:val="24"/>
          <w:szCs w:val="24"/>
        </w:rPr>
        <w:t xml:space="preserve"> </w:t>
      </w:r>
      <w:r>
        <w:rPr>
          <w:sz w:val="24"/>
          <w:szCs w:val="24"/>
        </w:rPr>
        <w:t xml:space="preserve">het stakingsrecht van </w:t>
      </w:r>
      <w:r w:rsidR="009C57A4">
        <w:rPr>
          <w:sz w:val="24"/>
          <w:szCs w:val="24"/>
        </w:rPr>
        <w:t>artikel 28 Hv een restrictievere insteek heeft dan onder de andere verdragsnormen,</w:t>
      </w:r>
      <w:r w:rsidR="00226833" w:rsidRPr="00121A6A">
        <w:rPr>
          <w:sz w:val="24"/>
          <w:szCs w:val="24"/>
        </w:rPr>
        <w:t xml:space="preserve"> </w:t>
      </w:r>
      <w:r w:rsidR="00207144" w:rsidRPr="00121A6A">
        <w:rPr>
          <w:sz w:val="24"/>
          <w:szCs w:val="24"/>
        </w:rPr>
        <w:t>wordt veroorzaakt doordat</w:t>
      </w:r>
      <w:r w:rsidR="00226833" w:rsidRPr="00121A6A">
        <w:rPr>
          <w:sz w:val="24"/>
          <w:szCs w:val="24"/>
        </w:rPr>
        <w:t xml:space="preserve"> </w:t>
      </w:r>
      <w:r w:rsidR="007D3F55" w:rsidRPr="00121A6A">
        <w:rPr>
          <w:sz w:val="24"/>
          <w:szCs w:val="24"/>
        </w:rPr>
        <w:t xml:space="preserve">de </w:t>
      </w:r>
      <w:r w:rsidR="00AF4CF9" w:rsidRPr="00121A6A">
        <w:rPr>
          <w:sz w:val="24"/>
          <w:szCs w:val="24"/>
        </w:rPr>
        <w:t xml:space="preserve">rechtsorde van de </w:t>
      </w:r>
      <w:r w:rsidR="00A65B8D" w:rsidRPr="00121A6A">
        <w:rPr>
          <w:sz w:val="24"/>
          <w:szCs w:val="24"/>
        </w:rPr>
        <w:t>EU</w:t>
      </w:r>
      <w:r w:rsidR="007D3F55" w:rsidRPr="00121A6A">
        <w:rPr>
          <w:sz w:val="24"/>
          <w:szCs w:val="24"/>
        </w:rPr>
        <w:t xml:space="preserve"> op belangrijke punten af</w:t>
      </w:r>
      <w:r w:rsidR="00660724">
        <w:rPr>
          <w:sz w:val="24"/>
          <w:szCs w:val="24"/>
        </w:rPr>
        <w:t>wijkt</w:t>
      </w:r>
      <w:r w:rsidR="007D3F55" w:rsidRPr="00121A6A">
        <w:rPr>
          <w:sz w:val="24"/>
          <w:szCs w:val="24"/>
        </w:rPr>
        <w:t xml:space="preserve"> van </w:t>
      </w:r>
      <w:r w:rsidR="00AF4CF9" w:rsidRPr="00121A6A">
        <w:rPr>
          <w:sz w:val="24"/>
          <w:szCs w:val="24"/>
        </w:rPr>
        <w:t xml:space="preserve">die van </w:t>
      </w:r>
      <w:r w:rsidR="007D3F55" w:rsidRPr="00121A6A">
        <w:rPr>
          <w:sz w:val="24"/>
          <w:szCs w:val="24"/>
        </w:rPr>
        <w:t>de Raad van Europa</w:t>
      </w:r>
      <w:r w:rsidR="001D5764">
        <w:rPr>
          <w:sz w:val="24"/>
          <w:szCs w:val="24"/>
        </w:rPr>
        <w:t xml:space="preserve"> </w:t>
      </w:r>
      <w:r w:rsidR="007D3F55" w:rsidRPr="00121A6A">
        <w:rPr>
          <w:sz w:val="24"/>
          <w:szCs w:val="24"/>
        </w:rPr>
        <w:t>en de ILO.</w:t>
      </w:r>
      <w:r w:rsidR="00D2473B" w:rsidRPr="00121A6A">
        <w:rPr>
          <w:sz w:val="24"/>
          <w:szCs w:val="24"/>
        </w:rPr>
        <w:t xml:space="preserve"> </w:t>
      </w:r>
      <w:r w:rsidR="007D3F55" w:rsidRPr="00121A6A">
        <w:rPr>
          <w:sz w:val="24"/>
          <w:szCs w:val="24"/>
        </w:rPr>
        <w:t xml:space="preserve">De Raad van Europa en de </w:t>
      </w:r>
      <w:r w:rsidR="00D2473B" w:rsidRPr="00121A6A">
        <w:rPr>
          <w:sz w:val="24"/>
          <w:szCs w:val="24"/>
        </w:rPr>
        <w:t xml:space="preserve">ILO </w:t>
      </w:r>
      <w:r w:rsidR="007D3F55" w:rsidRPr="00121A6A">
        <w:rPr>
          <w:sz w:val="24"/>
          <w:szCs w:val="24"/>
        </w:rPr>
        <w:t xml:space="preserve">zijn namelijk </w:t>
      </w:r>
      <w:r w:rsidR="00D2473B" w:rsidRPr="00121A6A">
        <w:rPr>
          <w:sz w:val="24"/>
          <w:szCs w:val="24"/>
        </w:rPr>
        <w:t>mensenrechtenorganisatie</w:t>
      </w:r>
      <w:r w:rsidR="007D3F55" w:rsidRPr="00121A6A">
        <w:rPr>
          <w:sz w:val="24"/>
          <w:szCs w:val="24"/>
        </w:rPr>
        <w:t>s</w:t>
      </w:r>
      <w:r w:rsidR="00D2473B" w:rsidRPr="00121A6A">
        <w:rPr>
          <w:sz w:val="24"/>
          <w:szCs w:val="24"/>
        </w:rPr>
        <w:t xml:space="preserve"> pur sang.</w:t>
      </w:r>
      <w:r w:rsidR="00E653EB" w:rsidRPr="00121A6A">
        <w:rPr>
          <w:sz w:val="24"/>
          <w:szCs w:val="24"/>
        </w:rPr>
        <w:t xml:space="preserve"> Dientengevolge</w:t>
      </w:r>
      <w:r w:rsidR="00D2473B" w:rsidRPr="00121A6A">
        <w:rPr>
          <w:sz w:val="24"/>
          <w:szCs w:val="24"/>
        </w:rPr>
        <w:t xml:space="preserve"> </w:t>
      </w:r>
      <w:r w:rsidR="00353901" w:rsidRPr="00121A6A">
        <w:rPr>
          <w:sz w:val="24"/>
          <w:szCs w:val="24"/>
        </w:rPr>
        <w:t>zijn</w:t>
      </w:r>
      <w:r w:rsidR="00D2473B" w:rsidRPr="00121A6A">
        <w:rPr>
          <w:sz w:val="24"/>
          <w:szCs w:val="24"/>
        </w:rPr>
        <w:t xml:space="preserve"> </w:t>
      </w:r>
      <w:r w:rsidR="00E653EB" w:rsidRPr="00121A6A">
        <w:rPr>
          <w:sz w:val="24"/>
          <w:szCs w:val="24"/>
        </w:rPr>
        <w:t>het</w:t>
      </w:r>
      <w:r w:rsidR="00353901" w:rsidRPr="00121A6A">
        <w:rPr>
          <w:sz w:val="24"/>
          <w:szCs w:val="24"/>
        </w:rPr>
        <w:t xml:space="preserve"> EVRM</w:t>
      </w:r>
      <w:r w:rsidR="00E653EB" w:rsidRPr="00121A6A">
        <w:rPr>
          <w:sz w:val="24"/>
          <w:szCs w:val="24"/>
        </w:rPr>
        <w:t xml:space="preserve">, </w:t>
      </w:r>
      <w:r w:rsidR="00353901" w:rsidRPr="00121A6A">
        <w:rPr>
          <w:sz w:val="24"/>
          <w:szCs w:val="24"/>
        </w:rPr>
        <w:t xml:space="preserve">ILO-Verdrag </w:t>
      </w:r>
      <w:r w:rsidR="001D5764">
        <w:rPr>
          <w:sz w:val="24"/>
          <w:szCs w:val="24"/>
        </w:rPr>
        <w:t>87</w:t>
      </w:r>
      <w:r w:rsidR="00353901" w:rsidRPr="00121A6A">
        <w:rPr>
          <w:sz w:val="24"/>
          <w:szCs w:val="24"/>
        </w:rPr>
        <w:t xml:space="preserve"> en het ESH</w:t>
      </w:r>
      <w:r w:rsidR="00E653EB" w:rsidRPr="00121A6A">
        <w:rPr>
          <w:sz w:val="24"/>
          <w:szCs w:val="24"/>
        </w:rPr>
        <w:t xml:space="preserve"> </w:t>
      </w:r>
      <w:r w:rsidR="00A4028D" w:rsidRPr="00121A6A">
        <w:rPr>
          <w:sz w:val="24"/>
          <w:szCs w:val="24"/>
        </w:rPr>
        <w:lastRenderedPageBreak/>
        <w:t>geënt op</w:t>
      </w:r>
      <w:r w:rsidR="006D7D9A">
        <w:rPr>
          <w:sz w:val="24"/>
          <w:szCs w:val="24"/>
        </w:rPr>
        <w:t xml:space="preserve"> </w:t>
      </w:r>
      <w:r w:rsidR="00460E85">
        <w:rPr>
          <w:sz w:val="24"/>
          <w:szCs w:val="24"/>
        </w:rPr>
        <w:t>het</w:t>
      </w:r>
      <w:r w:rsidR="00A4028D" w:rsidRPr="00121A6A">
        <w:rPr>
          <w:sz w:val="24"/>
          <w:szCs w:val="24"/>
        </w:rPr>
        <w:t xml:space="preserve"> bescherm</w:t>
      </w:r>
      <w:r w:rsidR="00460E85">
        <w:rPr>
          <w:sz w:val="24"/>
          <w:szCs w:val="24"/>
        </w:rPr>
        <w:t xml:space="preserve">en </w:t>
      </w:r>
      <w:r w:rsidR="00A4028D" w:rsidRPr="00121A6A">
        <w:rPr>
          <w:sz w:val="24"/>
          <w:szCs w:val="24"/>
        </w:rPr>
        <w:t>van grondrechten</w:t>
      </w:r>
      <w:r w:rsidR="00DE17A0" w:rsidRPr="00121A6A">
        <w:rPr>
          <w:sz w:val="24"/>
          <w:szCs w:val="24"/>
        </w:rPr>
        <w:t>,</w:t>
      </w:r>
      <w:r w:rsidR="000C696E" w:rsidRPr="00121A6A">
        <w:rPr>
          <w:rStyle w:val="FootnoteReference"/>
          <w:sz w:val="24"/>
          <w:szCs w:val="24"/>
        </w:rPr>
        <w:footnoteReference w:id="5"/>
      </w:r>
      <w:r w:rsidR="00DE17A0" w:rsidRPr="00121A6A">
        <w:rPr>
          <w:sz w:val="24"/>
          <w:szCs w:val="24"/>
        </w:rPr>
        <w:t xml:space="preserve"> waarbij waardedenken </w:t>
      </w:r>
      <w:r w:rsidR="004113DA" w:rsidRPr="00121A6A">
        <w:rPr>
          <w:sz w:val="24"/>
          <w:szCs w:val="24"/>
        </w:rPr>
        <w:t xml:space="preserve">(en niet marktdenken) </w:t>
      </w:r>
      <w:r w:rsidR="00DE17A0" w:rsidRPr="00121A6A">
        <w:rPr>
          <w:sz w:val="24"/>
          <w:szCs w:val="24"/>
        </w:rPr>
        <w:t>centraal staat</w:t>
      </w:r>
      <w:r w:rsidR="00D2473B" w:rsidRPr="00121A6A">
        <w:rPr>
          <w:sz w:val="24"/>
          <w:szCs w:val="24"/>
        </w:rPr>
        <w:t>.</w:t>
      </w:r>
      <w:r w:rsidR="004113DA" w:rsidRPr="00121A6A">
        <w:rPr>
          <w:rStyle w:val="FootnoteReference"/>
          <w:sz w:val="24"/>
          <w:szCs w:val="24"/>
        </w:rPr>
        <w:footnoteReference w:id="6"/>
      </w:r>
      <w:r w:rsidR="00D2473B" w:rsidRPr="00121A6A">
        <w:rPr>
          <w:sz w:val="24"/>
          <w:szCs w:val="24"/>
        </w:rPr>
        <w:t xml:space="preserve"> D</w:t>
      </w:r>
      <w:r w:rsidR="00A4028D" w:rsidRPr="00121A6A">
        <w:rPr>
          <w:sz w:val="24"/>
          <w:szCs w:val="24"/>
        </w:rPr>
        <w:t xml:space="preserve">e </w:t>
      </w:r>
      <w:r w:rsidR="00A65B8D" w:rsidRPr="00121A6A">
        <w:rPr>
          <w:sz w:val="24"/>
          <w:szCs w:val="24"/>
        </w:rPr>
        <w:t>EU</w:t>
      </w:r>
      <w:r w:rsidR="00A4028D" w:rsidRPr="00121A6A">
        <w:rPr>
          <w:sz w:val="24"/>
          <w:szCs w:val="24"/>
        </w:rPr>
        <w:t xml:space="preserve"> </w:t>
      </w:r>
      <w:r w:rsidR="00D2473B" w:rsidRPr="00121A6A">
        <w:rPr>
          <w:sz w:val="24"/>
          <w:szCs w:val="24"/>
        </w:rPr>
        <w:t xml:space="preserve">heeft daarentegen </w:t>
      </w:r>
      <w:r w:rsidR="00A4028D" w:rsidRPr="00121A6A">
        <w:rPr>
          <w:sz w:val="24"/>
          <w:szCs w:val="24"/>
        </w:rPr>
        <w:t xml:space="preserve">een economische oorsprong met als doel het bewerkstelligen van een interne markt en vrije mededinging. De </w:t>
      </w:r>
      <w:r w:rsidR="008D293E" w:rsidRPr="00121A6A">
        <w:rPr>
          <w:sz w:val="24"/>
          <w:szCs w:val="24"/>
        </w:rPr>
        <w:t>verkeers</w:t>
      </w:r>
      <w:r w:rsidR="00A4028D" w:rsidRPr="00121A6A">
        <w:rPr>
          <w:sz w:val="24"/>
          <w:szCs w:val="24"/>
        </w:rPr>
        <w:t>vrijheden (</w:t>
      </w:r>
      <w:r w:rsidR="00AF4CF9" w:rsidRPr="00121A6A">
        <w:rPr>
          <w:sz w:val="24"/>
          <w:szCs w:val="24"/>
        </w:rPr>
        <w:t xml:space="preserve">het </w:t>
      </w:r>
      <w:r w:rsidR="00C405AF" w:rsidRPr="00121A6A">
        <w:rPr>
          <w:sz w:val="24"/>
          <w:szCs w:val="24"/>
        </w:rPr>
        <w:t xml:space="preserve">vrij verkeer van </w:t>
      </w:r>
      <w:r w:rsidR="00B25A12" w:rsidRPr="00121A6A">
        <w:rPr>
          <w:sz w:val="24"/>
          <w:szCs w:val="24"/>
        </w:rPr>
        <w:t xml:space="preserve">goederen, </w:t>
      </w:r>
      <w:r w:rsidR="00713921" w:rsidRPr="00121A6A">
        <w:rPr>
          <w:sz w:val="24"/>
          <w:szCs w:val="24"/>
        </w:rPr>
        <w:t>personen,</w:t>
      </w:r>
      <w:r w:rsidR="00A4028D" w:rsidRPr="00121A6A">
        <w:rPr>
          <w:sz w:val="24"/>
          <w:szCs w:val="24"/>
        </w:rPr>
        <w:t xml:space="preserve"> diensten en kapitaal)</w:t>
      </w:r>
      <w:r w:rsidR="00E72D1B" w:rsidRPr="00121A6A">
        <w:rPr>
          <w:rStyle w:val="FootnoteReference"/>
          <w:sz w:val="24"/>
          <w:szCs w:val="24"/>
        </w:rPr>
        <w:footnoteReference w:id="7"/>
      </w:r>
      <w:r w:rsidR="00A4028D" w:rsidRPr="00121A6A">
        <w:rPr>
          <w:sz w:val="24"/>
          <w:szCs w:val="24"/>
        </w:rPr>
        <w:t xml:space="preserve"> vormen de pijlers van de Europese samenwerking en worden vergaand beschermd door het </w:t>
      </w:r>
      <w:r w:rsidR="007B5F32" w:rsidRPr="00121A6A">
        <w:rPr>
          <w:sz w:val="24"/>
          <w:szCs w:val="24"/>
        </w:rPr>
        <w:t>Luxemburgse Hof</w:t>
      </w:r>
      <w:r w:rsidR="00A4028D" w:rsidRPr="00121A6A">
        <w:rPr>
          <w:sz w:val="24"/>
          <w:szCs w:val="24"/>
        </w:rPr>
        <w:t>.</w:t>
      </w:r>
      <w:r w:rsidR="00C405AF" w:rsidRPr="00121A6A">
        <w:rPr>
          <w:sz w:val="24"/>
          <w:szCs w:val="24"/>
        </w:rPr>
        <w:t xml:space="preserve"> </w:t>
      </w:r>
      <w:r w:rsidR="00A4028D" w:rsidRPr="00121A6A">
        <w:rPr>
          <w:sz w:val="24"/>
          <w:szCs w:val="24"/>
        </w:rPr>
        <w:t xml:space="preserve">Hoewel de </w:t>
      </w:r>
      <w:r w:rsidR="009D1B4A" w:rsidRPr="00121A6A">
        <w:rPr>
          <w:sz w:val="24"/>
          <w:szCs w:val="24"/>
        </w:rPr>
        <w:t>EU</w:t>
      </w:r>
      <w:r w:rsidR="00A4028D" w:rsidRPr="00121A6A">
        <w:rPr>
          <w:sz w:val="24"/>
          <w:szCs w:val="24"/>
        </w:rPr>
        <w:t xml:space="preserve"> in de loop van de historie ook een sociale dimensie heeft ontwikkeld,</w:t>
      </w:r>
      <w:r w:rsidR="004D4DAA" w:rsidRPr="00121A6A">
        <w:rPr>
          <w:rStyle w:val="FootnoteReference"/>
          <w:sz w:val="24"/>
          <w:szCs w:val="24"/>
        </w:rPr>
        <w:footnoteReference w:id="8"/>
      </w:r>
      <w:r w:rsidR="00A4028D" w:rsidRPr="00121A6A">
        <w:rPr>
          <w:sz w:val="24"/>
          <w:szCs w:val="24"/>
        </w:rPr>
        <w:t xml:space="preserve"> speelt de economische context </w:t>
      </w:r>
      <w:r w:rsidR="00AE4E8C" w:rsidRPr="00121A6A">
        <w:rPr>
          <w:sz w:val="24"/>
          <w:szCs w:val="24"/>
        </w:rPr>
        <w:t xml:space="preserve">nog steeds </w:t>
      </w:r>
      <w:r w:rsidR="00A4028D" w:rsidRPr="00121A6A">
        <w:rPr>
          <w:sz w:val="24"/>
          <w:szCs w:val="24"/>
        </w:rPr>
        <w:t>een belangrijke rol bij de interpretatie van grondrechten</w:t>
      </w:r>
      <w:r w:rsidR="001D5764">
        <w:rPr>
          <w:sz w:val="24"/>
          <w:szCs w:val="24"/>
        </w:rPr>
        <w:t>,</w:t>
      </w:r>
      <w:r w:rsidR="00DA11BD" w:rsidRPr="00121A6A">
        <w:rPr>
          <w:sz w:val="24"/>
          <w:szCs w:val="24"/>
        </w:rPr>
        <w:t xml:space="preserve"> waaronder het stakingsrecht</w:t>
      </w:r>
      <w:r w:rsidR="00A4028D" w:rsidRPr="00121A6A">
        <w:rPr>
          <w:sz w:val="24"/>
          <w:szCs w:val="24"/>
        </w:rPr>
        <w:t>.</w:t>
      </w:r>
      <w:r w:rsidR="00BD63DD" w:rsidRPr="00121A6A">
        <w:rPr>
          <w:rStyle w:val="FootnoteReference"/>
          <w:sz w:val="24"/>
          <w:szCs w:val="24"/>
        </w:rPr>
        <w:footnoteReference w:id="9"/>
      </w:r>
    </w:p>
    <w:p w14:paraId="14BB628F" w14:textId="2A26D7B6" w:rsidR="00900C04" w:rsidRPr="00121A6A" w:rsidRDefault="00164F70" w:rsidP="00AE2F85">
      <w:pPr>
        <w:spacing w:after="0"/>
        <w:ind w:firstLine="708"/>
        <w:jc w:val="both"/>
        <w:rPr>
          <w:sz w:val="24"/>
          <w:szCs w:val="24"/>
        </w:rPr>
      </w:pPr>
      <w:r w:rsidRPr="00121A6A">
        <w:rPr>
          <w:sz w:val="24"/>
          <w:szCs w:val="24"/>
        </w:rPr>
        <w:t>Mede a</w:t>
      </w:r>
      <w:r w:rsidR="00502B0F" w:rsidRPr="00121A6A">
        <w:rPr>
          <w:sz w:val="24"/>
          <w:szCs w:val="24"/>
        </w:rPr>
        <w:t>ls gevolg van d</w:t>
      </w:r>
      <w:r w:rsidR="00832270" w:rsidRPr="00121A6A">
        <w:rPr>
          <w:sz w:val="24"/>
          <w:szCs w:val="24"/>
        </w:rPr>
        <w:t>e</w:t>
      </w:r>
      <w:r w:rsidR="00E47E65" w:rsidRPr="00121A6A">
        <w:rPr>
          <w:sz w:val="24"/>
          <w:szCs w:val="24"/>
        </w:rPr>
        <w:t>ze</w:t>
      </w:r>
      <w:r w:rsidR="00D2473B" w:rsidRPr="00121A6A">
        <w:rPr>
          <w:sz w:val="24"/>
          <w:szCs w:val="24"/>
        </w:rPr>
        <w:t xml:space="preserve"> verscheidene (historische) contexten</w:t>
      </w:r>
      <w:r w:rsidR="00D83F87">
        <w:rPr>
          <w:sz w:val="24"/>
          <w:szCs w:val="24"/>
        </w:rPr>
        <w:t>,</w:t>
      </w:r>
      <w:r w:rsidR="00832270" w:rsidRPr="00121A6A">
        <w:rPr>
          <w:sz w:val="24"/>
          <w:szCs w:val="24"/>
        </w:rPr>
        <w:t xml:space="preserve"> verschillen de verdragen in toepassingsgebied, formulering</w:t>
      </w:r>
      <w:r w:rsidR="008B0618" w:rsidRPr="00121A6A">
        <w:rPr>
          <w:sz w:val="24"/>
          <w:szCs w:val="24"/>
        </w:rPr>
        <w:t xml:space="preserve">, </w:t>
      </w:r>
      <w:r w:rsidR="00832270" w:rsidRPr="00121A6A">
        <w:rPr>
          <w:sz w:val="24"/>
          <w:szCs w:val="24"/>
        </w:rPr>
        <w:t>beperkingssystematiek</w:t>
      </w:r>
      <w:r w:rsidR="008B0618" w:rsidRPr="00121A6A">
        <w:rPr>
          <w:sz w:val="24"/>
          <w:szCs w:val="24"/>
        </w:rPr>
        <w:t xml:space="preserve"> en </w:t>
      </w:r>
      <w:r w:rsidR="00D17CC4" w:rsidRPr="00121A6A">
        <w:rPr>
          <w:sz w:val="24"/>
          <w:szCs w:val="24"/>
        </w:rPr>
        <w:t>afdwingbaarheid</w:t>
      </w:r>
      <w:r w:rsidR="00832270" w:rsidRPr="00121A6A">
        <w:rPr>
          <w:sz w:val="24"/>
          <w:szCs w:val="24"/>
        </w:rPr>
        <w:t>.</w:t>
      </w:r>
      <w:r w:rsidR="00980E52" w:rsidRPr="00121A6A">
        <w:rPr>
          <w:sz w:val="24"/>
          <w:szCs w:val="24"/>
        </w:rPr>
        <w:t xml:space="preserve"> </w:t>
      </w:r>
      <w:r w:rsidR="00B10EBF" w:rsidRPr="00121A6A">
        <w:rPr>
          <w:sz w:val="24"/>
          <w:szCs w:val="24"/>
        </w:rPr>
        <w:t>Het</w:t>
      </w:r>
      <w:r w:rsidR="005B45F2" w:rsidRPr="00121A6A">
        <w:rPr>
          <w:sz w:val="24"/>
          <w:szCs w:val="24"/>
        </w:rPr>
        <w:t xml:space="preserve"> valt op dat</w:t>
      </w:r>
      <w:r w:rsidR="007D70AF" w:rsidRPr="00121A6A">
        <w:rPr>
          <w:sz w:val="24"/>
          <w:szCs w:val="24"/>
        </w:rPr>
        <w:t xml:space="preserve"> grondrechten uit</w:t>
      </w:r>
      <w:r w:rsidR="005B45F2" w:rsidRPr="00121A6A">
        <w:rPr>
          <w:sz w:val="24"/>
          <w:szCs w:val="24"/>
        </w:rPr>
        <w:t xml:space="preserve"> het EVRM, ILO-Verdrag 87 </w:t>
      </w:r>
      <w:r w:rsidR="007B5F32" w:rsidRPr="00121A6A">
        <w:rPr>
          <w:sz w:val="24"/>
          <w:szCs w:val="24"/>
        </w:rPr>
        <w:t xml:space="preserve">en het ESH </w:t>
      </w:r>
      <w:r w:rsidR="003B5A6D" w:rsidRPr="00121A6A">
        <w:rPr>
          <w:sz w:val="24"/>
          <w:szCs w:val="24"/>
        </w:rPr>
        <w:t xml:space="preserve">door de </w:t>
      </w:r>
      <w:r w:rsidR="000E7CE3" w:rsidRPr="00121A6A">
        <w:rPr>
          <w:sz w:val="24"/>
          <w:szCs w:val="24"/>
        </w:rPr>
        <w:t xml:space="preserve">verdragsluitende </w:t>
      </w:r>
      <w:r w:rsidR="003B5A6D" w:rsidRPr="00121A6A">
        <w:rPr>
          <w:sz w:val="24"/>
          <w:szCs w:val="24"/>
        </w:rPr>
        <w:t xml:space="preserve">staten steeds </w:t>
      </w:r>
      <w:r w:rsidR="007D70AF" w:rsidRPr="00121A6A">
        <w:rPr>
          <w:sz w:val="24"/>
          <w:szCs w:val="24"/>
        </w:rPr>
        <w:t xml:space="preserve">moeten </w:t>
      </w:r>
      <w:r w:rsidR="003B5A6D" w:rsidRPr="00121A6A">
        <w:rPr>
          <w:sz w:val="24"/>
          <w:szCs w:val="24"/>
        </w:rPr>
        <w:t>worden geëerbiedigd.</w:t>
      </w:r>
      <w:r w:rsidR="00440E07" w:rsidRPr="00121A6A">
        <w:rPr>
          <w:sz w:val="24"/>
          <w:szCs w:val="24"/>
        </w:rPr>
        <w:t xml:space="preserve"> </w:t>
      </w:r>
      <w:r w:rsidR="00447AC5" w:rsidRPr="00121A6A">
        <w:rPr>
          <w:sz w:val="24"/>
          <w:szCs w:val="24"/>
        </w:rPr>
        <w:t xml:space="preserve">Beperkingen </w:t>
      </w:r>
      <w:r w:rsidR="007D70AF" w:rsidRPr="00121A6A">
        <w:rPr>
          <w:sz w:val="24"/>
          <w:szCs w:val="24"/>
        </w:rPr>
        <w:t xml:space="preserve">van deze rechten </w:t>
      </w:r>
      <w:r w:rsidR="00447AC5" w:rsidRPr="00121A6A">
        <w:rPr>
          <w:sz w:val="24"/>
          <w:szCs w:val="24"/>
        </w:rPr>
        <w:t>zijn slechts onder strikte voorwaarden toegestaan</w:t>
      </w:r>
      <w:r w:rsidR="008D1372" w:rsidRPr="00121A6A">
        <w:rPr>
          <w:sz w:val="24"/>
          <w:szCs w:val="24"/>
        </w:rPr>
        <w:t>, waarbij</w:t>
      </w:r>
      <w:r w:rsidR="006A4B85" w:rsidRPr="00121A6A">
        <w:rPr>
          <w:sz w:val="24"/>
          <w:szCs w:val="24"/>
        </w:rPr>
        <w:t xml:space="preserve"> inzake het stakingsrecht </w:t>
      </w:r>
      <w:r w:rsidR="00DF07A5" w:rsidRPr="00121A6A">
        <w:rPr>
          <w:sz w:val="24"/>
          <w:szCs w:val="24"/>
        </w:rPr>
        <w:t xml:space="preserve">het economisch belang van de werkgever </w:t>
      </w:r>
      <w:r w:rsidR="001B340A" w:rsidRPr="00121A6A">
        <w:rPr>
          <w:sz w:val="24"/>
          <w:szCs w:val="24"/>
        </w:rPr>
        <w:t>en</w:t>
      </w:r>
      <w:r w:rsidR="006675E5" w:rsidRPr="00121A6A">
        <w:rPr>
          <w:sz w:val="24"/>
          <w:szCs w:val="24"/>
        </w:rPr>
        <w:t xml:space="preserve"> </w:t>
      </w:r>
      <w:r w:rsidR="001E14C0">
        <w:rPr>
          <w:sz w:val="24"/>
          <w:szCs w:val="24"/>
        </w:rPr>
        <w:t>zijn</w:t>
      </w:r>
      <w:r w:rsidR="006675E5" w:rsidRPr="00121A6A">
        <w:rPr>
          <w:sz w:val="24"/>
          <w:szCs w:val="24"/>
        </w:rPr>
        <w:t xml:space="preserve"> fundamentele recht op vrij verkeer </w:t>
      </w:r>
      <w:r w:rsidR="0052535F" w:rsidRPr="00121A6A">
        <w:rPr>
          <w:sz w:val="24"/>
          <w:szCs w:val="24"/>
        </w:rPr>
        <w:t xml:space="preserve">niet (steeds) </w:t>
      </w:r>
      <w:r w:rsidR="006675E5" w:rsidRPr="00121A6A">
        <w:rPr>
          <w:sz w:val="24"/>
          <w:szCs w:val="24"/>
        </w:rPr>
        <w:t>doorslaggevend</w:t>
      </w:r>
      <w:r w:rsidR="0052535F" w:rsidRPr="00121A6A">
        <w:rPr>
          <w:sz w:val="24"/>
          <w:szCs w:val="24"/>
        </w:rPr>
        <w:t xml:space="preserve"> </w:t>
      </w:r>
      <w:r w:rsidR="00DD2DAE" w:rsidRPr="00121A6A">
        <w:rPr>
          <w:sz w:val="24"/>
          <w:szCs w:val="24"/>
        </w:rPr>
        <w:t>zijn</w:t>
      </w:r>
      <w:r w:rsidR="00447AC5" w:rsidRPr="00121A6A">
        <w:rPr>
          <w:sz w:val="24"/>
          <w:szCs w:val="24"/>
        </w:rPr>
        <w:t xml:space="preserve">. </w:t>
      </w:r>
      <w:r w:rsidR="005B45F2" w:rsidRPr="00121A6A">
        <w:rPr>
          <w:sz w:val="24"/>
          <w:szCs w:val="24"/>
        </w:rPr>
        <w:t xml:space="preserve">Daar staat tegenover dat Handvestbepalingen </w:t>
      </w:r>
      <w:r w:rsidR="009D1B4A" w:rsidRPr="00121A6A">
        <w:rPr>
          <w:sz w:val="24"/>
          <w:szCs w:val="24"/>
        </w:rPr>
        <w:t xml:space="preserve">overeenkomstig artikel 51 lid 1 Hv </w:t>
      </w:r>
      <w:r w:rsidR="005B45F2" w:rsidRPr="00121A6A">
        <w:rPr>
          <w:sz w:val="24"/>
          <w:szCs w:val="24"/>
        </w:rPr>
        <w:t>slechts tot lidstaten</w:t>
      </w:r>
      <w:r w:rsidR="008D5E62" w:rsidRPr="00121A6A">
        <w:rPr>
          <w:sz w:val="24"/>
          <w:szCs w:val="24"/>
        </w:rPr>
        <w:t xml:space="preserve"> </w:t>
      </w:r>
      <w:r w:rsidR="005B45F2" w:rsidRPr="00121A6A">
        <w:rPr>
          <w:sz w:val="24"/>
          <w:szCs w:val="24"/>
        </w:rPr>
        <w:t xml:space="preserve">gericht </w:t>
      </w:r>
      <w:r w:rsidR="009D1B4A" w:rsidRPr="00121A6A">
        <w:rPr>
          <w:sz w:val="24"/>
          <w:szCs w:val="24"/>
        </w:rPr>
        <w:t xml:space="preserve">zijn </w:t>
      </w:r>
      <w:r w:rsidR="005B45F2" w:rsidRPr="00121A6A">
        <w:rPr>
          <w:sz w:val="24"/>
          <w:szCs w:val="24"/>
        </w:rPr>
        <w:t xml:space="preserve">indien </w:t>
      </w:r>
      <w:r w:rsidR="00522A2C" w:rsidRPr="00121A6A">
        <w:rPr>
          <w:sz w:val="24"/>
          <w:szCs w:val="24"/>
        </w:rPr>
        <w:t>zij</w:t>
      </w:r>
      <w:r w:rsidR="005B45F2" w:rsidRPr="00121A6A">
        <w:rPr>
          <w:sz w:val="24"/>
          <w:szCs w:val="24"/>
        </w:rPr>
        <w:t xml:space="preserve"> </w:t>
      </w:r>
      <w:r w:rsidR="005B5ED3">
        <w:rPr>
          <w:sz w:val="24"/>
          <w:szCs w:val="24"/>
        </w:rPr>
        <w:t xml:space="preserve">het </w:t>
      </w:r>
      <w:r w:rsidR="005B45F2" w:rsidRPr="00121A6A">
        <w:rPr>
          <w:sz w:val="24"/>
          <w:szCs w:val="24"/>
        </w:rPr>
        <w:t xml:space="preserve">Unierecht ten uitvoer brengen. </w:t>
      </w:r>
      <w:r w:rsidR="008D5E62" w:rsidRPr="00121A6A">
        <w:rPr>
          <w:sz w:val="24"/>
          <w:szCs w:val="24"/>
        </w:rPr>
        <w:t>Voor</w:t>
      </w:r>
      <w:r w:rsidR="006D7D9A">
        <w:rPr>
          <w:sz w:val="24"/>
          <w:szCs w:val="24"/>
        </w:rPr>
        <w:t xml:space="preserve"> de</w:t>
      </w:r>
      <w:r w:rsidR="008D5E62" w:rsidRPr="00121A6A">
        <w:rPr>
          <w:sz w:val="24"/>
          <w:szCs w:val="24"/>
        </w:rPr>
        <w:t xml:space="preserve"> toepassing van Handvestbepalingen in de nationale rechtsorde is </w:t>
      </w:r>
      <w:r w:rsidR="001D5764" w:rsidRPr="00121A6A">
        <w:rPr>
          <w:sz w:val="24"/>
          <w:szCs w:val="24"/>
        </w:rPr>
        <w:t xml:space="preserve">dus steeds </w:t>
      </w:r>
      <w:r w:rsidR="008D5E62" w:rsidRPr="00121A6A">
        <w:rPr>
          <w:sz w:val="24"/>
          <w:szCs w:val="24"/>
        </w:rPr>
        <w:t>e</w:t>
      </w:r>
      <w:r w:rsidR="0000007D" w:rsidRPr="00121A6A">
        <w:rPr>
          <w:sz w:val="24"/>
          <w:szCs w:val="24"/>
        </w:rPr>
        <w:t xml:space="preserve">en link met </w:t>
      </w:r>
      <w:r w:rsidR="00773B86" w:rsidRPr="00121A6A">
        <w:rPr>
          <w:sz w:val="24"/>
          <w:szCs w:val="24"/>
        </w:rPr>
        <w:t>(ander)</w:t>
      </w:r>
      <w:r w:rsidR="00AD272B" w:rsidRPr="00121A6A">
        <w:rPr>
          <w:sz w:val="24"/>
          <w:szCs w:val="24"/>
        </w:rPr>
        <w:t xml:space="preserve"> </w:t>
      </w:r>
      <w:r w:rsidR="00775813" w:rsidRPr="00121A6A">
        <w:rPr>
          <w:sz w:val="24"/>
          <w:szCs w:val="24"/>
        </w:rPr>
        <w:t>Unie</w:t>
      </w:r>
      <w:r w:rsidR="0000007D" w:rsidRPr="00121A6A">
        <w:rPr>
          <w:sz w:val="24"/>
          <w:szCs w:val="24"/>
        </w:rPr>
        <w:t>recht vereist</w:t>
      </w:r>
      <w:r w:rsidR="008D5E62" w:rsidRPr="00121A6A">
        <w:rPr>
          <w:sz w:val="24"/>
          <w:szCs w:val="24"/>
        </w:rPr>
        <w:t xml:space="preserve">. Deze link </w:t>
      </w:r>
      <w:r w:rsidR="00C83A77">
        <w:rPr>
          <w:sz w:val="24"/>
          <w:szCs w:val="24"/>
        </w:rPr>
        <w:t>is</w:t>
      </w:r>
      <w:r w:rsidR="008D5E62" w:rsidRPr="00121A6A">
        <w:rPr>
          <w:sz w:val="24"/>
          <w:szCs w:val="24"/>
        </w:rPr>
        <w:t xml:space="preserve"> </w:t>
      </w:r>
      <w:r w:rsidR="00957DD1" w:rsidRPr="00121A6A">
        <w:rPr>
          <w:sz w:val="24"/>
          <w:szCs w:val="24"/>
        </w:rPr>
        <w:t xml:space="preserve">bijvoorbeeld </w:t>
      </w:r>
      <w:r w:rsidR="00C83A77">
        <w:rPr>
          <w:sz w:val="24"/>
          <w:szCs w:val="24"/>
        </w:rPr>
        <w:t xml:space="preserve">aanwezig </w:t>
      </w:r>
      <w:r w:rsidR="00D83F87">
        <w:rPr>
          <w:sz w:val="24"/>
          <w:szCs w:val="24"/>
        </w:rPr>
        <w:t>in</w:t>
      </w:r>
      <w:r w:rsidR="00C83A77">
        <w:rPr>
          <w:sz w:val="24"/>
          <w:szCs w:val="24"/>
        </w:rPr>
        <w:t>dien</w:t>
      </w:r>
      <w:r w:rsidR="00D83F87">
        <w:rPr>
          <w:sz w:val="24"/>
          <w:szCs w:val="24"/>
        </w:rPr>
        <w:t xml:space="preserve"> </w:t>
      </w:r>
      <w:r w:rsidR="00DB707B" w:rsidRPr="00121A6A">
        <w:rPr>
          <w:sz w:val="24"/>
          <w:szCs w:val="24"/>
        </w:rPr>
        <w:t xml:space="preserve">uitvoering </w:t>
      </w:r>
      <w:r w:rsidR="00C83A77">
        <w:rPr>
          <w:sz w:val="24"/>
          <w:szCs w:val="24"/>
        </w:rPr>
        <w:t xml:space="preserve">wordt </w:t>
      </w:r>
      <w:r w:rsidR="00DB707B" w:rsidRPr="00121A6A">
        <w:rPr>
          <w:sz w:val="24"/>
          <w:szCs w:val="24"/>
        </w:rPr>
        <w:t>geven aan</w:t>
      </w:r>
      <w:r w:rsidR="00957DD1" w:rsidRPr="00121A6A">
        <w:rPr>
          <w:sz w:val="24"/>
          <w:szCs w:val="24"/>
        </w:rPr>
        <w:t xml:space="preserve"> secundair Unierecht zoals richtlijnen of verordeningen</w:t>
      </w:r>
      <w:r w:rsidR="00773B86" w:rsidRPr="00121A6A">
        <w:rPr>
          <w:sz w:val="24"/>
          <w:szCs w:val="24"/>
        </w:rPr>
        <w:t xml:space="preserve"> (</w:t>
      </w:r>
      <w:proofErr w:type="spellStart"/>
      <w:r w:rsidR="00773B86" w:rsidRPr="00121A6A">
        <w:rPr>
          <w:i/>
          <w:iCs/>
          <w:sz w:val="24"/>
          <w:szCs w:val="24"/>
        </w:rPr>
        <w:t>Wachauf</w:t>
      </w:r>
      <w:proofErr w:type="spellEnd"/>
      <w:r w:rsidR="00773B86" w:rsidRPr="00121A6A">
        <w:rPr>
          <w:sz w:val="24"/>
          <w:szCs w:val="24"/>
        </w:rPr>
        <w:t>-uitvoering)</w:t>
      </w:r>
      <w:r w:rsidR="00731D36">
        <w:rPr>
          <w:sz w:val="24"/>
          <w:szCs w:val="24"/>
        </w:rPr>
        <w:t>,</w:t>
      </w:r>
      <w:r w:rsidR="00FD5C42" w:rsidRPr="00121A6A">
        <w:rPr>
          <w:rStyle w:val="FootnoteReference"/>
          <w:sz w:val="24"/>
          <w:szCs w:val="24"/>
        </w:rPr>
        <w:footnoteReference w:id="10"/>
      </w:r>
      <w:r w:rsidR="00237A4A" w:rsidRPr="00121A6A">
        <w:rPr>
          <w:sz w:val="24"/>
          <w:szCs w:val="24"/>
        </w:rPr>
        <w:t xml:space="preserve"> of </w:t>
      </w:r>
      <w:r w:rsidR="00617650">
        <w:rPr>
          <w:sz w:val="24"/>
          <w:szCs w:val="24"/>
        </w:rPr>
        <w:t>in</w:t>
      </w:r>
      <w:r w:rsidR="00C83A77">
        <w:rPr>
          <w:sz w:val="24"/>
          <w:szCs w:val="24"/>
        </w:rPr>
        <w:t>dien</w:t>
      </w:r>
      <w:r w:rsidR="00617650">
        <w:rPr>
          <w:sz w:val="24"/>
          <w:szCs w:val="24"/>
        </w:rPr>
        <w:t xml:space="preserve"> </w:t>
      </w:r>
      <w:r w:rsidR="00237A4A" w:rsidRPr="00121A6A">
        <w:rPr>
          <w:sz w:val="24"/>
          <w:szCs w:val="24"/>
        </w:rPr>
        <w:t>het vrij verkeer</w:t>
      </w:r>
      <w:r w:rsidR="0076739A" w:rsidRPr="00121A6A">
        <w:rPr>
          <w:sz w:val="24"/>
          <w:szCs w:val="24"/>
        </w:rPr>
        <w:t xml:space="preserve"> </w:t>
      </w:r>
      <w:r w:rsidR="00C83A77">
        <w:rPr>
          <w:sz w:val="24"/>
          <w:szCs w:val="24"/>
        </w:rPr>
        <w:t xml:space="preserve">wordt belemmerd </w:t>
      </w:r>
      <w:r w:rsidR="00237A4A" w:rsidRPr="00121A6A">
        <w:rPr>
          <w:sz w:val="24"/>
          <w:szCs w:val="24"/>
        </w:rPr>
        <w:t>(</w:t>
      </w:r>
      <w:r w:rsidR="00237A4A" w:rsidRPr="00121A6A">
        <w:rPr>
          <w:i/>
          <w:iCs/>
          <w:sz w:val="24"/>
          <w:szCs w:val="24"/>
        </w:rPr>
        <w:t>ERT</w:t>
      </w:r>
      <w:r w:rsidR="00237A4A" w:rsidRPr="00121A6A">
        <w:rPr>
          <w:sz w:val="24"/>
          <w:szCs w:val="24"/>
        </w:rPr>
        <w:t xml:space="preserve">-doctrine). </w:t>
      </w:r>
      <w:r w:rsidR="005B45F2" w:rsidRPr="00121A6A">
        <w:rPr>
          <w:sz w:val="24"/>
          <w:szCs w:val="24"/>
        </w:rPr>
        <w:t xml:space="preserve">Blijkens artikel 153 lid 5 </w:t>
      </w:r>
      <w:r w:rsidR="00FD5C42">
        <w:rPr>
          <w:sz w:val="24"/>
          <w:szCs w:val="24"/>
        </w:rPr>
        <w:t>EU-Werkingsverdrag (</w:t>
      </w:r>
      <w:r w:rsidR="005B45F2" w:rsidRPr="00121A6A">
        <w:rPr>
          <w:sz w:val="24"/>
          <w:szCs w:val="24"/>
        </w:rPr>
        <w:t>VwEU</w:t>
      </w:r>
      <w:r w:rsidR="00FD5C42">
        <w:rPr>
          <w:sz w:val="24"/>
          <w:szCs w:val="24"/>
        </w:rPr>
        <w:t>)</w:t>
      </w:r>
      <w:r w:rsidR="005B45F2" w:rsidRPr="00121A6A">
        <w:rPr>
          <w:sz w:val="24"/>
          <w:szCs w:val="24"/>
        </w:rPr>
        <w:t xml:space="preserve"> heeft de </w:t>
      </w:r>
      <w:r w:rsidR="00F73FC7" w:rsidRPr="00121A6A">
        <w:rPr>
          <w:sz w:val="24"/>
          <w:szCs w:val="24"/>
        </w:rPr>
        <w:t>Unie</w:t>
      </w:r>
      <w:r w:rsidR="005B45F2" w:rsidRPr="00121A6A">
        <w:rPr>
          <w:sz w:val="24"/>
          <w:szCs w:val="24"/>
        </w:rPr>
        <w:t xml:space="preserve"> </w:t>
      </w:r>
      <w:r w:rsidR="00C83A77">
        <w:rPr>
          <w:sz w:val="24"/>
          <w:szCs w:val="24"/>
        </w:rPr>
        <w:t xml:space="preserve">echter </w:t>
      </w:r>
      <w:r w:rsidR="005B45F2" w:rsidRPr="00121A6A">
        <w:rPr>
          <w:sz w:val="24"/>
          <w:szCs w:val="24"/>
        </w:rPr>
        <w:t xml:space="preserve">geen wetgevende competentie op het gebied van het stakingsrecht. </w:t>
      </w:r>
      <w:r w:rsidR="005D43A0" w:rsidRPr="00121A6A">
        <w:rPr>
          <w:sz w:val="24"/>
          <w:szCs w:val="24"/>
        </w:rPr>
        <w:t xml:space="preserve">Omdat </w:t>
      </w:r>
      <w:r w:rsidR="00182624" w:rsidRPr="00121A6A">
        <w:rPr>
          <w:sz w:val="24"/>
          <w:szCs w:val="24"/>
        </w:rPr>
        <w:t xml:space="preserve">secundaire </w:t>
      </w:r>
      <w:r w:rsidR="00C83A77">
        <w:rPr>
          <w:sz w:val="24"/>
          <w:szCs w:val="24"/>
        </w:rPr>
        <w:t>Unie</w:t>
      </w:r>
      <w:r w:rsidR="005D43A0" w:rsidRPr="00121A6A">
        <w:rPr>
          <w:sz w:val="24"/>
          <w:szCs w:val="24"/>
        </w:rPr>
        <w:t xml:space="preserve">wetgeving waarin het stakingsrecht wordt gereguleerd </w:t>
      </w:r>
      <w:r w:rsidR="0035211B" w:rsidRPr="00121A6A">
        <w:rPr>
          <w:sz w:val="24"/>
          <w:szCs w:val="24"/>
        </w:rPr>
        <w:t>(</w:t>
      </w:r>
      <w:r w:rsidR="005D43A0" w:rsidRPr="00121A6A">
        <w:rPr>
          <w:sz w:val="24"/>
          <w:szCs w:val="24"/>
        </w:rPr>
        <w:t>derhalve</w:t>
      </w:r>
      <w:r w:rsidR="0035211B" w:rsidRPr="00121A6A">
        <w:rPr>
          <w:sz w:val="24"/>
          <w:szCs w:val="24"/>
        </w:rPr>
        <w:t xml:space="preserve">) </w:t>
      </w:r>
      <w:r w:rsidR="005D43A0" w:rsidRPr="00121A6A">
        <w:rPr>
          <w:sz w:val="24"/>
          <w:szCs w:val="24"/>
        </w:rPr>
        <w:t>ontbreekt,</w:t>
      </w:r>
      <w:r w:rsidR="0041154A" w:rsidRPr="00121A6A">
        <w:rPr>
          <w:rStyle w:val="FootnoteReference"/>
          <w:sz w:val="24"/>
          <w:szCs w:val="24"/>
        </w:rPr>
        <w:footnoteReference w:id="11"/>
      </w:r>
      <w:r w:rsidR="005D43A0" w:rsidRPr="00121A6A">
        <w:rPr>
          <w:sz w:val="24"/>
          <w:szCs w:val="24"/>
        </w:rPr>
        <w:t xml:space="preserve"> </w:t>
      </w:r>
      <w:r w:rsidR="00247E24" w:rsidRPr="00121A6A">
        <w:rPr>
          <w:sz w:val="24"/>
          <w:szCs w:val="24"/>
        </w:rPr>
        <w:t>heeft</w:t>
      </w:r>
      <w:r w:rsidR="00A911A2" w:rsidRPr="00121A6A">
        <w:rPr>
          <w:sz w:val="24"/>
          <w:szCs w:val="24"/>
        </w:rPr>
        <w:t xml:space="preserve"> artikel 28 Hv</w:t>
      </w:r>
      <w:r w:rsidR="00766328" w:rsidRPr="00121A6A">
        <w:rPr>
          <w:sz w:val="24"/>
          <w:szCs w:val="24"/>
        </w:rPr>
        <w:t xml:space="preserve"> tot op heden nog nooit via </w:t>
      </w:r>
      <w:proofErr w:type="spellStart"/>
      <w:r w:rsidR="00766328" w:rsidRPr="00121A6A">
        <w:rPr>
          <w:i/>
          <w:iCs/>
          <w:sz w:val="24"/>
          <w:szCs w:val="24"/>
        </w:rPr>
        <w:t>Wachauf</w:t>
      </w:r>
      <w:proofErr w:type="spellEnd"/>
      <w:r w:rsidR="00766328" w:rsidRPr="00121A6A">
        <w:rPr>
          <w:sz w:val="24"/>
          <w:szCs w:val="24"/>
        </w:rPr>
        <w:t xml:space="preserve">-uitvoering </w:t>
      </w:r>
      <w:r w:rsidR="00247E24" w:rsidRPr="00121A6A">
        <w:rPr>
          <w:sz w:val="24"/>
          <w:szCs w:val="24"/>
        </w:rPr>
        <w:t>invloed uitgeoefend op</w:t>
      </w:r>
      <w:r w:rsidR="00A911A2" w:rsidRPr="00121A6A">
        <w:rPr>
          <w:sz w:val="24"/>
          <w:szCs w:val="24"/>
        </w:rPr>
        <w:t xml:space="preserve"> </w:t>
      </w:r>
      <w:r w:rsidR="00247E24" w:rsidRPr="00121A6A">
        <w:rPr>
          <w:sz w:val="24"/>
          <w:szCs w:val="24"/>
        </w:rPr>
        <w:t>nationaal stakingsrecht</w:t>
      </w:r>
      <w:r w:rsidR="00766328" w:rsidRPr="00121A6A">
        <w:rPr>
          <w:sz w:val="24"/>
          <w:szCs w:val="24"/>
        </w:rPr>
        <w:t>.</w:t>
      </w:r>
      <w:r w:rsidR="00E5661F" w:rsidRPr="00121A6A">
        <w:rPr>
          <w:rStyle w:val="FootnoteReference"/>
          <w:sz w:val="24"/>
          <w:szCs w:val="24"/>
        </w:rPr>
        <w:footnoteReference w:id="12"/>
      </w:r>
    </w:p>
    <w:p w14:paraId="642F6DD8" w14:textId="059AB223" w:rsidR="007A7AC9" w:rsidRDefault="00B405C8" w:rsidP="004749CC">
      <w:pPr>
        <w:spacing w:after="0"/>
        <w:ind w:firstLine="708"/>
        <w:jc w:val="both"/>
        <w:rPr>
          <w:sz w:val="24"/>
          <w:szCs w:val="24"/>
        </w:rPr>
      </w:pPr>
      <w:r w:rsidRPr="00121A6A">
        <w:rPr>
          <w:sz w:val="24"/>
          <w:szCs w:val="24"/>
        </w:rPr>
        <w:t xml:space="preserve">Onder de </w:t>
      </w:r>
      <w:r w:rsidRPr="00121A6A">
        <w:rPr>
          <w:i/>
          <w:iCs/>
          <w:sz w:val="24"/>
          <w:szCs w:val="24"/>
        </w:rPr>
        <w:t>ERT</w:t>
      </w:r>
      <w:r w:rsidRPr="00121A6A">
        <w:rPr>
          <w:sz w:val="24"/>
          <w:szCs w:val="24"/>
        </w:rPr>
        <w:t xml:space="preserve">-doctrine is artikel 28 Hv daarentegen wél aan bod gekomen </w:t>
      </w:r>
      <w:r w:rsidR="00B0070B" w:rsidRPr="00121A6A">
        <w:rPr>
          <w:sz w:val="24"/>
          <w:szCs w:val="24"/>
        </w:rPr>
        <w:t>bij de</w:t>
      </w:r>
      <w:r w:rsidRPr="00121A6A">
        <w:rPr>
          <w:sz w:val="24"/>
          <w:szCs w:val="24"/>
        </w:rPr>
        <w:t xml:space="preserve"> </w:t>
      </w:r>
      <w:r w:rsidR="00B0070B" w:rsidRPr="00121A6A">
        <w:rPr>
          <w:sz w:val="24"/>
          <w:szCs w:val="24"/>
        </w:rPr>
        <w:t>toetsing van de (on)rechtmatigheid van een concrete staking</w:t>
      </w:r>
      <w:r w:rsidR="001E271D">
        <w:rPr>
          <w:sz w:val="24"/>
          <w:szCs w:val="24"/>
        </w:rPr>
        <w:t>sactie</w:t>
      </w:r>
      <w:r w:rsidRPr="00121A6A">
        <w:rPr>
          <w:sz w:val="24"/>
          <w:szCs w:val="24"/>
        </w:rPr>
        <w:t>.</w:t>
      </w:r>
      <w:r w:rsidR="00B52959" w:rsidRPr="00121A6A">
        <w:rPr>
          <w:sz w:val="24"/>
          <w:szCs w:val="24"/>
        </w:rPr>
        <w:t xml:space="preserve"> In de arresten </w:t>
      </w:r>
      <w:r w:rsidR="00B52959" w:rsidRPr="00121A6A">
        <w:rPr>
          <w:i/>
          <w:iCs/>
          <w:sz w:val="24"/>
          <w:szCs w:val="24"/>
        </w:rPr>
        <w:t xml:space="preserve">Viking </w:t>
      </w:r>
      <w:r w:rsidR="00B52959" w:rsidRPr="00121A6A">
        <w:rPr>
          <w:sz w:val="24"/>
          <w:szCs w:val="24"/>
        </w:rPr>
        <w:t xml:space="preserve">en </w:t>
      </w:r>
      <w:r w:rsidR="00B52959" w:rsidRPr="00121A6A">
        <w:rPr>
          <w:i/>
          <w:iCs/>
          <w:sz w:val="24"/>
          <w:szCs w:val="24"/>
        </w:rPr>
        <w:t xml:space="preserve">Laval </w:t>
      </w:r>
      <w:r w:rsidR="009219DA" w:rsidRPr="00121A6A">
        <w:rPr>
          <w:sz w:val="24"/>
          <w:szCs w:val="24"/>
        </w:rPr>
        <w:t xml:space="preserve">(par. 2.2) </w:t>
      </w:r>
      <w:r w:rsidR="00B52959" w:rsidRPr="00121A6A">
        <w:rPr>
          <w:sz w:val="24"/>
          <w:szCs w:val="24"/>
        </w:rPr>
        <w:t xml:space="preserve">ging het om </w:t>
      </w:r>
      <w:r w:rsidR="00FA6275" w:rsidRPr="00121A6A">
        <w:rPr>
          <w:sz w:val="24"/>
          <w:szCs w:val="24"/>
        </w:rPr>
        <w:t xml:space="preserve">een </w:t>
      </w:r>
      <w:r w:rsidR="00A963D2" w:rsidRPr="00121A6A">
        <w:rPr>
          <w:sz w:val="24"/>
          <w:szCs w:val="24"/>
        </w:rPr>
        <w:t>staking</w:t>
      </w:r>
      <w:r w:rsidR="00FA6275" w:rsidRPr="00121A6A">
        <w:rPr>
          <w:sz w:val="24"/>
          <w:szCs w:val="24"/>
        </w:rPr>
        <w:t xml:space="preserve"> </w:t>
      </w:r>
      <w:r w:rsidR="00AE6FBD" w:rsidRPr="00121A6A">
        <w:rPr>
          <w:sz w:val="24"/>
          <w:szCs w:val="24"/>
        </w:rPr>
        <w:t xml:space="preserve">die </w:t>
      </w:r>
      <w:r w:rsidR="00B52959" w:rsidRPr="00121A6A">
        <w:rPr>
          <w:sz w:val="24"/>
          <w:szCs w:val="24"/>
        </w:rPr>
        <w:t xml:space="preserve">respectievelijk de </w:t>
      </w:r>
      <w:r w:rsidR="00C03E62" w:rsidRPr="00121A6A">
        <w:rPr>
          <w:sz w:val="24"/>
          <w:szCs w:val="24"/>
        </w:rPr>
        <w:t>vrije vestiging</w:t>
      </w:r>
      <w:r w:rsidR="00B52959" w:rsidRPr="00121A6A">
        <w:rPr>
          <w:sz w:val="24"/>
          <w:szCs w:val="24"/>
        </w:rPr>
        <w:t xml:space="preserve"> en het vrije dienstenverkeer</w:t>
      </w:r>
      <w:r w:rsidR="00AE6FBD" w:rsidRPr="00121A6A">
        <w:rPr>
          <w:sz w:val="24"/>
          <w:szCs w:val="24"/>
        </w:rPr>
        <w:t xml:space="preserve"> beperkte en </w:t>
      </w:r>
      <w:r w:rsidR="00E26F77" w:rsidRPr="00121A6A">
        <w:rPr>
          <w:sz w:val="24"/>
          <w:szCs w:val="24"/>
        </w:rPr>
        <w:t>(</w:t>
      </w:r>
      <w:r w:rsidR="00AE6FBD" w:rsidRPr="00121A6A">
        <w:rPr>
          <w:sz w:val="24"/>
          <w:szCs w:val="24"/>
        </w:rPr>
        <w:t>derhalve</w:t>
      </w:r>
      <w:r w:rsidR="00E26F77" w:rsidRPr="00121A6A">
        <w:rPr>
          <w:sz w:val="24"/>
          <w:szCs w:val="24"/>
        </w:rPr>
        <w:t>)</w:t>
      </w:r>
      <w:r w:rsidR="005B45F2" w:rsidRPr="00121A6A">
        <w:rPr>
          <w:sz w:val="24"/>
          <w:szCs w:val="24"/>
        </w:rPr>
        <w:t xml:space="preserve"> door de vakbond moe</w:t>
      </w:r>
      <w:r w:rsidR="00B52959" w:rsidRPr="00121A6A">
        <w:rPr>
          <w:sz w:val="24"/>
          <w:szCs w:val="24"/>
        </w:rPr>
        <w:t>s</w:t>
      </w:r>
      <w:r w:rsidR="005B45F2" w:rsidRPr="00121A6A">
        <w:rPr>
          <w:sz w:val="24"/>
          <w:szCs w:val="24"/>
        </w:rPr>
        <w:t xml:space="preserve">t worden gerechtvaardigd. </w:t>
      </w:r>
      <w:r w:rsidR="00C03E62" w:rsidRPr="00121A6A">
        <w:rPr>
          <w:sz w:val="24"/>
          <w:szCs w:val="24"/>
        </w:rPr>
        <w:t>Ondanks dat</w:t>
      </w:r>
      <w:r w:rsidR="00B52959" w:rsidRPr="00121A6A">
        <w:rPr>
          <w:sz w:val="24"/>
          <w:szCs w:val="24"/>
        </w:rPr>
        <w:t xml:space="preserve"> het </w:t>
      </w:r>
      <w:r w:rsidR="00657447">
        <w:rPr>
          <w:sz w:val="24"/>
          <w:szCs w:val="24"/>
        </w:rPr>
        <w:t>Hof</w:t>
      </w:r>
      <w:r w:rsidR="00B52959" w:rsidRPr="00121A6A">
        <w:rPr>
          <w:sz w:val="24"/>
          <w:szCs w:val="24"/>
        </w:rPr>
        <w:t xml:space="preserve"> </w:t>
      </w:r>
      <w:r w:rsidR="00C03E62" w:rsidRPr="00121A6A">
        <w:rPr>
          <w:sz w:val="24"/>
          <w:szCs w:val="24"/>
        </w:rPr>
        <w:t xml:space="preserve">in beide arresten </w:t>
      </w:r>
      <w:r w:rsidR="00B52959" w:rsidRPr="00121A6A">
        <w:rPr>
          <w:sz w:val="24"/>
          <w:szCs w:val="24"/>
        </w:rPr>
        <w:t xml:space="preserve">verwees naar artikel 28 Hv, werd </w:t>
      </w:r>
      <w:r w:rsidR="005B45F2" w:rsidRPr="00121A6A">
        <w:rPr>
          <w:sz w:val="24"/>
          <w:szCs w:val="24"/>
        </w:rPr>
        <w:t xml:space="preserve">het </w:t>
      </w:r>
      <w:r w:rsidR="00AE6FBD" w:rsidRPr="00121A6A">
        <w:rPr>
          <w:sz w:val="24"/>
          <w:szCs w:val="24"/>
        </w:rPr>
        <w:t>grondrecht op collectieve actie</w:t>
      </w:r>
      <w:r w:rsidR="005B45F2" w:rsidRPr="00121A6A">
        <w:rPr>
          <w:sz w:val="24"/>
          <w:szCs w:val="24"/>
        </w:rPr>
        <w:t xml:space="preserve"> en (daarmee) de vakbondsautonomie</w:t>
      </w:r>
      <w:r w:rsidR="00C03E62" w:rsidRPr="00121A6A">
        <w:rPr>
          <w:sz w:val="24"/>
          <w:szCs w:val="24"/>
        </w:rPr>
        <w:t xml:space="preserve"> </w:t>
      </w:r>
      <w:r w:rsidR="005B45F2" w:rsidRPr="00121A6A">
        <w:rPr>
          <w:sz w:val="24"/>
          <w:szCs w:val="24"/>
        </w:rPr>
        <w:t>vergaand ingeperkt ten behoeve van</w:t>
      </w:r>
      <w:r w:rsidR="00D673F7" w:rsidRPr="00121A6A">
        <w:rPr>
          <w:sz w:val="24"/>
          <w:szCs w:val="24"/>
        </w:rPr>
        <w:t xml:space="preserve"> deze</w:t>
      </w:r>
      <w:r w:rsidR="005B45F2" w:rsidRPr="00121A6A">
        <w:rPr>
          <w:sz w:val="24"/>
          <w:szCs w:val="24"/>
        </w:rPr>
        <w:t xml:space="preserve"> verkeersvrijheden. </w:t>
      </w:r>
      <w:r w:rsidR="00BC6330" w:rsidRPr="00121A6A">
        <w:rPr>
          <w:sz w:val="24"/>
          <w:szCs w:val="24"/>
        </w:rPr>
        <w:t>Niet alleen</w:t>
      </w:r>
      <w:r w:rsidR="001443E4" w:rsidRPr="00121A6A">
        <w:rPr>
          <w:sz w:val="24"/>
          <w:szCs w:val="24"/>
        </w:rPr>
        <w:t xml:space="preserve"> </w:t>
      </w:r>
      <w:r w:rsidR="001443E4" w:rsidRPr="00121A6A">
        <w:rPr>
          <w:sz w:val="24"/>
          <w:szCs w:val="24"/>
        </w:rPr>
        <w:lastRenderedPageBreak/>
        <w:t xml:space="preserve">vanuit </w:t>
      </w:r>
      <w:r w:rsidR="005B45F2" w:rsidRPr="00121A6A">
        <w:rPr>
          <w:sz w:val="24"/>
          <w:szCs w:val="24"/>
        </w:rPr>
        <w:t>de rechtsleer</w:t>
      </w:r>
      <w:r w:rsidR="00BC6330" w:rsidRPr="00121A6A">
        <w:rPr>
          <w:sz w:val="24"/>
          <w:szCs w:val="24"/>
        </w:rPr>
        <w:t>,</w:t>
      </w:r>
      <w:r w:rsidR="00BC6330" w:rsidRPr="00121A6A">
        <w:rPr>
          <w:rStyle w:val="FootnoteReference"/>
          <w:sz w:val="24"/>
          <w:szCs w:val="24"/>
        </w:rPr>
        <w:footnoteReference w:id="13"/>
      </w:r>
      <w:r w:rsidR="00BC6330" w:rsidRPr="00121A6A">
        <w:rPr>
          <w:sz w:val="24"/>
          <w:szCs w:val="24"/>
        </w:rPr>
        <w:t xml:space="preserve"> maar ook</w:t>
      </w:r>
      <w:r w:rsidR="001443E4" w:rsidRPr="00121A6A">
        <w:rPr>
          <w:sz w:val="24"/>
          <w:szCs w:val="24"/>
        </w:rPr>
        <w:t xml:space="preserve"> </w:t>
      </w:r>
      <w:r w:rsidR="0058128F" w:rsidRPr="00121A6A">
        <w:rPr>
          <w:sz w:val="24"/>
          <w:szCs w:val="24"/>
        </w:rPr>
        <w:t>door het EHRM,</w:t>
      </w:r>
      <w:r w:rsidR="001443E4" w:rsidRPr="00121A6A">
        <w:rPr>
          <w:sz w:val="24"/>
          <w:szCs w:val="24"/>
        </w:rPr>
        <w:t xml:space="preserve"> de </w:t>
      </w:r>
      <w:proofErr w:type="spellStart"/>
      <w:r w:rsidR="001443E4" w:rsidRPr="00121A6A">
        <w:rPr>
          <w:sz w:val="24"/>
          <w:szCs w:val="24"/>
        </w:rPr>
        <w:t>CoE</w:t>
      </w:r>
      <w:proofErr w:type="spellEnd"/>
      <w:r w:rsidR="001443E4" w:rsidRPr="00121A6A">
        <w:rPr>
          <w:sz w:val="24"/>
          <w:szCs w:val="24"/>
        </w:rPr>
        <w:t xml:space="preserve"> en het ECSR is </w:t>
      </w:r>
      <w:r w:rsidR="009B6AC3" w:rsidRPr="00121A6A">
        <w:rPr>
          <w:sz w:val="24"/>
          <w:szCs w:val="24"/>
        </w:rPr>
        <w:t xml:space="preserve">kritiek geleverd op </w:t>
      </w:r>
      <w:r w:rsidR="0058128F" w:rsidRPr="00121A6A">
        <w:rPr>
          <w:sz w:val="24"/>
          <w:szCs w:val="24"/>
        </w:rPr>
        <w:t xml:space="preserve">het toetsingskader van het HvJ </w:t>
      </w:r>
      <w:r w:rsidR="00626DAC" w:rsidRPr="00121A6A">
        <w:rPr>
          <w:sz w:val="24"/>
          <w:szCs w:val="24"/>
        </w:rPr>
        <w:t>en de hoge drempel die werd opgeworpen om een staking te kunnen rechtvaardigen</w:t>
      </w:r>
      <w:r w:rsidR="008933D2" w:rsidRPr="00121A6A">
        <w:rPr>
          <w:sz w:val="24"/>
          <w:szCs w:val="24"/>
        </w:rPr>
        <w:t xml:space="preserve"> (par. 3.3)</w:t>
      </w:r>
      <w:r w:rsidR="001443E4" w:rsidRPr="00121A6A">
        <w:rPr>
          <w:sz w:val="24"/>
          <w:szCs w:val="24"/>
        </w:rPr>
        <w:t>.</w:t>
      </w:r>
      <w:r w:rsidR="00B129F8" w:rsidRPr="00121A6A">
        <w:rPr>
          <w:sz w:val="24"/>
          <w:szCs w:val="24"/>
        </w:rPr>
        <w:t xml:space="preserve"> </w:t>
      </w:r>
      <w:r w:rsidR="00A97867" w:rsidRPr="00121A6A">
        <w:rPr>
          <w:sz w:val="24"/>
          <w:szCs w:val="24"/>
        </w:rPr>
        <w:t>D</w:t>
      </w:r>
      <w:r w:rsidR="00BB6973" w:rsidRPr="00121A6A">
        <w:rPr>
          <w:sz w:val="24"/>
          <w:szCs w:val="24"/>
        </w:rPr>
        <w:t xml:space="preserve">e </w:t>
      </w:r>
      <w:r w:rsidR="007B50D2" w:rsidRPr="00121A6A">
        <w:rPr>
          <w:sz w:val="24"/>
          <w:szCs w:val="24"/>
        </w:rPr>
        <w:t>s</w:t>
      </w:r>
      <w:r w:rsidR="00E47E65" w:rsidRPr="00121A6A">
        <w:rPr>
          <w:sz w:val="24"/>
          <w:szCs w:val="24"/>
        </w:rPr>
        <w:t xml:space="preserve">terk door </w:t>
      </w:r>
      <w:r w:rsidR="00D77474">
        <w:rPr>
          <w:sz w:val="24"/>
          <w:szCs w:val="24"/>
        </w:rPr>
        <w:t>markt</w:t>
      </w:r>
      <w:r w:rsidR="00F47531" w:rsidRPr="00121A6A">
        <w:rPr>
          <w:sz w:val="24"/>
          <w:szCs w:val="24"/>
        </w:rPr>
        <w:t>vrijheden</w:t>
      </w:r>
      <w:r w:rsidR="00E47E65" w:rsidRPr="00121A6A">
        <w:rPr>
          <w:sz w:val="24"/>
          <w:szCs w:val="24"/>
        </w:rPr>
        <w:t xml:space="preserve"> gekleurde </w:t>
      </w:r>
      <w:r w:rsidR="00BB6973" w:rsidRPr="00121A6A">
        <w:rPr>
          <w:sz w:val="24"/>
          <w:szCs w:val="24"/>
        </w:rPr>
        <w:t xml:space="preserve">stakingsrechtspraak </w:t>
      </w:r>
      <w:r w:rsidR="00185139" w:rsidRPr="00121A6A">
        <w:rPr>
          <w:sz w:val="24"/>
          <w:szCs w:val="24"/>
        </w:rPr>
        <w:t xml:space="preserve">van het </w:t>
      </w:r>
      <w:r w:rsidR="0090441A">
        <w:rPr>
          <w:sz w:val="24"/>
          <w:szCs w:val="24"/>
        </w:rPr>
        <w:t>Luxemburgse Hof</w:t>
      </w:r>
      <w:r w:rsidR="00A520DC" w:rsidRPr="00121A6A">
        <w:rPr>
          <w:sz w:val="24"/>
          <w:szCs w:val="24"/>
        </w:rPr>
        <w:t xml:space="preserve"> </w:t>
      </w:r>
      <w:r w:rsidR="00A97867" w:rsidRPr="00121A6A">
        <w:rPr>
          <w:sz w:val="24"/>
          <w:szCs w:val="24"/>
        </w:rPr>
        <w:t xml:space="preserve">staat dus </w:t>
      </w:r>
      <w:r w:rsidR="00780FFD" w:rsidRPr="00121A6A">
        <w:rPr>
          <w:sz w:val="24"/>
          <w:szCs w:val="24"/>
        </w:rPr>
        <w:t xml:space="preserve">op gespannen voet </w:t>
      </w:r>
      <w:r w:rsidR="00A97867" w:rsidRPr="00121A6A">
        <w:rPr>
          <w:sz w:val="24"/>
          <w:szCs w:val="24"/>
        </w:rPr>
        <w:t>met</w:t>
      </w:r>
      <w:r w:rsidR="00BB6973" w:rsidRPr="00121A6A">
        <w:rPr>
          <w:sz w:val="24"/>
          <w:szCs w:val="24"/>
        </w:rPr>
        <w:t xml:space="preserve"> die van de andere </w:t>
      </w:r>
      <w:r w:rsidR="007C5660">
        <w:rPr>
          <w:sz w:val="24"/>
          <w:szCs w:val="24"/>
        </w:rPr>
        <w:t>instituties</w:t>
      </w:r>
      <w:r w:rsidR="00DB2A8B" w:rsidRPr="00121A6A">
        <w:rPr>
          <w:sz w:val="24"/>
          <w:szCs w:val="24"/>
        </w:rPr>
        <w:t>.</w:t>
      </w:r>
      <w:r w:rsidR="00EC2351" w:rsidRPr="00121A6A">
        <w:rPr>
          <w:rStyle w:val="FootnoteReference"/>
          <w:sz w:val="24"/>
          <w:szCs w:val="24"/>
        </w:rPr>
        <w:footnoteReference w:id="14"/>
      </w:r>
      <w:r w:rsidR="007C3A76">
        <w:rPr>
          <w:sz w:val="24"/>
          <w:szCs w:val="24"/>
        </w:rPr>
        <w:t xml:space="preserve"> </w:t>
      </w:r>
    </w:p>
    <w:p w14:paraId="01186416" w14:textId="4088A34B" w:rsidR="00F73FC7" w:rsidRPr="00121A6A" w:rsidRDefault="0090441A" w:rsidP="004749CC">
      <w:pPr>
        <w:spacing w:after="0"/>
        <w:ind w:firstLine="708"/>
        <w:jc w:val="both"/>
        <w:rPr>
          <w:sz w:val="24"/>
          <w:szCs w:val="24"/>
        </w:rPr>
      </w:pPr>
      <w:r>
        <w:rPr>
          <w:sz w:val="24"/>
          <w:szCs w:val="24"/>
        </w:rPr>
        <w:t>Dit gebrek aan coherentie tussen</w:t>
      </w:r>
      <w:r w:rsidR="007A7AC9">
        <w:rPr>
          <w:sz w:val="24"/>
          <w:szCs w:val="24"/>
        </w:rPr>
        <w:t xml:space="preserve"> </w:t>
      </w:r>
      <w:r w:rsidR="003125A3">
        <w:rPr>
          <w:sz w:val="24"/>
          <w:szCs w:val="24"/>
        </w:rPr>
        <w:t xml:space="preserve">de verschillende </w:t>
      </w:r>
      <w:r w:rsidR="007A7AC9">
        <w:rPr>
          <w:sz w:val="24"/>
          <w:szCs w:val="24"/>
        </w:rPr>
        <w:t xml:space="preserve">rechtsordes </w:t>
      </w:r>
      <w:r w:rsidR="008630D3">
        <w:rPr>
          <w:sz w:val="24"/>
          <w:szCs w:val="24"/>
        </w:rPr>
        <w:t>is juridisch problematisch</w:t>
      </w:r>
      <w:r w:rsidR="00460E85">
        <w:rPr>
          <w:sz w:val="24"/>
          <w:szCs w:val="24"/>
        </w:rPr>
        <w:t>, omdat</w:t>
      </w:r>
      <w:r w:rsidR="00AF5ADA">
        <w:rPr>
          <w:sz w:val="24"/>
          <w:szCs w:val="24"/>
        </w:rPr>
        <w:t xml:space="preserve"> s</w:t>
      </w:r>
      <w:r w:rsidR="008630D3">
        <w:rPr>
          <w:sz w:val="24"/>
          <w:szCs w:val="24"/>
        </w:rPr>
        <w:t xml:space="preserve">taten </w:t>
      </w:r>
      <w:r>
        <w:rPr>
          <w:sz w:val="24"/>
          <w:szCs w:val="24"/>
        </w:rPr>
        <w:t xml:space="preserve">hierdoor </w:t>
      </w:r>
      <w:r w:rsidR="008630D3">
        <w:rPr>
          <w:sz w:val="24"/>
          <w:szCs w:val="24"/>
        </w:rPr>
        <w:t xml:space="preserve">gebonden </w:t>
      </w:r>
      <w:r w:rsidR="009928AA">
        <w:rPr>
          <w:sz w:val="24"/>
          <w:szCs w:val="24"/>
        </w:rPr>
        <w:t xml:space="preserve">(kunnen) </w:t>
      </w:r>
      <w:r w:rsidR="000B57CB" w:rsidRPr="00121A6A">
        <w:rPr>
          <w:sz w:val="24"/>
          <w:szCs w:val="24"/>
        </w:rPr>
        <w:t>zijn aan verschillende</w:t>
      </w:r>
      <w:r w:rsidR="00B426B9">
        <w:rPr>
          <w:sz w:val="24"/>
          <w:szCs w:val="24"/>
        </w:rPr>
        <w:t>, met elkaar strijdige</w:t>
      </w:r>
      <w:r w:rsidR="000B57CB" w:rsidRPr="00121A6A">
        <w:rPr>
          <w:sz w:val="24"/>
          <w:szCs w:val="24"/>
        </w:rPr>
        <w:t xml:space="preserve"> internationale verplichtingen</w:t>
      </w:r>
      <w:r w:rsidR="00460E85">
        <w:rPr>
          <w:sz w:val="24"/>
          <w:szCs w:val="24"/>
        </w:rPr>
        <w:t xml:space="preserve">. </w:t>
      </w:r>
      <w:r w:rsidR="00A6173C">
        <w:rPr>
          <w:sz w:val="24"/>
          <w:szCs w:val="24"/>
        </w:rPr>
        <w:t>Als gevolg daarvan</w:t>
      </w:r>
      <w:r w:rsidR="00F61ED6">
        <w:rPr>
          <w:sz w:val="24"/>
          <w:szCs w:val="24"/>
        </w:rPr>
        <w:t xml:space="preserve"> </w:t>
      </w:r>
      <w:r>
        <w:rPr>
          <w:sz w:val="24"/>
          <w:szCs w:val="24"/>
        </w:rPr>
        <w:t>kunnen</w:t>
      </w:r>
      <w:r w:rsidR="00F61ED6">
        <w:rPr>
          <w:sz w:val="24"/>
          <w:szCs w:val="24"/>
        </w:rPr>
        <w:t xml:space="preserve"> </w:t>
      </w:r>
      <w:r w:rsidR="00AF5ADA">
        <w:rPr>
          <w:sz w:val="24"/>
          <w:szCs w:val="24"/>
        </w:rPr>
        <w:t xml:space="preserve">zij </w:t>
      </w:r>
      <w:r w:rsidR="00BB6973" w:rsidRPr="00121A6A">
        <w:rPr>
          <w:sz w:val="24"/>
          <w:szCs w:val="24"/>
        </w:rPr>
        <w:t>in een onmogelijke</w:t>
      </w:r>
      <w:r w:rsidR="00A7060C" w:rsidRPr="00121A6A">
        <w:rPr>
          <w:sz w:val="24"/>
          <w:szCs w:val="24"/>
        </w:rPr>
        <w:t xml:space="preserve"> </w:t>
      </w:r>
      <w:r w:rsidR="00BB6973" w:rsidRPr="00121A6A">
        <w:rPr>
          <w:sz w:val="24"/>
          <w:szCs w:val="24"/>
        </w:rPr>
        <w:t xml:space="preserve">positie </w:t>
      </w:r>
      <w:r w:rsidR="00BA61C1">
        <w:rPr>
          <w:sz w:val="24"/>
          <w:szCs w:val="24"/>
        </w:rPr>
        <w:t>terecht</w:t>
      </w:r>
      <w:r>
        <w:rPr>
          <w:sz w:val="24"/>
          <w:szCs w:val="24"/>
        </w:rPr>
        <w:t>komen</w:t>
      </w:r>
      <w:r w:rsidR="003855C2">
        <w:rPr>
          <w:sz w:val="24"/>
          <w:szCs w:val="24"/>
        </w:rPr>
        <w:t xml:space="preserve"> </w:t>
      </w:r>
      <w:r w:rsidR="00BB6973" w:rsidRPr="00121A6A">
        <w:rPr>
          <w:sz w:val="24"/>
          <w:szCs w:val="24"/>
        </w:rPr>
        <w:t xml:space="preserve">waarin </w:t>
      </w:r>
      <w:r w:rsidR="007C5660">
        <w:rPr>
          <w:sz w:val="24"/>
          <w:szCs w:val="24"/>
        </w:rPr>
        <w:t xml:space="preserve">zij </w:t>
      </w:r>
      <w:r w:rsidR="00BB6973" w:rsidRPr="00121A6A">
        <w:rPr>
          <w:sz w:val="24"/>
          <w:szCs w:val="24"/>
        </w:rPr>
        <w:t xml:space="preserve">onvermijdelijk één of meerdere verdragsnorm(en) terzijde moeten </w:t>
      </w:r>
      <w:r w:rsidR="007C5660">
        <w:rPr>
          <w:sz w:val="24"/>
          <w:szCs w:val="24"/>
        </w:rPr>
        <w:t>stellen</w:t>
      </w:r>
      <w:r w:rsidR="00AF5ADA">
        <w:rPr>
          <w:sz w:val="24"/>
          <w:szCs w:val="24"/>
        </w:rPr>
        <w:t>.</w:t>
      </w:r>
      <w:r w:rsidR="00DB2A8B" w:rsidRPr="00121A6A">
        <w:rPr>
          <w:rStyle w:val="FootnoteReference"/>
          <w:sz w:val="24"/>
          <w:szCs w:val="24"/>
        </w:rPr>
        <w:footnoteReference w:id="15"/>
      </w:r>
      <w:r w:rsidR="00BB6973" w:rsidRPr="00121A6A">
        <w:rPr>
          <w:sz w:val="24"/>
          <w:szCs w:val="24"/>
        </w:rPr>
        <w:t xml:space="preserve"> </w:t>
      </w:r>
      <w:r w:rsidR="00AF5ADA">
        <w:rPr>
          <w:sz w:val="24"/>
          <w:szCs w:val="24"/>
        </w:rPr>
        <w:t>Dit ondermijnt het gezag</w:t>
      </w:r>
      <w:r w:rsidR="002F5824">
        <w:rPr>
          <w:sz w:val="24"/>
          <w:szCs w:val="24"/>
        </w:rPr>
        <w:t xml:space="preserve"> </w:t>
      </w:r>
      <w:r w:rsidR="00805282" w:rsidRPr="00121A6A">
        <w:rPr>
          <w:sz w:val="24"/>
          <w:szCs w:val="24"/>
        </w:rPr>
        <w:t>van deze verdragsnorm</w:t>
      </w:r>
      <w:r w:rsidR="003855C2">
        <w:rPr>
          <w:sz w:val="24"/>
          <w:szCs w:val="24"/>
        </w:rPr>
        <w:t>(</w:t>
      </w:r>
      <w:r w:rsidR="00805282" w:rsidRPr="00121A6A">
        <w:rPr>
          <w:sz w:val="24"/>
          <w:szCs w:val="24"/>
        </w:rPr>
        <w:t>en</w:t>
      </w:r>
      <w:r w:rsidR="003855C2">
        <w:rPr>
          <w:sz w:val="24"/>
          <w:szCs w:val="24"/>
        </w:rPr>
        <w:t>)</w:t>
      </w:r>
      <w:r w:rsidR="00343B0A">
        <w:rPr>
          <w:sz w:val="24"/>
          <w:szCs w:val="24"/>
        </w:rPr>
        <w:t>. Voorts moet worden geconstateerd dat</w:t>
      </w:r>
      <w:r w:rsidR="00343B0A" w:rsidRPr="00121A6A">
        <w:rPr>
          <w:sz w:val="24"/>
          <w:szCs w:val="24"/>
        </w:rPr>
        <w:t>, voor zover sprake is van een conflict tussen het stakingsrecht en het vrij verkeer en moet worden uitgegaan van het Unierechtelijke, op de interne markt gerichte kader,</w:t>
      </w:r>
      <w:r w:rsidR="00343B0A" w:rsidRPr="00121A6A">
        <w:rPr>
          <w:rStyle w:val="FootnoteReference"/>
          <w:sz w:val="24"/>
          <w:szCs w:val="24"/>
        </w:rPr>
        <w:footnoteReference w:id="16"/>
      </w:r>
      <w:r w:rsidR="00343B0A" w:rsidRPr="00121A6A">
        <w:rPr>
          <w:sz w:val="24"/>
          <w:szCs w:val="24"/>
        </w:rPr>
        <w:t xml:space="preserve"> transnationaal opererende werkgevers méér bescherming genieten tegen stakingsacties dan werkgevers die zuiver intern opereren en (louter) geconfronteerd worden met het EVRM-, ILO- en/of ESH-kader. Dit verschil kan leiden tot oneerlijke concurrentie tussen werkgevers onderling</w:t>
      </w:r>
      <w:r w:rsidR="00805282" w:rsidRPr="00121A6A">
        <w:rPr>
          <w:sz w:val="24"/>
          <w:szCs w:val="24"/>
        </w:rPr>
        <w:t xml:space="preserve"> en </w:t>
      </w:r>
      <w:r w:rsidR="002F04B6" w:rsidRPr="00121A6A">
        <w:rPr>
          <w:sz w:val="24"/>
          <w:szCs w:val="24"/>
        </w:rPr>
        <w:t>doet afbreuk aan elementaire rechtstatelijke beginselen zoals rechtseenheid, rechtszekerheid en rechtsgelijkheid</w:t>
      </w:r>
      <w:r w:rsidR="005A715E" w:rsidRPr="00121A6A">
        <w:rPr>
          <w:sz w:val="24"/>
          <w:szCs w:val="24"/>
        </w:rPr>
        <w:t>.</w:t>
      </w:r>
    </w:p>
    <w:p w14:paraId="506F780C" w14:textId="4D03C345" w:rsidR="00070248" w:rsidRPr="00016857" w:rsidRDefault="00BB6973" w:rsidP="00070248">
      <w:pPr>
        <w:spacing w:after="0"/>
        <w:ind w:firstLine="708"/>
        <w:jc w:val="both"/>
        <w:rPr>
          <w:sz w:val="24"/>
          <w:szCs w:val="24"/>
        </w:rPr>
      </w:pPr>
      <w:r w:rsidRPr="00121A6A">
        <w:rPr>
          <w:sz w:val="24"/>
          <w:szCs w:val="24"/>
        </w:rPr>
        <w:t xml:space="preserve">Niet voor niets zijn daarom in het </w:t>
      </w:r>
      <w:r w:rsidR="00AF5ADA">
        <w:rPr>
          <w:sz w:val="24"/>
          <w:szCs w:val="24"/>
        </w:rPr>
        <w:t>Unierecht</w:t>
      </w:r>
      <w:r w:rsidRPr="00121A6A">
        <w:rPr>
          <w:sz w:val="24"/>
          <w:szCs w:val="24"/>
        </w:rPr>
        <w:t xml:space="preserve"> diverse bepalingen te vinden</w:t>
      </w:r>
      <w:r w:rsidR="00AF5ADA">
        <w:rPr>
          <w:sz w:val="24"/>
          <w:szCs w:val="24"/>
        </w:rPr>
        <w:t xml:space="preserve"> </w:t>
      </w:r>
      <w:r w:rsidRPr="00121A6A">
        <w:rPr>
          <w:sz w:val="24"/>
          <w:szCs w:val="24"/>
        </w:rPr>
        <w:t xml:space="preserve">die het </w:t>
      </w:r>
      <w:r w:rsidR="000B0DD2">
        <w:rPr>
          <w:sz w:val="24"/>
          <w:szCs w:val="24"/>
        </w:rPr>
        <w:t>Hof</w:t>
      </w:r>
      <w:r w:rsidR="002C0508" w:rsidRPr="00121A6A">
        <w:rPr>
          <w:sz w:val="24"/>
          <w:szCs w:val="24"/>
        </w:rPr>
        <w:t xml:space="preserve"> </w:t>
      </w:r>
      <w:r w:rsidR="00501A1B" w:rsidRPr="00121A6A">
        <w:rPr>
          <w:sz w:val="24"/>
          <w:szCs w:val="24"/>
        </w:rPr>
        <w:t xml:space="preserve">(dwingend) instrueren </w:t>
      </w:r>
      <w:r w:rsidR="0090441A">
        <w:rPr>
          <w:sz w:val="24"/>
          <w:szCs w:val="24"/>
        </w:rPr>
        <w:t>om</w:t>
      </w:r>
      <w:r w:rsidR="00C26768">
        <w:rPr>
          <w:sz w:val="24"/>
          <w:szCs w:val="24"/>
        </w:rPr>
        <w:t xml:space="preserve"> </w:t>
      </w:r>
      <w:r w:rsidRPr="00121A6A">
        <w:rPr>
          <w:sz w:val="24"/>
          <w:szCs w:val="24"/>
        </w:rPr>
        <w:t xml:space="preserve">interpretaties van andere </w:t>
      </w:r>
      <w:r w:rsidR="0090441A">
        <w:rPr>
          <w:sz w:val="24"/>
          <w:szCs w:val="24"/>
        </w:rPr>
        <w:t xml:space="preserve">rechtsprekende </w:t>
      </w:r>
      <w:r w:rsidR="00AF5ADA">
        <w:rPr>
          <w:sz w:val="24"/>
          <w:szCs w:val="24"/>
        </w:rPr>
        <w:t>instanties</w:t>
      </w:r>
      <w:r w:rsidRPr="00121A6A">
        <w:rPr>
          <w:sz w:val="24"/>
          <w:szCs w:val="24"/>
        </w:rPr>
        <w:t xml:space="preserve"> in acht </w:t>
      </w:r>
      <w:r w:rsidR="00501A1B" w:rsidRPr="00121A6A">
        <w:rPr>
          <w:sz w:val="24"/>
          <w:szCs w:val="24"/>
        </w:rPr>
        <w:t>te</w:t>
      </w:r>
      <w:r w:rsidRPr="00121A6A">
        <w:rPr>
          <w:sz w:val="24"/>
          <w:szCs w:val="24"/>
        </w:rPr>
        <w:t xml:space="preserve"> nemen</w:t>
      </w:r>
      <w:r w:rsidR="008933D2" w:rsidRPr="00121A6A">
        <w:rPr>
          <w:sz w:val="24"/>
          <w:szCs w:val="24"/>
        </w:rPr>
        <w:t xml:space="preserve"> (par. 3.4)</w:t>
      </w:r>
      <w:r w:rsidRPr="00121A6A">
        <w:rPr>
          <w:sz w:val="24"/>
          <w:szCs w:val="24"/>
        </w:rPr>
        <w:t>.</w:t>
      </w:r>
      <w:r w:rsidR="008D293E" w:rsidRPr="00121A6A">
        <w:rPr>
          <w:sz w:val="24"/>
          <w:szCs w:val="24"/>
        </w:rPr>
        <w:t xml:space="preserve"> </w:t>
      </w:r>
      <w:r w:rsidR="006B46D4" w:rsidRPr="00121A6A">
        <w:rPr>
          <w:sz w:val="24"/>
          <w:szCs w:val="24"/>
        </w:rPr>
        <w:t xml:space="preserve">De </w:t>
      </w:r>
      <w:r w:rsidR="000F0B64" w:rsidRPr="00121A6A">
        <w:rPr>
          <w:sz w:val="24"/>
          <w:szCs w:val="24"/>
        </w:rPr>
        <w:t xml:space="preserve">vraag </w:t>
      </w:r>
      <w:r w:rsidR="006B46D4" w:rsidRPr="00121A6A">
        <w:rPr>
          <w:sz w:val="24"/>
          <w:szCs w:val="24"/>
        </w:rPr>
        <w:t xml:space="preserve">is echter </w:t>
      </w:r>
      <w:r w:rsidR="00524818" w:rsidRPr="00121A6A">
        <w:rPr>
          <w:sz w:val="24"/>
          <w:szCs w:val="24"/>
        </w:rPr>
        <w:t xml:space="preserve">of </w:t>
      </w:r>
      <w:r w:rsidR="00C76D14" w:rsidRPr="00121A6A">
        <w:rPr>
          <w:sz w:val="24"/>
          <w:szCs w:val="24"/>
        </w:rPr>
        <w:t xml:space="preserve">het </w:t>
      </w:r>
      <w:r w:rsidR="00093A05">
        <w:rPr>
          <w:sz w:val="24"/>
          <w:szCs w:val="24"/>
        </w:rPr>
        <w:t>Hof</w:t>
      </w:r>
      <w:r w:rsidR="00C76D14" w:rsidRPr="00121A6A">
        <w:rPr>
          <w:sz w:val="24"/>
          <w:szCs w:val="24"/>
        </w:rPr>
        <w:t xml:space="preserve"> zich</w:t>
      </w:r>
      <w:r w:rsidR="008D17E0" w:rsidRPr="00121A6A">
        <w:rPr>
          <w:sz w:val="24"/>
          <w:szCs w:val="24"/>
        </w:rPr>
        <w:t>,</w:t>
      </w:r>
      <w:r w:rsidR="00C76D14" w:rsidRPr="00121A6A">
        <w:rPr>
          <w:sz w:val="24"/>
          <w:szCs w:val="24"/>
        </w:rPr>
        <w:t xml:space="preserve"> </w:t>
      </w:r>
      <w:r w:rsidR="009D0ED7" w:rsidRPr="00121A6A">
        <w:rPr>
          <w:sz w:val="24"/>
          <w:szCs w:val="24"/>
        </w:rPr>
        <w:t>gelet op de systematiek van het Handvest</w:t>
      </w:r>
      <w:r w:rsidR="008D17E0" w:rsidRPr="00121A6A">
        <w:rPr>
          <w:sz w:val="24"/>
          <w:szCs w:val="24"/>
        </w:rPr>
        <w:t>,</w:t>
      </w:r>
      <w:r w:rsidR="009D0ED7" w:rsidRPr="00121A6A">
        <w:rPr>
          <w:sz w:val="24"/>
          <w:szCs w:val="24"/>
        </w:rPr>
        <w:t xml:space="preserve"> </w:t>
      </w:r>
      <w:r w:rsidR="00C76D14" w:rsidRPr="00121A6A">
        <w:rPr>
          <w:sz w:val="24"/>
          <w:szCs w:val="24"/>
        </w:rPr>
        <w:t>daadwerkelijk</w:t>
      </w:r>
      <w:r w:rsidR="008E7B80" w:rsidRPr="00121A6A">
        <w:rPr>
          <w:sz w:val="24"/>
          <w:szCs w:val="24"/>
        </w:rPr>
        <w:t xml:space="preserve"> </w:t>
      </w:r>
      <w:r w:rsidR="00DB707B" w:rsidRPr="00121A6A">
        <w:rPr>
          <w:sz w:val="24"/>
          <w:szCs w:val="24"/>
        </w:rPr>
        <w:t xml:space="preserve">en volledig </w:t>
      </w:r>
      <w:r w:rsidR="008E7B80" w:rsidRPr="0090441A">
        <w:rPr>
          <w:i/>
          <w:iCs/>
          <w:sz w:val="24"/>
          <w:szCs w:val="24"/>
        </w:rPr>
        <w:t>kan</w:t>
      </w:r>
      <w:r w:rsidR="008E7B80" w:rsidRPr="00121A6A">
        <w:rPr>
          <w:i/>
          <w:iCs/>
          <w:sz w:val="24"/>
          <w:szCs w:val="24"/>
        </w:rPr>
        <w:t xml:space="preserve"> </w:t>
      </w:r>
      <w:r w:rsidR="00C76D14" w:rsidRPr="00121A6A">
        <w:rPr>
          <w:sz w:val="24"/>
          <w:szCs w:val="24"/>
        </w:rPr>
        <w:t xml:space="preserve">conformeren aan de toetsingskaders van het EHRM, de </w:t>
      </w:r>
      <w:proofErr w:type="spellStart"/>
      <w:r w:rsidR="00C76D14" w:rsidRPr="00121A6A">
        <w:rPr>
          <w:sz w:val="24"/>
          <w:szCs w:val="24"/>
        </w:rPr>
        <w:t>CoE</w:t>
      </w:r>
      <w:proofErr w:type="spellEnd"/>
      <w:r w:rsidR="00730B46">
        <w:rPr>
          <w:sz w:val="24"/>
          <w:szCs w:val="24"/>
        </w:rPr>
        <w:t>/CFA</w:t>
      </w:r>
      <w:r w:rsidR="00C76D14" w:rsidRPr="00121A6A">
        <w:rPr>
          <w:sz w:val="24"/>
          <w:szCs w:val="24"/>
        </w:rPr>
        <w:t xml:space="preserve"> en/of het ECSR</w:t>
      </w:r>
      <w:r w:rsidR="008D17E0" w:rsidRPr="00121A6A">
        <w:rPr>
          <w:sz w:val="24"/>
          <w:szCs w:val="24"/>
        </w:rPr>
        <w:t>,</w:t>
      </w:r>
      <w:r w:rsidR="00C76D14" w:rsidRPr="00121A6A">
        <w:rPr>
          <w:sz w:val="24"/>
          <w:szCs w:val="24"/>
        </w:rPr>
        <w:t xml:space="preserve"> </w:t>
      </w:r>
      <w:r w:rsidR="00DB707B" w:rsidRPr="00121A6A">
        <w:rPr>
          <w:sz w:val="24"/>
          <w:szCs w:val="24"/>
        </w:rPr>
        <w:t>dan wel</w:t>
      </w:r>
      <w:r w:rsidR="008E7B80" w:rsidRPr="00121A6A">
        <w:rPr>
          <w:sz w:val="24"/>
          <w:szCs w:val="24"/>
        </w:rPr>
        <w:t xml:space="preserve"> hoe een </w:t>
      </w:r>
      <w:r w:rsidR="008D17E0" w:rsidRPr="00121A6A">
        <w:rPr>
          <w:sz w:val="24"/>
          <w:szCs w:val="24"/>
        </w:rPr>
        <w:t>eventuele</w:t>
      </w:r>
      <w:r w:rsidR="008E7B80" w:rsidRPr="00121A6A">
        <w:rPr>
          <w:sz w:val="24"/>
          <w:szCs w:val="24"/>
        </w:rPr>
        <w:t xml:space="preserve"> aansluiting</w:t>
      </w:r>
      <w:r w:rsidR="008D17E0" w:rsidRPr="00121A6A">
        <w:rPr>
          <w:sz w:val="24"/>
          <w:szCs w:val="24"/>
        </w:rPr>
        <w:t xml:space="preserve"> bij deze </w:t>
      </w:r>
      <w:r w:rsidR="00657447">
        <w:rPr>
          <w:sz w:val="24"/>
          <w:szCs w:val="24"/>
        </w:rPr>
        <w:t>rechts</w:t>
      </w:r>
      <w:r w:rsidR="009219DA" w:rsidRPr="00121A6A">
        <w:rPr>
          <w:sz w:val="24"/>
          <w:szCs w:val="24"/>
        </w:rPr>
        <w:t>kaders</w:t>
      </w:r>
      <w:r w:rsidR="008E7B80" w:rsidRPr="00121A6A">
        <w:rPr>
          <w:sz w:val="24"/>
          <w:szCs w:val="24"/>
        </w:rPr>
        <w:t xml:space="preserve"> concreet </w:t>
      </w:r>
      <w:r w:rsidR="00A9698A" w:rsidRPr="00121A6A">
        <w:rPr>
          <w:sz w:val="24"/>
          <w:szCs w:val="24"/>
        </w:rPr>
        <w:t>eruit zou kunnen zien</w:t>
      </w:r>
      <w:r w:rsidR="008E7B80" w:rsidRPr="00121A6A">
        <w:rPr>
          <w:sz w:val="24"/>
          <w:szCs w:val="24"/>
        </w:rPr>
        <w:t>.</w:t>
      </w:r>
      <w:r w:rsidR="008A42BF" w:rsidRPr="00121A6A">
        <w:rPr>
          <w:sz w:val="24"/>
          <w:szCs w:val="24"/>
        </w:rPr>
        <w:t xml:space="preserve"> </w:t>
      </w:r>
      <w:r w:rsidR="00E36BEB" w:rsidRPr="00121A6A">
        <w:rPr>
          <w:sz w:val="24"/>
          <w:szCs w:val="24"/>
        </w:rPr>
        <w:t xml:space="preserve">Hoewel meermaals </w:t>
      </w:r>
      <w:r w:rsidR="000B0DD2">
        <w:rPr>
          <w:sz w:val="24"/>
          <w:szCs w:val="24"/>
        </w:rPr>
        <w:t xml:space="preserve">en vanuit verschillende hoeken </w:t>
      </w:r>
      <w:r w:rsidR="00E36BEB" w:rsidRPr="00121A6A">
        <w:rPr>
          <w:sz w:val="24"/>
          <w:szCs w:val="24"/>
        </w:rPr>
        <w:t xml:space="preserve">is gepleit voor een </w:t>
      </w:r>
      <w:r w:rsidR="009219DA" w:rsidRPr="00121A6A">
        <w:rPr>
          <w:sz w:val="24"/>
          <w:szCs w:val="24"/>
        </w:rPr>
        <w:t>evenwichti</w:t>
      </w:r>
      <w:r w:rsidR="00E36BEB" w:rsidRPr="00121A6A">
        <w:rPr>
          <w:sz w:val="24"/>
          <w:szCs w:val="24"/>
        </w:rPr>
        <w:t>ge</w:t>
      </w:r>
      <w:r w:rsidR="008D17E0" w:rsidRPr="00121A6A">
        <w:rPr>
          <w:sz w:val="24"/>
          <w:szCs w:val="24"/>
        </w:rPr>
        <w:t>(re)</w:t>
      </w:r>
      <w:r w:rsidR="00E36BEB" w:rsidRPr="00121A6A">
        <w:rPr>
          <w:sz w:val="24"/>
          <w:szCs w:val="24"/>
        </w:rPr>
        <w:t xml:space="preserve"> afweging tussen fundamentele verkeersvrijheden en het grondrecht op collectieve actie</w:t>
      </w:r>
      <w:r w:rsidR="00865977" w:rsidRPr="00121A6A">
        <w:rPr>
          <w:sz w:val="24"/>
          <w:szCs w:val="24"/>
        </w:rPr>
        <w:t xml:space="preserve"> en de afweging van het Hof in </w:t>
      </w:r>
      <w:r w:rsidR="00865977" w:rsidRPr="00121A6A">
        <w:rPr>
          <w:i/>
          <w:iCs/>
          <w:sz w:val="24"/>
          <w:szCs w:val="24"/>
        </w:rPr>
        <w:t xml:space="preserve">Viking </w:t>
      </w:r>
      <w:r w:rsidR="00865977" w:rsidRPr="00121A6A">
        <w:rPr>
          <w:sz w:val="24"/>
          <w:szCs w:val="24"/>
        </w:rPr>
        <w:t xml:space="preserve">en </w:t>
      </w:r>
      <w:r w:rsidR="00865977" w:rsidRPr="00121A6A">
        <w:rPr>
          <w:i/>
          <w:iCs/>
          <w:sz w:val="24"/>
          <w:szCs w:val="24"/>
        </w:rPr>
        <w:t xml:space="preserve">Laval </w:t>
      </w:r>
      <w:r w:rsidR="00865977" w:rsidRPr="00121A6A">
        <w:rPr>
          <w:sz w:val="24"/>
          <w:szCs w:val="24"/>
        </w:rPr>
        <w:t>door sommige</w:t>
      </w:r>
      <w:r w:rsidR="0090441A">
        <w:rPr>
          <w:sz w:val="24"/>
          <w:szCs w:val="24"/>
        </w:rPr>
        <w:t>n</w:t>
      </w:r>
      <w:r w:rsidR="00865977" w:rsidRPr="00121A6A">
        <w:rPr>
          <w:sz w:val="24"/>
          <w:szCs w:val="24"/>
        </w:rPr>
        <w:t xml:space="preserve"> als politiek is bestempeld</w:t>
      </w:r>
      <w:r w:rsidR="00E36BEB" w:rsidRPr="00121A6A">
        <w:rPr>
          <w:sz w:val="24"/>
          <w:szCs w:val="24"/>
        </w:rPr>
        <w:t>,</w:t>
      </w:r>
      <w:r w:rsidR="00171EDC" w:rsidRPr="00121A6A">
        <w:rPr>
          <w:rStyle w:val="FootnoteReference"/>
          <w:sz w:val="24"/>
          <w:szCs w:val="24"/>
        </w:rPr>
        <w:footnoteReference w:id="17"/>
      </w:r>
      <w:r w:rsidR="00E36BEB" w:rsidRPr="00121A6A">
        <w:rPr>
          <w:sz w:val="24"/>
          <w:szCs w:val="24"/>
        </w:rPr>
        <w:t xml:space="preserve"> </w:t>
      </w:r>
      <w:r w:rsidR="00865977" w:rsidRPr="00121A6A">
        <w:rPr>
          <w:sz w:val="24"/>
          <w:szCs w:val="24"/>
        </w:rPr>
        <w:t xml:space="preserve">lijkt de uitkomst van beide arresten niet </w:t>
      </w:r>
      <w:r w:rsidR="00BB2D43" w:rsidRPr="00121A6A">
        <w:rPr>
          <w:sz w:val="24"/>
          <w:szCs w:val="24"/>
        </w:rPr>
        <w:t xml:space="preserve">(volledig) </w:t>
      </w:r>
      <w:r w:rsidR="00865977" w:rsidRPr="00121A6A">
        <w:rPr>
          <w:sz w:val="24"/>
          <w:szCs w:val="24"/>
        </w:rPr>
        <w:t xml:space="preserve">te zijn ingegeven door een </w:t>
      </w:r>
      <w:r w:rsidR="00AC270D" w:rsidRPr="00121A6A">
        <w:rPr>
          <w:sz w:val="24"/>
          <w:szCs w:val="24"/>
        </w:rPr>
        <w:t xml:space="preserve">subjectieve </w:t>
      </w:r>
      <w:r w:rsidR="00865977" w:rsidRPr="00121A6A">
        <w:rPr>
          <w:sz w:val="24"/>
          <w:szCs w:val="24"/>
        </w:rPr>
        <w:t xml:space="preserve">voorkeur </w:t>
      </w:r>
      <w:r w:rsidR="00AC270D" w:rsidRPr="00121A6A">
        <w:rPr>
          <w:sz w:val="24"/>
          <w:szCs w:val="24"/>
        </w:rPr>
        <w:t xml:space="preserve">van het Hof </w:t>
      </w:r>
      <w:r w:rsidR="00865977" w:rsidRPr="00121A6A">
        <w:rPr>
          <w:sz w:val="24"/>
          <w:szCs w:val="24"/>
        </w:rPr>
        <w:t xml:space="preserve">voor economische vrijheden. </w:t>
      </w:r>
      <w:r w:rsidR="00792A1B" w:rsidRPr="00121A6A">
        <w:rPr>
          <w:sz w:val="24"/>
          <w:szCs w:val="24"/>
        </w:rPr>
        <w:t>Het huidige Unierechtelijke systeem</w:t>
      </w:r>
      <w:r w:rsidR="00567B5D" w:rsidRPr="00121A6A">
        <w:rPr>
          <w:sz w:val="24"/>
          <w:szCs w:val="24"/>
        </w:rPr>
        <w:t xml:space="preserve"> dwingt het Hof </w:t>
      </w:r>
      <w:r w:rsidR="0090441A">
        <w:rPr>
          <w:sz w:val="24"/>
          <w:szCs w:val="24"/>
        </w:rPr>
        <w:t>namelijk</w:t>
      </w:r>
      <w:r w:rsidR="00567B5D" w:rsidRPr="00121A6A">
        <w:rPr>
          <w:sz w:val="24"/>
          <w:szCs w:val="24"/>
        </w:rPr>
        <w:t xml:space="preserve"> op </w:t>
      </w:r>
      <w:r w:rsidR="00567B5D" w:rsidRPr="00016857">
        <w:rPr>
          <w:sz w:val="24"/>
          <w:szCs w:val="24"/>
        </w:rPr>
        <w:t xml:space="preserve">verschillende </w:t>
      </w:r>
      <w:r w:rsidR="004F187A" w:rsidRPr="00016857">
        <w:rPr>
          <w:sz w:val="24"/>
          <w:szCs w:val="24"/>
        </w:rPr>
        <w:t>manieren</w:t>
      </w:r>
      <w:r w:rsidR="00567B5D" w:rsidRPr="00016857">
        <w:rPr>
          <w:sz w:val="24"/>
          <w:szCs w:val="24"/>
        </w:rPr>
        <w:t xml:space="preserve"> tot een asymmetrische afweging</w:t>
      </w:r>
      <w:r w:rsidR="00520A1D">
        <w:rPr>
          <w:sz w:val="24"/>
          <w:szCs w:val="24"/>
        </w:rPr>
        <w:t xml:space="preserve"> (</w:t>
      </w:r>
      <w:proofErr w:type="spellStart"/>
      <w:r w:rsidR="00520A1D">
        <w:rPr>
          <w:sz w:val="24"/>
          <w:szCs w:val="24"/>
        </w:rPr>
        <w:t>hfst</w:t>
      </w:r>
      <w:proofErr w:type="spellEnd"/>
      <w:r w:rsidR="00520A1D">
        <w:rPr>
          <w:sz w:val="24"/>
          <w:szCs w:val="24"/>
        </w:rPr>
        <w:t>. 4)</w:t>
      </w:r>
      <w:r w:rsidR="00567B5D" w:rsidRPr="00016857">
        <w:rPr>
          <w:sz w:val="24"/>
          <w:szCs w:val="24"/>
        </w:rPr>
        <w:t>.</w:t>
      </w:r>
      <w:r w:rsidR="00171EDC" w:rsidRPr="00016857">
        <w:rPr>
          <w:rStyle w:val="FootnoteReference"/>
          <w:sz w:val="24"/>
          <w:szCs w:val="24"/>
        </w:rPr>
        <w:footnoteReference w:id="18"/>
      </w:r>
      <w:r w:rsidR="00F6442A">
        <w:rPr>
          <w:sz w:val="24"/>
          <w:szCs w:val="24"/>
        </w:rPr>
        <w:t xml:space="preserve"> </w:t>
      </w:r>
      <w:r w:rsidR="00B64B55">
        <w:rPr>
          <w:sz w:val="24"/>
          <w:szCs w:val="24"/>
        </w:rPr>
        <w:t xml:space="preserve">De vraag is </w:t>
      </w:r>
      <w:r w:rsidR="00726406">
        <w:rPr>
          <w:sz w:val="24"/>
          <w:szCs w:val="24"/>
        </w:rPr>
        <w:t>of</w:t>
      </w:r>
      <w:r w:rsidR="00B64B55">
        <w:rPr>
          <w:sz w:val="24"/>
          <w:szCs w:val="24"/>
        </w:rPr>
        <w:t xml:space="preserve">, en zo ja, in hoeverre, </w:t>
      </w:r>
      <w:r w:rsidR="00495BF6">
        <w:rPr>
          <w:sz w:val="24"/>
          <w:szCs w:val="24"/>
        </w:rPr>
        <w:t xml:space="preserve">binnen </w:t>
      </w:r>
      <w:r w:rsidR="0033070E">
        <w:rPr>
          <w:sz w:val="24"/>
          <w:szCs w:val="24"/>
        </w:rPr>
        <w:t>het huidige</w:t>
      </w:r>
      <w:r w:rsidR="00377DD0">
        <w:rPr>
          <w:sz w:val="24"/>
          <w:szCs w:val="24"/>
        </w:rPr>
        <w:t xml:space="preserve"> Unierechtelijke</w:t>
      </w:r>
      <w:r w:rsidR="0033070E">
        <w:rPr>
          <w:sz w:val="24"/>
          <w:szCs w:val="24"/>
        </w:rPr>
        <w:t xml:space="preserve"> stelsel</w:t>
      </w:r>
      <w:r w:rsidR="0070253E">
        <w:rPr>
          <w:sz w:val="24"/>
          <w:szCs w:val="24"/>
        </w:rPr>
        <w:t xml:space="preserve"> </w:t>
      </w:r>
      <w:r w:rsidR="004A0A72">
        <w:rPr>
          <w:sz w:val="24"/>
          <w:szCs w:val="24"/>
        </w:rPr>
        <w:t>een meer symmetrische afweging</w:t>
      </w:r>
      <w:r w:rsidR="00495BF6">
        <w:rPr>
          <w:sz w:val="24"/>
          <w:szCs w:val="24"/>
        </w:rPr>
        <w:t xml:space="preserve"> kan plaatsvinden</w:t>
      </w:r>
      <w:r w:rsidR="005D5EA5">
        <w:rPr>
          <w:sz w:val="24"/>
          <w:szCs w:val="24"/>
        </w:rPr>
        <w:t xml:space="preserve">, waardoor </w:t>
      </w:r>
      <w:r w:rsidR="00B50E4A" w:rsidRPr="00B50E4A">
        <w:rPr>
          <w:sz w:val="24"/>
          <w:szCs w:val="24"/>
        </w:rPr>
        <w:t>(meer) harmonie tussen de verscheidene rechtsordes in zicht</w:t>
      </w:r>
      <w:r w:rsidR="005D5EA5">
        <w:rPr>
          <w:sz w:val="24"/>
          <w:szCs w:val="24"/>
        </w:rPr>
        <w:t xml:space="preserve"> komt</w:t>
      </w:r>
      <w:r w:rsidR="00B50E4A" w:rsidRPr="00B50E4A">
        <w:rPr>
          <w:sz w:val="24"/>
          <w:szCs w:val="24"/>
        </w:rPr>
        <w:t>.</w:t>
      </w:r>
    </w:p>
    <w:p w14:paraId="70DFF1C5" w14:textId="77777777" w:rsidR="00FA2DCA" w:rsidRPr="00121A6A" w:rsidRDefault="00FA2DCA" w:rsidP="00070248">
      <w:pPr>
        <w:spacing w:after="0"/>
        <w:jc w:val="both"/>
        <w:rPr>
          <w:sz w:val="24"/>
          <w:szCs w:val="24"/>
        </w:rPr>
      </w:pPr>
    </w:p>
    <w:p w14:paraId="4C93920E" w14:textId="44CB1428" w:rsidR="00877DAD" w:rsidRPr="00121A6A" w:rsidRDefault="000622C4" w:rsidP="002F01A8">
      <w:pPr>
        <w:pStyle w:val="Heading2"/>
        <w:rPr>
          <w:sz w:val="24"/>
          <w:szCs w:val="24"/>
        </w:rPr>
      </w:pPr>
      <w:bookmarkStart w:id="8" w:name="_Toc169963036"/>
      <w:r w:rsidRPr="00121A6A">
        <w:rPr>
          <w:sz w:val="24"/>
          <w:szCs w:val="24"/>
        </w:rPr>
        <w:t>1.</w:t>
      </w:r>
      <w:r w:rsidR="0045377C" w:rsidRPr="00121A6A">
        <w:rPr>
          <w:sz w:val="24"/>
          <w:szCs w:val="24"/>
        </w:rPr>
        <w:t>3</w:t>
      </w:r>
      <w:r w:rsidR="006445A9" w:rsidRPr="00121A6A">
        <w:rPr>
          <w:sz w:val="24"/>
          <w:szCs w:val="24"/>
        </w:rPr>
        <w:t xml:space="preserve"> </w:t>
      </w:r>
      <w:r w:rsidR="00FB7E26" w:rsidRPr="00121A6A">
        <w:rPr>
          <w:sz w:val="24"/>
          <w:szCs w:val="24"/>
        </w:rPr>
        <w:t>Onderzoeksdoel</w:t>
      </w:r>
      <w:r w:rsidR="008D1B21" w:rsidRPr="00121A6A">
        <w:rPr>
          <w:sz w:val="24"/>
          <w:szCs w:val="24"/>
        </w:rPr>
        <w:t xml:space="preserve"> en inbedding</w:t>
      </w:r>
      <w:r w:rsidR="00347962">
        <w:rPr>
          <w:sz w:val="24"/>
          <w:szCs w:val="24"/>
        </w:rPr>
        <w:t xml:space="preserve"> </w:t>
      </w:r>
      <w:r w:rsidR="00E825E0">
        <w:rPr>
          <w:sz w:val="24"/>
          <w:szCs w:val="24"/>
        </w:rPr>
        <w:t xml:space="preserve">van het </w:t>
      </w:r>
      <w:r w:rsidR="008D1B21" w:rsidRPr="00121A6A">
        <w:rPr>
          <w:sz w:val="24"/>
          <w:szCs w:val="24"/>
        </w:rPr>
        <w:t xml:space="preserve">onderzoek in </w:t>
      </w:r>
      <w:r w:rsidR="00E825E0">
        <w:rPr>
          <w:sz w:val="24"/>
          <w:szCs w:val="24"/>
        </w:rPr>
        <w:t xml:space="preserve">de </w:t>
      </w:r>
      <w:r w:rsidR="008D1B21" w:rsidRPr="00121A6A">
        <w:rPr>
          <w:sz w:val="24"/>
          <w:szCs w:val="24"/>
        </w:rPr>
        <w:t>bestaande literatuur</w:t>
      </w:r>
      <w:bookmarkEnd w:id="8"/>
    </w:p>
    <w:p w14:paraId="68B75195" w14:textId="712BF281" w:rsidR="002670A7" w:rsidRDefault="00BD5261" w:rsidP="00C56BB3">
      <w:pPr>
        <w:spacing w:after="0"/>
        <w:jc w:val="both"/>
        <w:rPr>
          <w:sz w:val="24"/>
          <w:szCs w:val="24"/>
        </w:rPr>
      </w:pPr>
      <w:r w:rsidRPr="00121A6A">
        <w:rPr>
          <w:sz w:val="24"/>
          <w:szCs w:val="24"/>
        </w:rPr>
        <w:t>Het primaire doel</w:t>
      </w:r>
      <w:r w:rsidR="00AB07E0" w:rsidRPr="00121A6A">
        <w:rPr>
          <w:sz w:val="24"/>
          <w:szCs w:val="24"/>
        </w:rPr>
        <w:t xml:space="preserve"> van dit onderzoek</w:t>
      </w:r>
      <w:r w:rsidRPr="00121A6A">
        <w:rPr>
          <w:sz w:val="24"/>
          <w:szCs w:val="24"/>
        </w:rPr>
        <w:t xml:space="preserve"> is om te achterhalen hoe</w:t>
      </w:r>
      <w:r w:rsidR="00D41A46" w:rsidRPr="00121A6A">
        <w:rPr>
          <w:sz w:val="24"/>
          <w:szCs w:val="24"/>
        </w:rPr>
        <w:t xml:space="preserve"> </w:t>
      </w:r>
      <w:r w:rsidR="00C14FA5" w:rsidRPr="00121A6A">
        <w:rPr>
          <w:sz w:val="24"/>
          <w:szCs w:val="24"/>
        </w:rPr>
        <w:t>artikel</w:t>
      </w:r>
      <w:r w:rsidRPr="00121A6A">
        <w:rPr>
          <w:sz w:val="24"/>
          <w:szCs w:val="24"/>
        </w:rPr>
        <w:t xml:space="preserve"> 28 </w:t>
      </w:r>
      <w:r w:rsidR="00453DF0" w:rsidRPr="00121A6A">
        <w:rPr>
          <w:sz w:val="24"/>
          <w:szCs w:val="24"/>
        </w:rPr>
        <w:t>Hv</w:t>
      </w:r>
      <w:r w:rsidRPr="00121A6A">
        <w:rPr>
          <w:sz w:val="24"/>
          <w:szCs w:val="24"/>
        </w:rPr>
        <w:t xml:space="preserve"> </w:t>
      </w:r>
      <w:r w:rsidR="00C14FA5" w:rsidRPr="00121A6A">
        <w:rPr>
          <w:sz w:val="24"/>
          <w:szCs w:val="24"/>
        </w:rPr>
        <w:t>zich</w:t>
      </w:r>
      <w:r w:rsidR="00971137" w:rsidRPr="00121A6A">
        <w:rPr>
          <w:sz w:val="24"/>
          <w:szCs w:val="24"/>
        </w:rPr>
        <w:t>,</w:t>
      </w:r>
      <w:r w:rsidR="00C14FA5" w:rsidRPr="00121A6A">
        <w:rPr>
          <w:sz w:val="24"/>
          <w:szCs w:val="24"/>
        </w:rPr>
        <w:t xml:space="preserve"> </w:t>
      </w:r>
      <w:r w:rsidR="00971137" w:rsidRPr="00121A6A">
        <w:rPr>
          <w:sz w:val="24"/>
          <w:szCs w:val="24"/>
        </w:rPr>
        <w:t xml:space="preserve">in conflict met </w:t>
      </w:r>
      <w:r w:rsidR="00DC673D">
        <w:rPr>
          <w:sz w:val="24"/>
          <w:szCs w:val="24"/>
        </w:rPr>
        <w:t>economische (</w:t>
      </w:r>
      <w:proofErr w:type="spellStart"/>
      <w:r w:rsidR="00DC673D">
        <w:rPr>
          <w:sz w:val="24"/>
          <w:szCs w:val="24"/>
        </w:rPr>
        <w:t>verkeers</w:t>
      </w:r>
      <w:proofErr w:type="spellEnd"/>
      <w:r w:rsidR="00DC673D">
        <w:rPr>
          <w:sz w:val="24"/>
          <w:szCs w:val="24"/>
        </w:rPr>
        <w:t>)vrijheden</w:t>
      </w:r>
      <w:r w:rsidR="00971137" w:rsidRPr="00121A6A">
        <w:rPr>
          <w:sz w:val="24"/>
          <w:szCs w:val="24"/>
        </w:rPr>
        <w:t xml:space="preserve">, anno 2024 </w:t>
      </w:r>
      <w:r w:rsidR="00C14FA5" w:rsidRPr="00121A6A">
        <w:rPr>
          <w:sz w:val="24"/>
          <w:szCs w:val="24"/>
        </w:rPr>
        <w:t>verhoudt</w:t>
      </w:r>
      <w:r w:rsidR="00DF11A5">
        <w:rPr>
          <w:sz w:val="24"/>
          <w:szCs w:val="24"/>
        </w:rPr>
        <w:t>, moet verhouden</w:t>
      </w:r>
      <w:r w:rsidR="00C14FA5" w:rsidRPr="00121A6A">
        <w:rPr>
          <w:sz w:val="24"/>
          <w:szCs w:val="24"/>
        </w:rPr>
        <w:t xml:space="preserve"> </w:t>
      </w:r>
      <w:r w:rsidR="008A245F">
        <w:rPr>
          <w:sz w:val="24"/>
          <w:szCs w:val="24"/>
        </w:rPr>
        <w:t>é</w:t>
      </w:r>
      <w:r w:rsidR="00C14FA5" w:rsidRPr="00121A6A">
        <w:rPr>
          <w:sz w:val="24"/>
          <w:szCs w:val="24"/>
        </w:rPr>
        <w:t xml:space="preserve">n kan verhouden tot </w:t>
      </w:r>
      <w:r w:rsidR="00A9698A" w:rsidRPr="00121A6A">
        <w:rPr>
          <w:sz w:val="24"/>
          <w:szCs w:val="24"/>
        </w:rPr>
        <w:t>artikel</w:t>
      </w:r>
      <w:r w:rsidR="00C14FA5" w:rsidRPr="00121A6A">
        <w:rPr>
          <w:sz w:val="24"/>
          <w:szCs w:val="24"/>
        </w:rPr>
        <w:t xml:space="preserve"> 11 EVRM, ILO-Verdrag 87</w:t>
      </w:r>
      <w:r w:rsidR="00561381" w:rsidRPr="00121A6A">
        <w:rPr>
          <w:sz w:val="24"/>
          <w:szCs w:val="24"/>
        </w:rPr>
        <w:t xml:space="preserve"> en artikel 6 lid 4 ESH</w:t>
      </w:r>
      <w:r w:rsidRPr="00121A6A">
        <w:rPr>
          <w:sz w:val="24"/>
          <w:szCs w:val="24"/>
        </w:rPr>
        <w:t>.</w:t>
      </w:r>
      <w:r w:rsidR="003E65E7" w:rsidRPr="00121A6A">
        <w:rPr>
          <w:sz w:val="24"/>
          <w:szCs w:val="24"/>
        </w:rPr>
        <w:t xml:space="preserve"> </w:t>
      </w:r>
      <w:r w:rsidR="00B608EC" w:rsidRPr="00121A6A">
        <w:rPr>
          <w:sz w:val="24"/>
          <w:szCs w:val="24"/>
        </w:rPr>
        <w:t xml:space="preserve">Daartoe </w:t>
      </w:r>
      <w:r w:rsidR="000C3CFE" w:rsidRPr="00121A6A">
        <w:rPr>
          <w:sz w:val="24"/>
          <w:szCs w:val="24"/>
        </w:rPr>
        <w:t>worden</w:t>
      </w:r>
      <w:r w:rsidR="00B608EC" w:rsidRPr="00121A6A">
        <w:rPr>
          <w:sz w:val="24"/>
          <w:szCs w:val="24"/>
        </w:rPr>
        <w:t xml:space="preserve"> de verschillende </w:t>
      </w:r>
      <w:r w:rsidR="00B608EC" w:rsidRPr="00121A6A">
        <w:rPr>
          <w:sz w:val="24"/>
          <w:szCs w:val="24"/>
        </w:rPr>
        <w:lastRenderedPageBreak/>
        <w:t xml:space="preserve">grondrechtenstelsels </w:t>
      </w:r>
      <w:r w:rsidR="000E6BB9">
        <w:rPr>
          <w:sz w:val="24"/>
          <w:szCs w:val="24"/>
        </w:rPr>
        <w:t>geanalyseerd</w:t>
      </w:r>
      <w:r w:rsidR="00B608EC" w:rsidRPr="00121A6A">
        <w:rPr>
          <w:sz w:val="24"/>
          <w:szCs w:val="24"/>
        </w:rPr>
        <w:t xml:space="preserve"> teneinde te bezien waar het wringt en in hoeverre (meer) harmonie mogelijk is via aansluiting van artikel 28 Hv bij de andere verdragsnormen.</w:t>
      </w:r>
      <w:r w:rsidR="00E41486">
        <w:rPr>
          <w:sz w:val="24"/>
          <w:szCs w:val="24"/>
        </w:rPr>
        <w:t xml:space="preserve"> In de literatuur </w:t>
      </w:r>
      <w:r w:rsidR="00DE7D29">
        <w:rPr>
          <w:sz w:val="24"/>
          <w:szCs w:val="24"/>
        </w:rPr>
        <w:t>wordt</w:t>
      </w:r>
      <w:r w:rsidR="00E41486">
        <w:rPr>
          <w:sz w:val="24"/>
          <w:szCs w:val="24"/>
        </w:rPr>
        <w:t xml:space="preserve"> veelvuldig aandacht </w:t>
      </w:r>
      <w:r w:rsidR="00DE7D29">
        <w:rPr>
          <w:sz w:val="24"/>
          <w:szCs w:val="24"/>
        </w:rPr>
        <w:t>besteed aan</w:t>
      </w:r>
      <w:r w:rsidR="00E41486">
        <w:rPr>
          <w:sz w:val="24"/>
          <w:szCs w:val="24"/>
        </w:rPr>
        <w:t xml:space="preserve"> </w:t>
      </w:r>
      <w:r w:rsidR="00DC38DA">
        <w:rPr>
          <w:sz w:val="24"/>
          <w:szCs w:val="24"/>
        </w:rPr>
        <w:t xml:space="preserve">het Handvest </w:t>
      </w:r>
      <w:r w:rsidR="00EF7732">
        <w:rPr>
          <w:sz w:val="24"/>
          <w:szCs w:val="24"/>
        </w:rPr>
        <w:t>als zodanig</w:t>
      </w:r>
      <w:r w:rsidR="00E825E0">
        <w:rPr>
          <w:sz w:val="24"/>
          <w:szCs w:val="24"/>
        </w:rPr>
        <w:t xml:space="preserve">. Ook is veel </w:t>
      </w:r>
      <w:r w:rsidR="00DE7D29">
        <w:rPr>
          <w:sz w:val="24"/>
          <w:szCs w:val="24"/>
        </w:rPr>
        <w:t>geschreven</w:t>
      </w:r>
      <w:r w:rsidR="00E825E0">
        <w:rPr>
          <w:sz w:val="24"/>
          <w:szCs w:val="24"/>
        </w:rPr>
        <w:t xml:space="preserve"> over</w:t>
      </w:r>
      <w:r w:rsidR="002670A7">
        <w:rPr>
          <w:sz w:val="24"/>
          <w:szCs w:val="24"/>
        </w:rPr>
        <w:t xml:space="preserve"> de frictie rondom het stakingsrecht in de verschillende rechtsordes</w:t>
      </w:r>
      <w:r w:rsidR="00E41486">
        <w:rPr>
          <w:sz w:val="24"/>
          <w:szCs w:val="24"/>
        </w:rPr>
        <w:t xml:space="preserve">. </w:t>
      </w:r>
      <w:r w:rsidR="00EF7732">
        <w:rPr>
          <w:sz w:val="24"/>
          <w:szCs w:val="24"/>
        </w:rPr>
        <w:t>Specifiek o</w:t>
      </w:r>
      <w:r w:rsidR="00E41486">
        <w:rPr>
          <w:sz w:val="24"/>
          <w:szCs w:val="24"/>
        </w:rPr>
        <w:t xml:space="preserve">ver artikel 28 Hv is </w:t>
      </w:r>
      <w:r w:rsidR="00DE7D29">
        <w:rPr>
          <w:sz w:val="24"/>
          <w:szCs w:val="24"/>
        </w:rPr>
        <w:t>echter</w:t>
      </w:r>
      <w:r w:rsidR="00DC38DA">
        <w:rPr>
          <w:sz w:val="24"/>
          <w:szCs w:val="24"/>
        </w:rPr>
        <w:t xml:space="preserve"> </w:t>
      </w:r>
      <w:r w:rsidR="00E41486">
        <w:rPr>
          <w:sz w:val="24"/>
          <w:szCs w:val="24"/>
        </w:rPr>
        <w:t xml:space="preserve">nog maar weinig </w:t>
      </w:r>
      <w:r w:rsidR="00DE7D29">
        <w:rPr>
          <w:sz w:val="24"/>
          <w:szCs w:val="24"/>
        </w:rPr>
        <w:t>gepubliceerd</w:t>
      </w:r>
      <w:r w:rsidR="00E41486">
        <w:rPr>
          <w:sz w:val="24"/>
          <w:szCs w:val="24"/>
        </w:rPr>
        <w:t>.</w:t>
      </w:r>
      <w:r w:rsidR="002670A7">
        <w:rPr>
          <w:rStyle w:val="FootnoteReference"/>
          <w:sz w:val="24"/>
          <w:szCs w:val="24"/>
        </w:rPr>
        <w:footnoteReference w:id="19"/>
      </w:r>
      <w:r w:rsidR="00E41486">
        <w:rPr>
          <w:sz w:val="24"/>
          <w:szCs w:val="24"/>
        </w:rPr>
        <w:t xml:space="preserve"> Met name de inbedding van de</w:t>
      </w:r>
      <w:r w:rsidR="00FE0F4D">
        <w:rPr>
          <w:sz w:val="24"/>
          <w:szCs w:val="24"/>
        </w:rPr>
        <w:t>ze</w:t>
      </w:r>
      <w:r w:rsidR="00E41486">
        <w:rPr>
          <w:sz w:val="24"/>
          <w:szCs w:val="24"/>
        </w:rPr>
        <w:t xml:space="preserve"> bepaling in het bredere</w:t>
      </w:r>
      <w:r w:rsidR="00FE0F4D">
        <w:rPr>
          <w:sz w:val="24"/>
          <w:szCs w:val="24"/>
        </w:rPr>
        <w:t>, Unierechtelijke</w:t>
      </w:r>
      <w:r w:rsidR="00E41486">
        <w:rPr>
          <w:sz w:val="24"/>
          <w:szCs w:val="24"/>
        </w:rPr>
        <w:t xml:space="preserve"> systeem is tot op heden </w:t>
      </w:r>
      <w:r w:rsidR="00987C7A">
        <w:rPr>
          <w:sz w:val="24"/>
          <w:szCs w:val="24"/>
        </w:rPr>
        <w:t>onderbelicht</w:t>
      </w:r>
      <w:r w:rsidR="008A245F">
        <w:rPr>
          <w:sz w:val="24"/>
          <w:szCs w:val="24"/>
        </w:rPr>
        <w:t xml:space="preserve"> gebleven</w:t>
      </w:r>
      <w:r w:rsidR="00E41486">
        <w:rPr>
          <w:sz w:val="24"/>
          <w:szCs w:val="24"/>
        </w:rPr>
        <w:t xml:space="preserve">. Een inherent gevolg </w:t>
      </w:r>
      <w:r w:rsidR="009843EA">
        <w:rPr>
          <w:sz w:val="24"/>
          <w:szCs w:val="24"/>
        </w:rPr>
        <w:t>daarvan</w:t>
      </w:r>
      <w:r w:rsidR="00E41486">
        <w:rPr>
          <w:sz w:val="24"/>
          <w:szCs w:val="24"/>
        </w:rPr>
        <w:t xml:space="preserve"> is dat onvoldoende in kaart is gebracht in hoeverre het HvJ zich, gelet op </w:t>
      </w:r>
      <w:r w:rsidR="00350496">
        <w:rPr>
          <w:sz w:val="24"/>
          <w:szCs w:val="24"/>
        </w:rPr>
        <w:t>het</w:t>
      </w:r>
      <w:r w:rsidR="00E41486">
        <w:rPr>
          <w:sz w:val="24"/>
          <w:szCs w:val="24"/>
        </w:rPr>
        <w:t xml:space="preserve"> Unierechtelijke </w:t>
      </w:r>
      <w:r w:rsidR="00DC38DA">
        <w:rPr>
          <w:sz w:val="24"/>
          <w:szCs w:val="24"/>
        </w:rPr>
        <w:t>stelsel</w:t>
      </w:r>
      <w:r w:rsidR="00350496">
        <w:rPr>
          <w:sz w:val="24"/>
          <w:szCs w:val="24"/>
        </w:rPr>
        <w:t xml:space="preserve"> waarbinnen het moet </w:t>
      </w:r>
      <w:r w:rsidR="00E41486">
        <w:rPr>
          <w:sz w:val="24"/>
          <w:szCs w:val="24"/>
        </w:rPr>
        <w:t xml:space="preserve">rechtspreken, daadwerkelijk kan conformeren aan </w:t>
      </w:r>
      <w:r w:rsidR="00350496">
        <w:rPr>
          <w:sz w:val="24"/>
          <w:szCs w:val="24"/>
        </w:rPr>
        <w:t xml:space="preserve">de </w:t>
      </w:r>
      <w:r w:rsidR="00324F42">
        <w:rPr>
          <w:sz w:val="24"/>
          <w:szCs w:val="24"/>
        </w:rPr>
        <w:t xml:space="preserve">stakingsrechtspraak van het EHRM, de </w:t>
      </w:r>
      <w:proofErr w:type="spellStart"/>
      <w:r w:rsidR="00324F42">
        <w:rPr>
          <w:sz w:val="24"/>
          <w:szCs w:val="24"/>
        </w:rPr>
        <w:t>CoE</w:t>
      </w:r>
      <w:proofErr w:type="spellEnd"/>
      <w:r w:rsidR="00730B46">
        <w:rPr>
          <w:sz w:val="24"/>
          <w:szCs w:val="24"/>
        </w:rPr>
        <w:t>/CFA</w:t>
      </w:r>
      <w:r w:rsidR="00324F42">
        <w:rPr>
          <w:sz w:val="24"/>
          <w:szCs w:val="24"/>
        </w:rPr>
        <w:t xml:space="preserve"> en/of het ECSR</w:t>
      </w:r>
      <w:r w:rsidR="00350496">
        <w:rPr>
          <w:sz w:val="24"/>
          <w:szCs w:val="24"/>
        </w:rPr>
        <w:t xml:space="preserve">. </w:t>
      </w:r>
      <w:r w:rsidR="00DE7D29">
        <w:rPr>
          <w:sz w:val="24"/>
          <w:szCs w:val="24"/>
        </w:rPr>
        <w:t>Met</w:t>
      </w:r>
      <w:r w:rsidR="00987C7A">
        <w:rPr>
          <w:sz w:val="24"/>
          <w:szCs w:val="24"/>
        </w:rPr>
        <w:t xml:space="preserve"> </w:t>
      </w:r>
      <w:r w:rsidR="00FD602E">
        <w:rPr>
          <w:sz w:val="24"/>
          <w:szCs w:val="24"/>
        </w:rPr>
        <w:t>dit onderzoek</w:t>
      </w:r>
      <w:r w:rsidR="00987C7A">
        <w:rPr>
          <w:sz w:val="24"/>
          <w:szCs w:val="24"/>
        </w:rPr>
        <w:t xml:space="preserve"> </w:t>
      </w:r>
      <w:r w:rsidR="00DE7D29">
        <w:rPr>
          <w:sz w:val="24"/>
          <w:szCs w:val="24"/>
        </w:rPr>
        <w:t xml:space="preserve">wordt beoogd in die lacune </w:t>
      </w:r>
      <w:r w:rsidR="00324F42">
        <w:rPr>
          <w:sz w:val="24"/>
          <w:szCs w:val="24"/>
        </w:rPr>
        <w:t>te voorzien</w:t>
      </w:r>
      <w:r w:rsidR="00987C7A">
        <w:rPr>
          <w:sz w:val="24"/>
          <w:szCs w:val="24"/>
        </w:rPr>
        <w:t>.</w:t>
      </w:r>
      <w:r w:rsidR="002670A7">
        <w:rPr>
          <w:sz w:val="24"/>
          <w:szCs w:val="24"/>
        </w:rPr>
        <w:t xml:space="preserve"> </w:t>
      </w:r>
    </w:p>
    <w:p w14:paraId="04B66070" w14:textId="77777777" w:rsidR="00DC783E" w:rsidRPr="00121A6A" w:rsidRDefault="00DC783E" w:rsidP="003608B2">
      <w:pPr>
        <w:spacing w:after="0"/>
        <w:jc w:val="both"/>
        <w:rPr>
          <w:sz w:val="24"/>
          <w:szCs w:val="24"/>
        </w:rPr>
      </w:pPr>
    </w:p>
    <w:p w14:paraId="35E35AC4" w14:textId="7602F858" w:rsidR="008E0424" w:rsidRPr="00121A6A" w:rsidRDefault="002D3227" w:rsidP="002D3227">
      <w:pPr>
        <w:pStyle w:val="Heading2"/>
        <w:rPr>
          <w:sz w:val="24"/>
          <w:szCs w:val="24"/>
        </w:rPr>
      </w:pPr>
      <w:bookmarkStart w:id="9" w:name="_Toc169963037"/>
      <w:r w:rsidRPr="00121A6A">
        <w:rPr>
          <w:sz w:val="24"/>
          <w:szCs w:val="24"/>
        </w:rPr>
        <w:t>1.</w:t>
      </w:r>
      <w:r w:rsidR="0045377C" w:rsidRPr="00121A6A">
        <w:rPr>
          <w:sz w:val="24"/>
          <w:szCs w:val="24"/>
        </w:rPr>
        <w:t>4</w:t>
      </w:r>
      <w:r w:rsidRPr="00121A6A">
        <w:rPr>
          <w:sz w:val="24"/>
          <w:szCs w:val="24"/>
        </w:rPr>
        <w:t xml:space="preserve"> </w:t>
      </w:r>
      <w:r w:rsidR="004B7A97" w:rsidRPr="00121A6A">
        <w:rPr>
          <w:sz w:val="24"/>
          <w:szCs w:val="24"/>
        </w:rPr>
        <w:t>Hoofd</w:t>
      </w:r>
      <w:r w:rsidR="00E82279" w:rsidRPr="00121A6A">
        <w:rPr>
          <w:sz w:val="24"/>
          <w:szCs w:val="24"/>
        </w:rPr>
        <w:t>vraag</w:t>
      </w:r>
      <w:r w:rsidR="005A5B66">
        <w:rPr>
          <w:sz w:val="24"/>
          <w:szCs w:val="24"/>
        </w:rPr>
        <w:t xml:space="preserve"> en</w:t>
      </w:r>
      <w:r w:rsidR="004B7A97" w:rsidRPr="00121A6A">
        <w:rPr>
          <w:sz w:val="24"/>
          <w:szCs w:val="24"/>
        </w:rPr>
        <w:t xml:space="preserve"> deelvragen</w:t>
      </w:r>
      <w:bookmarkEnd w:id="9"/>
    </w:p>
    <w:p w14:paraId="5F3C25D8" w14:textId="77777777" w:rsidR="008B465C" w:rsidRPr="00121A6A" w:rsidRDefault="006C295B" w:rsidP="00D906B1">
      <w:pPr>
        <w:spacing w:after="0"/>
        <w:jc w:val="both"/>
        <w:rPr>
          <w:sz w:val="24"/>
          <w:szCs w:val="24"/>
        </w:rPr>
      </w:pPr>
      <w:r w:rsidRPr="00121A6A">
        <w:rPr>
          <w:sz w:val="24"/>
          <w:szCs w:val="24"/>
        </w:rPr>
        <w:t xml:space="preserve">Uit de hiervoor </w:t>
      </w:r>
      <w:r w:rsidR="002B6A59" w:rsidRPr="00121A6A">
        <w:rPr>
          <w:sz w:val="24"/>
          <w:szCs w:val="24"/>
        </w:rPr>
        <w:t>geschetste</w:t>
      </w:r>
      <w:r w:rsidRPr="00121A6A">
        <w:rPr>
          <w:sz w:val="24"/>
          <w:szCs w:val="24"/>
        </w:rPr>
        <w:t xml:space="preserve"> probleemstelling en doelstelling volgt de volgende centrale onderzoeksvraag: </w:t>
      </w:r>
    </w:p>
    <w:p w14:paraId="7E849223" w14:textId="77777777" w:rsidR="008B465C" w:rsidRPr="00121A6A" w:rsidRDefault="008B465C" w:rsidP="00D906B1">
      <w:pPr>
        <w:spacing w:after="0"/>
        <w:jc w:val="both"/>
        <w:rPr>
          <w:sz w:val="24"/>
          <w:szCs w:val="24"/>
        </w:rPr>
      </w:pPr>
    </w:p>
    <w:p w14:paraId="612BFC28" w14:textId="3FC848D3" w:rsidR="00743D3B" w:rsidRPr="00121A6A" w:rsidRDefault="00C13986" w:rsidP="00C13986">
      <w:pPr>
        <w:spacing w:after="0"/>
        <w:ind w:left="708"/>
        <w:jc w:val="both"/>
        <w:rPr>
          <w:i/>
          <w:iCs/>
          <w:sz w:val="24"/>
          <w:szCs w:val="24"/>
        </w:rPr>
      </w:pPr>
      <w:r w:rsidRPr="00121A6A">
        <w:rPr>
          <w:i/>
          <w:iCs/>
          <w:sz w:val="24"/>
          <w:szCs w:val="24"/>
        </w:rPr>
        <w:t xml:space="preserve">In hoeverre kan het niet louter door sociale, maar ook door economische doelstellingen </w:t>
      </w:r>
      <w:r w:rsidR="00E460C6">
        <w:rPr>
          <w:i/>
          <w:iCs/>
          <w:sz w:val="24"/>
          <w:szCs w:val="24"/>
        </w:rPr>
        <w:t>gekleurde</w:t>
      </w:r>
      <w:r w:rsidRPr="00121A6A">
        <w:rPr>
          <w:i/>
          <w:iCs/>
          <w:sz w:val="24"/>
          <w:szCs w:val="24"/>
        </w:rPr>
        <w:t xml:space="preserve"> </w:t>
      </w:r>
      <w:r w:rsidR="006A7FF8" w:rsidRPr="00121A6A">
        <w:rPr>
          <w:i/>
          <w:iCs/>
          <w:sz w:val="24"/>
          <w:szCs w:val="24"/>
        </w:rPr>
        <w:t xml:space="preserve">stakingsrecht van </w:t>
      </w:r>
      <w:r w:rsidRPr="00121A6A">
        <w:rPr>
          <w:i/>
          <w:iCs/>
          <w:sz w:val="24"/>
          <w:szCs w:val="24"/>
        </w:rPr>
        <w:t xml:space="preserve">artikel 28 </w:t>
      </w:r>
      <w:r w:rsidR="00453DF0" w:rsidRPr="00121A6A">
        <w:rPr>
          <w:i/>
          <w:iCs/>
          <w:sz w:val="24"/>
          <w:szCs w:val="24"/>
        </w:rPr>
        <w:t>Hv</w:t>
      </w:r>
      <w:r w:rsidRPr="00121A6A">
        <w:rPr>
          <w:i/>
          <w:iCs/>
          <w:sz w:val="24"/>
          <w:szCs w:val="24"/>
        </w:rPr>
        <w:t xml:space="preserve"> </w:t>
      </w:r>
      <w:r w:rsidR="0077625D" w:rsidRPr="00121A6A">
        <w:rPr>
          <w:i/>
          <w:iCs/>
          <w:sz w:val="24"/>
          <w:szCs w:val="24"/>
        </w:rPr>
        <w:t>(meer)</w:t>
      </w:r>
      <w:r w:rsidRPr="00121A6A">
        <w:rPr>
          <w:i/>
          <w:iCs/>
          <w:sz w:val="24"/>
          <w:szCs w:val="24"/>
        </w:rPr>
        <w:t xml:space="preserve"> in</w:t>
      </w:r>
      <w:r w:rsidR="0077625D" w:rsidRPr="00121A6A">
        <w:rPr>
          <w:i/>
          <w:iCs/>
          <w:sz w:val="24"/>
          <w:szCs w:val="24"/>
        </w:rPr>
        <w:t xml:space="preserve"> lijn</w:t>
      </w:r>
      <w:r w:rsidRPr="00121A6A">
        <w:rPr>
          <w:i/>
          <w:iCs/>
          <w:sz w:val="24"/>
          <w:szCs w:val="24"/>
        </w:rPr>
        <w:t xml:space="preserve"> </w:t>
      </w:r>
      <w:r w:rsidR="004B7A97" w:rsidRPr="00121A6A">
        <w:rPr>
          <w:i/>
          <w:iCs/>
          <w:sz w:val="24"/>
          <w:szCs w:val="24"/>
        </w:rPr>
        <w:t>worden gebracht</w:t>
      </w:r>
      <w:r w:rsidR="0040683B" w:rsidRPr="00121A6A">
        <w:rPr>
          <w:i/>
          <w:iCs/>
          <w:sz w:val="24"/>
          <w:szCs w:val="24"/>
        </w:rPr>
        <w:t xml:space="preserve"> </w:t>
      </w:r>
      <w:r w:rsidR="0077625D" w:rsidRPr="00121A6A">
        <w:rPr>
          <w:i/>
          <w:iCs/>
          <w:sz w:val="24"/>
          <w:szCs w:val="24"/>
        </w:rPr>
        <w:t>met</w:t>
      </w:r>
      <w:r w:rsidRPr="00121A6A">
        <w:rPr>
          <w:i/>
          <w:iCs/>
          <w:sz w:val="24"/>
          <w:szCs w:val="24"/>
        </w:rPr>
        <w:t xml:space="preserve"> artike</w:t>
      </w:r>
      <w:r w:rsidR="00561381" w:rsidRPr="00121A6A">
        <w:rPr>
          <w:i/>
          <w:iCs/>
          <w:sz w:val="24"/>
          <w:szCs w:val="24"/>
        </w:rPr>
        <w:t>l</w:t>
      </w:r>
      <w:r w:rsidRPr="00121A6A">
        <w:rPr>
          <w:i/>
          <w:iCs/>
          <w:sz w:val="24"/>
          <w:szCs w:val="24"/>
        </w:rPr>
        <w:t xml:space="preserve"> 11 EVRM, ILO-Verdrag 87</w:t>
      </w:r>
      <w:r w:rsidR="00561381" w:rsidRPr="00121A6A">
        <w:rPr>
          <w:i/>
          <w:iCs/>
          <w:sz w:val="24"/>
          <w:szCs w:val="24"/>
        </w:rPr>
        <w:t xml:space="preserve"> en artikel 6 lid 4 ESH</w:t>
      </w:r>
      <w:r w:rsidRPr="00121A6A">
        <w:rPr>
          <w:i/>
          <w:iCs/>
          <w:sz w:val="24"/>
          <w:szCs w:val="24"/>
        </w:rPr>
        <w:t>?</w:t>
      </w:r>
    </w:p>
    <w:p w14:paraId="696ED42E" w14:textId="77777777" w:rsidR="008B465C" w:rsidRPr="00121A6A" w:rsidRDefault="008B465C" w:rsidP="008B465C">
      <w:pPr>
        <w:spacing w:after="0"/>
        <w:jc w:val="both"/>
        <w:rPr>
          <w:sz w:val="24"/>
          <w:szCs w:val="24"/>
        </w:rPr>
      </w:pPr>
    </w:p>
    <w:p w14:paraId="294087E9" w14:textId="01A07986" w:rsidR="008B465C" w:rsidRPr="00121A6A" w:rsidRDefault="00E026AA" w:rsidP="00106353">
      <w:pPr>
        <w:spacing w:after="0"/>
        <w:jc w:val="both"/>
        <w:rPr>
          <w:sz w:val="24"/>
          <w:szCs w:val="24"/>
        </w:rPr>
      </w:pPr>
      <w:r w:rsidRPr="00121A6A">
        <w:rPr>
          <w:sz w:val="24"/>
          <w:szCs w:val="24"/>
        </w:rPr>
        <w:t>Om</w:t>
      </w:r>
      <w:r w:rsidR="006C295B" w:rsidRPr="00121A6A">
        <w:rPr>
          <w:sz w:val="24"/>
          <w:szCs w:val="24"/>
        </w:rPr>
        <w:t xml:space="preserve"> </w:t>
      </w:r>
      <w:r w:rsidR="00A9698A" w:rsidRPr="00121A6A">
        <w:rPr>
          <w:sz w:val="24"/>
          <w:szCs w:val="24"/>
        </w:rPr>
        <w:t>de</w:t>
      </w:r>
      <w:r w:rsidR="00E02001">
        <w:rPr>
          <w:sz w:val="24"/>
          <w:szCs w:val="24"/>
        </w:rPr>
        <w:t>ze</w:t>
      </w:r>
      <w:r w:rsidR="00A9698A" w:rsidRPr="00121A6A">
        <w:rPr>
          <w:sz w:val="24"/>
          <w:szCs w:val="24"/>
        </w:rPr>
        <w:t xml:space="preserve"> hoofdvraag</w:t>
      </w:r>
      <w:r w:rsidR="006C295B" w:rsidRPr="00121A6A">
        <w:rPr>
          <w:sz w:val="24"/>
          <w:szCs w:val="24"/>
        </w:rPr>
        <w:t xml:space="preserve"> te kunnen beantwoorden, </w:t>
      </w:r>
      <w:r w:rsidR="004B7A97" w:rsidRPr="00121A6A">
        <w:rPr>
          <w:sz w:val="24"/>
          <w:szCs w:val="24"/>
        </w:rPr>
        <w:t xml:space="preserve">wordt in hoofdstuk </w:t>
      </w:r>
      <w:r w:rsidR="005A5B66">
        <w:rPr>
          <w:sz w:val="24"/>
          <w:szCs w:val="24"/>
        </w:rPr>
        <w:t>2</w:t>
      </w:r>
      <w:r w:rsidR="004B7A97" w:rsidRPr="00121A6A">
        <w:rPr>
          <w:sz w:val="24"/>
          <w:szCs w:val="24"/>
        </w:rPr>
        <w:t xml:space="preserve">, </w:t>
      </w:r>
      <w:r w:rsidR="005A5B66">
        <w:rPr>
          <w:sz w:val="24"/>
          <w:szCs w:val="24"/>
        </w:rPr>
        <w:t>3</w:t>
      </w:r>
      <w:r w:rsidR="004B7A97" w:rsidRPr="00121A6A">
        <w:rPr>
          <w:sz w:val="24"/>
          <w:szCs w:val="24"/>
        </w:rPr>
        <w:t xml:space="preserve"> en </w:t>
      </w:r>
      <w:r w:rsidR="005A5B66">
        <w:rPr>
          <w:sz w:val="24"/>
          <w:szCs w:val="24"/>
        </w:rPr>
        <w:t>4</w:t>
      </w:r>
      <w:r w:rsidR="004B7A97" w:rsidRPr="00121A6A">
        <w:rPr>
          <w:sz w:val="24"/>
          <w:szCs w:val="24"/>
        </w:rPr>
        <w:t xml:space="preserve"> achtereenvolgens één deelvra</w:t>
      </w:r>
      <w:r w:rsidR="00783E7B" w:rsidRPr="00121A6A">
        <w:rPr>
          <w:sz w:val="24"/>
          <w:szCs w:val="24"/>
        </w:rPr>
        <w:t>ag</w:t>
      </w:r>
      <w:r w:rsidR="004B7A97" w:rsidRPr="00121A6A">
        <w:rPr>
          <w:sz w:val="24"/>
          <w:szCs w:val="24"/>
        </w:rPr>
        <w:t xml:space="preserve"> onderzocht</w:t>
      </w:r>
      <w:r w:rsidR="006C295B" w:rsidRPr="00121A6A">
        <w:rPr>
          <w:sz w:val="24"/>
          <w:szCs w:val="24"/>
        </w:rPr>
        <w:t>.</w:t>
      </w:r>
      <w:r w:rsidR="004B7A97" w:rsidRPr="00121A6A">
        <w:rPr>
          <w:sz w:val="24"/>
          <w:szCs w:val="24"/>
        </w:rPr>
        <w:t xml:space="preserve"> </w:t>
      </w:r>
      <w:r w:rsidR="00E82279" w:rsidRPr="00121A6A">
        <w:rPr>
          <w:sz w:val="24"/>
          <w:szCs w:val="24"/>
        </w:rPr>
        <w:t>In het</w:t>
      </w:r>
      <w:r w:rsidR="00D906B1" w:rsidRPr="00121A6A">
        <w:rPr>
          <w:sz w:val="24"/>
          <w:szCs w:val="24"/>
        </w:rPr>
        <w:t xml:space="preserve"> eerste hoofdstuk</w:t>
      </w:r>
      <w:r w:rsidR="006727C9" w:rsidRPr="00121A6A">
        <w:rPr>
          <w:sz w:val="24"/>
          <w:szCs w:val="24"/>
        </w:rPr>
        <w:t xml:space="preserve"> </w:t>
      </w:r>
      <w:r w:rsidR="00EC2351" w:rsidRPr="00121A6A">
        <w:rPr>
          <w:sz w:val="24"/>
          <w:szCs w:val="24"/>
        </w:rPr>
        <w:t xml:space="preserve">betreft dat </w:t>
      </w:r>
      <w:r w:rsidR="006727C9" w:rsidRPr="00121A6A">
        <w:rPr>
          <w:sz w:val="24"/>
          <w:szCs w:val="24"/>
        </w:rPr>
        <w:t>de volgende vraag</w:t>
      </w:r>
      <w:r w:rsidR="00D906B1" w:rsidRPr="00121A6A">
        <w:rPr>
          <w:sz w:val="24"/>
          <w:szCs w:val="24"/>
        </w:rPr>
        <w:t xml:space="preserve">: </w:t>
      </w:r>
    </w:p>
    <w:p w14:paraId="4EADCA58" w14:textId="77777777" w:rsidR="008B465C" w:rsidRPr="00121A6A" w:rsidRDefault="008B465C" w:rsidP="00A75CCC">
      <w:pPr>
        <w:spacing w:after="0"/>
        <w:jc w:val="both"/>
        <w:rPr>
          <w:sz w:val="24"/>
          <w:szCs w:val="24"/>
        </w:rPr>
      </w:pPr>
    </w:p>
    <w:p w14:paraId="66059392" w14:textId="6C7F1363" w:rsidR="00085AF3" w:rsidRPr="00121A6A" w:rsidRDefault="0077625D" w:rsidP="008B465C">
      <w:pPr>
        <w:spacing w:after="0"/>
        <w:ind w:left="708"/>
        <w:jc w:val="both"/>
        <w:rPr>
          <w:sz w:val="24"/>
          <w:szCs w:val="24"/>
        </w:rPr>
      </w:pPr>
      <w:r w:rsidRPr="00121A6A">
        <w:rPr>
          <w:i/>
          <w:iCs/>
          <w:sz w:val="24"/>
          <w:szCs w:val="24"/>
        </w:rPr>
        <w:t>Welk</w:t>
      </w:r>
      <w:r w:rsidR="00AE657C" w:rsidRPr="00121A6A">
        <w:rPr>
          <w:i/>
          <w:iCs/>
          <w:sz w:val="24"/>
          <w:szCs w:val="24"/>
        </w:rPr>
        <w:t>e plaats heeft artikel 28 Hv ten opzichte van</w:t>
      </w:r>
      <w:r w:rsidR="002D11E8" w:rsidRPr="00121A6A">
        <w:rPr>
          <w:i/>
          <w:iCs/>
          <w:sz w:val="24"/>
          <w:szCs w:val="24"/>
        </w:rPr>
        <w:t xml:space="preserve"> </w:t>
      </w:r>
      <w:r w:rsidR="00DD68DE" w:rsidRPr="00121A6A">
        <w:rPr>
          <w:i/>
          <w:iCs/>
          <w:sz w:val="24"/>
          <w:szCs w:val="24"/>
        </w:rPr>
        <w:t xml:space="preserve">economische </w:t>
      </w:r>
      <w:r w:rsidR="00BB157D" w:rsidRPr="00121A6A">
        <w:rPr>
          <w:i/>
          <w:iCs/>
          <w:sz w:val="24"/>
          <w:szCs w:val="24"/>
        </w:rPr>
        <w:t>(</w:t>
      </w:r>
      <w:proofErr w:type="spellStart"/>
      <w:r w:rsidR="002D11E8" w:rsidRPr="00121A6A">
        <w:rPr>
          <w:i/>
          <w:iCs/>
          <w:sz w:val="24"/>
          <w:szCs w:val="24"/>
        </w:rPr>
        <w:t>verkeers</w:t>
      </w:r>
      <w:proofErr w:type="spellEnd"/>
      <w:r w:rsidR="00BB157D" w:rsidRPr="00121A6A">
        <w:rPr>
          <w:i/>
          <w:iCs/>
          <w:sz w:val="24"/>
          <w:szCs w:val="24"/>
        </w:rPr>
        <w:t>)</w:t>
      </w:r>
      <w:r w:rsidR="00AE657C" w:rsidRPr="00121A6A">
        <w:rPr>
          <w:i/>
          <w:iCs/>
          <w:sz w:val="24"/>
          <w:szCs w:val="24"/>
        </w:rPr>
        <w:t>vrijheden,</w:t>
      </w:r>
      <w:r w:rsidR="00383046" w:rsidRPr="00121A6A">
        <w:rPr>
          <w:i/>
          <w:iCs/>
          <w:sz w:val="24"/>
          <w:szCs w:val="24"/>
        </w:rPr>
        <w:t xml:space="preserve"> </w:t>
      </w:r>
      <w:r w:rsidR="00AE657C" w:rsidRPr="00121A6A">
        <w:rPr>
          <w:i/>
          <w:iCs/>
          <w:sz w:val="24"/>
          <w:szCs w:val="24"/>
        </w:rPr>
        <w:t>gelet op</w:t>
      </w:r>
      <w:r w:rsidR="00BF67AA" w:rsidRPr="00121A6A">
        <w:rPr>
          <w:i/>
          <w:iCs/>
          <w:sz w:val="24"/>
          <w:szCs w:val="24"/>
        </w:rPr>
        <w:t xml:space="preserve"> </w:t>
      </w:r>
      <w:r w:rsidR="00D97FD2" w:rsidRPr="00121A6A">
        <w:rPr>
          <w:i/>
          <w:iCs/>
          <w:sz w:val="24"/>
          <w:szCs w:val="24"/>
        </w:rPr>
        <w:t>Viking</w:t>
      </w:r>
      <w:r w:rsidR="00D85550" w:rsidRPr="00121A6A">
        <w:rPr>
          <w:i/>
          <w:iCs/>
          <w:sz w:val="24"/>
          <w:szCs w:val="24"/>
        </w:rPr>
        <w:t xml:space="preserve">, </w:t>
      </w:r>
      <w:r w:rsidR="00D97FD2" w:rsidRPr="00121A6A">
        <w:rPr>
          <w:i/>
          <w:iCs/>
          <w:sz w:val="24"/>
          <w:szCs w:val="24"/>
        </w:rPr>
        <w:t xml:space="preserve">Laval en nadien </w:t>
      </w:r>
      <w:r w:rsidR="00BF67AA" w:rsidRPr="00121A6A">
        <w:rPr>
          <w:i/>
          <w:iCs/>
          <w:sz w:val="24"/>
          <w:szCs w:val="24"/>
        </w:rPr>
        <w:t>verschenen</w:t>
      </w:r>
      <w:r w:rsidR="00AE657C" w:rsidRPr="00121A6A">
        <w:rPr>
          <w:i/>
          <w:iCs/>
          <w:sz w:val="24"/>
          <w:szCs w:val="24"/>
        </w:rPr>
        <w:t xml:space="preserve"> </w:t>
      </w:r>
      <w:r w:rsidR="00520EBB" w:rsidRPr="00121A6A">
        <w:rPr>
          <w:i/>
          <w:iCs/>
          <w:sz w:val="24"/>
          <w:szCs w:val="24"/>
        </w:rPr>
        <w:t>EU-</w:t>
      </w:r>
      <w:r w:rsidR="00AE657C" w:rsidRPr="00121A6A">
        <w:rPr>
          <w:i/>
          <w:iCs/>
          <w:sz w:val="24"/>
          <w:szCs w:val="24"/>
        </w:rPr>
        <w:t xml:space="preserve">wetgeving en </w:t>
      </w:r>
      <w:r w:rsidR="00520EBB" w:rsidRPr="00121A6A">
        <w:rPr>
          <w:i/>
          <w:iCs/>
          <w:sz w:val="24"/>
          <w:szCs w:val="24"/>
        </w:rPr>
        <w:t>EU-</w:t>
      </w:r>
      <w:r w:rsidR="00AE657C" w:rsidRPr="00121A6A">
        <w:rPr>
          <w:i/>
          <w:iCs/>
          <w:sz w:val="24"/>
          <w:szCs w:val="24"/>
        </w:rPr>
        <w:t>rechtspraak?</w:t>
      </w:r>
    </w:p>
    <w:p w14:paraId="7A9D2AF8" w14:textId="77777777" w:rsidR="00D23CAC" w:rsidRPr="00121A6A" w:rsidRDefault="00D23CAC" w:rsidP="0010270C">
      <w:pPr>
        <w:spacing w:after="0"/>
        <w:jc w:val="both"/>
        <w:rPr>
          <w:sz w:val="24"/>
          <w:szCs w:val="24"/>
        </w:rPr>
      </w:pPr>
    </w:p>
    <w:p w14:paraId="66F2D5FA" w14:textId="0AEE6DDB" w:rsidR="008B465C" w:rsidRPr="00121A6A" w:rsidRDefault="003A5813" w:rsidP="005612AE">
      <w:pPr>
        <w:spacing w:after="0"/>
        <w:jc w:val="both"/>
        <w:rPr>
          <w:sz w:val="24"/>
          <w:szCs w:val="24"/>
        </w:rPr>
      </w:pPr>
      <w:r w:rsidRPr="00121A6A">
        <w:rPr>
          <w:sz w:val="24"/>
          <w:szCs w:val="24"/>
        </w:rPr>
        <w:t xml:space="preserve">Nadat </w:t>
      </w:r>
      <w:r w:rsidR="00464BBE" w:rsidRPr="00121A6A">
        <w:rPr>
          <w:sz w:val="24"/>
          <w:szCs w:val="24"/>
        </w:rPr>
        <w:t xml:space="preserve">het </w:t>
      </w:r>
      <w:r w:rsidR="00783E7B" w:rsidRPr="00121A6A">
        <w:rPr>
          <w:sz w:val="24"/>
          <w:szCs w:val="24"/>
        </w:rPr>
        <w:t>huidig</w:t>
      </w:r>
      <w:r w:rsidR="000415E4">
        <w:rPr>
          <w:sz w:val="24"/>
          <w:szCs w:val="24"/>
        </w:rPr>
        <w:t>e</w:t>
      </w:r>
      <w:r w:rsidR="00783E7B" w:rsidRPr="00121A6A">
        <w:rPr>
          <w:sz w:val="24"/>
          <w:szCs w:val="24"/>
        </w:rPr>
        <w:t xml:space="preserve"> </w:t>
      </w:r>
      <w:r w:rsidR="00464BBE" w:rsidRPr="00121A6A">
        <w:rPr>
          <w:sz w:val="24"/>
          <w:szCs w:val="24"/>
        </w:rPr>
        <w:t xml:space="preserve">juridisch kader </w:t>
      </w:r>
      <w:r w:rsidR="00D842CB" w:rsidRPr="00121A6A">
        <w:rPr>
          <w:sz w:val="24"/>
          <w:szCs w:val="24"/>
        </w:rPr>
        <w:t>inzichtelijk</w:t>
      </w:r>
      <w:r w:rsidR="00464BBE" w:rsidRPr="00121A6A">
        <w:rPr>
          <w:sz w:val="24"/>
          <w:szCs w:val="24"/>
        </w:rPr>
        <w:t xml:space="preserve"> is</w:t>
      </w:r>
      <w:r w:rsidR="00D842CB" w:rsidRPr="00121A6A">
        <w:rPr>
          <w:sz w:val="24"/>
          <w:szCs w:val="24"/>
        </w:rPr>
        <w:t xml:space="preserve"> gemaakt</w:t>
      </w:r>
      <w:r w:rsidR="00464BBE" w:rsidRPr="00121A6A">
        <w:rPr>
          <w:sz w:val="24"/>
          <w:szCs w:val="24"/>
        </w:rPr>
        <w:t xml:space="preserve">, </w:t>
      </w:r>
      <w:r w:rsidR="00D23CAC" w:rsidRPr="00121A6A">
        <w:rPr>
          <w:sz w:val="24"/>
          <w:szCs w:val="24"/>
        </w:rPr>
        <w:t>vervolg</w:t>
      </w:r>
      <w:r w:rsidR="00464BBE" w:rsidRPr="00121A6A">
        <w:rPr>
          <w:sz w:val="24"/>
          <w:szCs w:val="24"/>
        </w:rPr>
        <w:t>t</w:t>
      </w:r>
      <w:r w:rsidR="00D23CAC" w:rsidRPr="00121A6A">
        <w:rPr>
          <w:sz w:val="24"/>
          <w:szCs w:val="24"/>
        </w:rPr>
        <w:t xml:space="preserve"> </w:t>
      </w:r>
      <w:r w:rsidR="00D842CB" w:rsidRPr="00121A6A">
        <w:rPr>
          <w:sz w:val="24"/>
          <w:szCs w:val="24"/>
        </w:rPr>
        <w:t>het</w:t>
      </w:r>
      <w:r w:rsidR="00D23CAC" w:rsidRPr="00121A6A">
        <w:rPr>
          <w:sz w:val="24"/>
          <w:szCs w:val="24"/>
        </w:rPr>
        <w:t xml:space="preserve"> onderzoek aan de hand van de volgende deelvraag:</w:t>
      </w:r>
    </w:p>
    <w:p w14:paraId="7FF47B7D" w14:textId="77777777" w:rsidR="008B465C" w:rsidRPr="00121A6A" w:rsidRDefault="008B465C" w:rsidP="005612AE">
      <w:pPr>
        <w:spacing w:after="0"/>
        <w:jc w:val="both"/>
        <w:rPr>
          <w:sz w:val="24"/>
          <w:szCs w:val="24"/>
        </w:rPr>
      </w:pPr>
    </w:p>
    <w:p w14:paraId="7609C9B9" w14:textId="4B8C335F" w:rsidR="00502AA0" w:rsidRPr="00121A6A" w:rsidRDefault="0077625D" w:rsidP="00BA3986">
      <w:pPr>
        <w:spacing w:after="0"/>
        <w:ind w:left="708"/>
        <w:jc w:val="both"/>
        <w:rPr>
          <w:sz w:val="24"/>
          <w:szCs w:val="24"/>
        </w:rPr>
      </w:pPr>
      <w:bookmarkStart w:id="10" w:name="_Hlk148037535"/>
      <w:r w:rsidRPr="00121A6A">
        <w:rPr>
          <w:i/>
          <w:iCs/>
          <w:sz w:val="24"/>
          <w:szCs w:val="24"/>
        </w:rPr>
        <w:t>Welk</w:t>
      </w:r>
      <w:r w:rsidR="00905482" w:rsidRPr="00121A6A">
        <w:rPr>
          <w:i/>
          <w:iCs/>
          <w:sz w:val="24"/>
          <w:szCs w:val="24"/>
        </w:rPr>
        <w:t>e</w:t>
      </w:r>
      <w:r w:rsidRPr="00121A6A">
        <w:rPr>
          <w:i/>
          <w:iCs/>
          <w:sz w:val="24"/>
          <w:szCs w:val="24"/>
        </w:rPr>
        <w:t xml:space="preserve"> toetsingskader</w:t>
      </w:r>
      <w:r w:rsidR="00905482" w:rsidRPr="00121A6A">
        <w:rPr>
          <w:i/>
          <w:iCs/>
          <w:sz w:val="24"/>
          <w:szCs w:val="24"/>
        </w:rPr>
        <w:t>s</w:t>
      </w:r>
      <w:r w:rsidRPr="00121A6A">
        <w:rPr>
          <w:i/>
          <w:iCs/>
          <w:sz w:val="24"/>
          <w:szCs w:val="24"/>
        </w:rPr>
        <w:t xml:space="preserve"> </w:t>
      </w:r>
      <w:r w:rsidR="00E02001">
        <w:rPr>
          <w:i/>
          <w:iCs/>
          <w:sz w:val="24"/>
          <w:szCs w:val="24"/>
        </w:rPr>
        <w:t>hanteren</w:t>
      </w:r>
      <w:r w:rsidRPr="00121A6A">
        <w:rPr>
          <w:i/>
          <w:iCs/>
          <w:sz w:val="24"/>
          <w:szCs w:val="24"/>
        </w:rPr>
        <w:t xml:space="preserve"> het EHRM, de </w:t>
      </w:r>
      <w:proofErr w:type="spellStart"/>
      <w:r w:rsidRPr="00121A6A">
        <w:rPr>
          <w:i/>
          <w:iCs/>
          <w:sz w:val="24"/>
          <w:szCs w:val="24"/>
        </w:rPr>
        <w:t>CoE</w:t>
      </w:r>
      <w:proofErr w:type="spellEnd"/>
      <w:r w:rsidRPr="00121A6A">
        <w:rPr>
          <w:i/>
          <w:iCs/>
          <w:sz w:val="24"/>
          <w:szCs w:val="24"/>
        </w:rPr>
        <w:t>/CFA en het ECSR met betrekking tot het stakingsrecht en</w:t>
      </w:r>
      <w:r w:rsidR="0013258B" w:rsidRPr="00121A6A">
        <w:rPr>
          <w:i/>
          <w:iCs/>
          <w:sz w:val="24"/>
          <w:szCs w:val="24"/>
        </w:rPr>
        <w:t xml:space="preserve"> </w:t>
      </w:r>
      <w:r w:rsidR="006B47CD" w:rsidRPr="00121A6A">
        <w:rPr>
          <w:i/>
          <w:iCs/>
          <w:sz w:val="24"/>
          <w:szCs w:val="24"/>
        </w:rPr>
        <w:t xml:space="preserve">welke invloed </w:t>
      </w:r>
      <w:r w:rsidR="004165E7" w:rsidRPr="00121A6A">
        <w:rPr>
          <w:i/>
          <w:iCs/>
          <w:sz w:val="24"/>
          <w:szCs w:val="24"/>
        </w:rPr>
        <w:t xml:space="preserve">hebben deze toetsingskaders, althans </w:t>
      </w:r>
      <w:r w:rsidR="00100DAD" w:rsidRPr="00121A6A">
        <w:rPr>
          <w:i/>
          <w:iCs/>
          <w:sz w:val="24"/>
          <w:szCs w:val="24"/>
        </w:rPr>
        <w:t xml:space="preserve">zouden </w:t>
      </w:r>
      <w:r w:rsidR="006B47CD" w:rsidRPr="00121A6A">
        <w:rPr>
          <w:i/>
          <w:iCs/>
          <w:sz w:val="24"/>
          <w:szCs w:val="24"/>
        </w:rPr>
        <w:t xml:space="preserve">deze toetsingskaders </w:t>
      </w:r>
      <w:r w:rsidR="00100DAD" w:rsidRPr="00121A6A">
        <w:rPr>
          <w:i/>
          <w:iCs/>
          <w:sz w:val="24"/>
          <w:szCs w:val="24"/>
        </w:rPr>
        <w:t>moeten hebben</w:t>
      </w:r>
      <w:r w:rsidR="004165E7" w:rsidRPr="00121A6A">
        <w:rPr>
          <w:i/>
          <w:iCs/>
          <w:sz w:val="24"/>
          <w:szCs w:val="24"/>
        </w:rPr>
        <w:t>,</w:t>
      </w:r>
      <w:r w:rsidR="00100DAD" w:rsidRPr="00121A6A">
        <w:rPr>
          <w:i/>
          <w:iCs/>
          <w:sz w:val="24"/>
          <w:szCs w:val="24"/>
        </w:rPr>
        <w:t xml:space="preserve"> </w:t>
      </w:r>
      <w:r w:rsidR="006B47CD" w:rsidRPr="00121A6A">
        <w:rPr>
          <w:i/>
          <w:iCs/>
          <w:sz w:val="24"/>
          <w:szCs w:val="24"/>
        </w:rPr>
        <w:t>op de interpretatie van artikel 28 Hv</w:t>
      </w:r>
      <w:r w:rsidR="00915962" w:rsidRPr="00121A6A">
        <w:rPr>
          <w:i/>
          <w:iCs/>
          <w:sz w:val="24"/>
          <w:szCs w:val="24"/>
        </w:rPr>
        <w:t>?</w:t>
      </w:r>
    </w:p>
    <w:bookmarkEnd w:id="10"/>
    <w:p w14:paraId="0D76115B" w14:textId="77777777" w:rsidR="00F341A9" w:rsidRPr="00121A6A" w:rsidRDefault="00F341A9" w:rsidP="00F341A9">
      <w:pPr>
        <w:spacing w:after="0"/>
        <w:jc w:val="both"/>
        <w:rPr>
          <w:sz w:val="24"/>
          <w:szCs w:val="24"/>
        </w:rPr>
      </w:pPr>
    </w:p>
    <w:p w14:paraId="3780B969" w14:textId="5B5247BC" w:rsidR="008B465C" w:rsidRPr="00121A6A" w:rsidRDefault="009452FA" w:rsidP="005612AE">
      <w:pPr>
        <w:spacing w:after="0"/>
        <w:jc w:val="both"/>
        <w:rPr>
          <w:sz w:val="24"/>
          <w:szCs w:val="24"/>
        </w:rPr>
      </w:pPr>
      <w:r>
        <w:rPr>
          <w:sz w:val="24"/>
          <w:szCs w:val="24"/>
        </w:rPr>
        <w:t xml:space="preserve">Het vierde hoofdstuk </w:t>
      </w:r>
      <w:r w:rsidR="00106353" w:rsidRPr="00121A6A">
        <w:rPr>
          <w:sz w:val="24"/>
          <w:szCs w:val="24"/>
        </w:rPr>
        <w:t xml:space="preserve">staat ten slotte in het teken van </w:t>
      </w:r>
      <w:r w:rsidR="003D11AC" w:rsidRPr="00121A6A">
        <w:rPr>
          <w:sz w:val="24"/>
          <w:szCs w:val="24"/>
        </w:rPr>
        <w:t>de</w:t>
      </w:r>
      <w:r w:rsidR="00234EE7" w:rsidRPr="00121A6A">
        <w:rPr>
          <w:sz w:val="24"/>
          <w:szCs w:val="24"/>
        </w:rPr>
        <w:t xml:space="preserve"> vraag</w:t>
      </w:r>
      <w:r w:rsidR="00E63067" w:rsidRPr="00121A6A">
        <w:rPr>
          <w:sz w:val="24"/>
          <w:szCs w:val="24"/>
        </w:rPr>
        <w:t>:</w:t>
      </w:r>
    </w:p>
    <w:p w14:paraId="54E34808" w14:textId="77777777" w:rsidR="008B465C" w:rsidRPr="00121A6A" w:rsidRDefault="008B465C" w:rsidP="005612AE">
      <w:pPr>
        <w:spacing w:after="0"/>
        <w:jc w:val="both"/>
        <w:rPr>
          <w:sz w:val="24"/>
          <w:szCs w:val="24"/>
        </w:rPr>
      </w:pPr>
    </w:p>
    <w:p w14:paraId="743E9472" w14:textId="10F708CB" w:rsidR="009909DB" w:rsidRPr="00121A6A" w:rsidRDefault="00B040B9" w:rsidP="009909DB">
      <w:pPr>
        <w:spacing w:after="0"/>
        <w:ind w:left="708"/>
        <w:jc w:val="both"/>
        <w:rPr>
          <w:sz w:val="24"/>
          <w:szCs w:val="24"/>
        </w:rPr>
      </w:pPr>
      <w:r w:rsidRPr="00121A6A">
        <w:rPr>
          <w:i/>
          <w:iCs/>
          <w:sz w:val="24"/>
          <w:szCs w:val="24"/>
        </w:rPr>
        <w:t xml:space="preserve">Welke ruimte </w:t>
      </w:r>
      <w:r w:rsidR="0035482B" w:rsidRPr="00121A6A">
        <w:rPr>
          <w:i/>
          <w:iCs/>
          <w:sz w:val="24"/>
          <w:szCs w:val="24"/>
        </w:rPr>
        <w:t>bestaat</w:t>
      </w:r>
      <w:r w:rsidRPr="00121A6A">
        <w:rPr>
          <w:i/>
          <w:iCs/>
          <w:sz w:val="24"/>
          <w:szCs w:val="24"/>
        </w:rPr>
        <w:t xml:space="preserve"> binnen het huidige </w:t>
      </w:r>
      <w:r w:rsidR="0016061A" w:rsidRPr="00121A6A">
        <w:rPr>
          <w:i/>
          <w:iCs/>
          <w:sz w:val="24"/>
          <w:szCs w:val="24"/>
        </w:rPr>
        <w:t xml:space="preserve">Unierechtelijke </w:t>
      </w:r>
      <w:r w:rsidR="00891BF6" w:rsidRPr="00121A6A">
        <w:rPr>
          <w:i/>
          <w:iCs/>
          <w:sz w:val="24"/>
          <w:szCs w:val="24"/>
        </w:rPr>
        <w:t>(grondrechten)</w:t>
      </w:r>
      <w:r w:rsidRPr="00121A6A">
        <w:rPr>
          <w:i/>
          <w:iCs/>
          <w:sz w:val="24"/>
          <w:szCs w:val="24"/>
        </w:rPr>
        <w:t xml:space="preserve">systeem om </w:t>
      </w:r>
      <w:r w:rsidR="00623A2E" w:rsidRPr="00121A6A">
        <w:rPr>
          <w:i/>
          <w:iCs/>
          <w:sz w:val="24"/>
          <w:szCs w:val="24"/>
        </w:rPr>
        <w:t xml:space="preserve">inhoud en reikwijdte van artikel 28 </w:t>
      </w:r>
      <w:r w:rsidR="00453DF0" w:rsidRPr="00121A6A">
        <w:rPr>
          <w:i/>
          <w:iCs/>
          <w:sz w:val="24"/>
          <w:szCs w:val="24"/>
        </w:rPr>
        <w:t>Hv</w:t>
      </w:r>
      <w:r w:rsidR="00623A2E" w:rsidRPr="00121A6A">
        <w:rPr>
          <w:i/>
          <w:iCs/>
          <w:sz w:val="24"/>
          <w:szCs w:val="24"/>
        </w:rPr>
        <w:t xml:space="preserve"> </w:t>
      </w:r>
      <w:r w:rsidR="00A15161" w:rsidRPr="00121A6A">
        <w:rPr>
          <w:i/>
          <w:iCs/>
          <w:sz w:val="24"/>
          <w:szCs w:val="24"/>
        </w:rPr>
        <w:t>te laten aansluiten bij</w:t>
      </w:r>
      <w:r w:rsidR="00623A2E" w:rsidRPr="00121A6A">
        <w:rPr>
          <w:i/>
          <w:iCs/>
          <w:sz w:val="24"/>
          <w:szCs w:val="24"/>
        </w:rPr>
        <w:t xml:space="preserve"> artikel 11 EVRM, ILO-Verdrag 87</w:t>
      </w:r>
      <w:r w:rsidR="00561381" w:rsidRPr="00121A6A">
        <w:rPr>
          <w:i/>
          <w:iCs/>
          <w:sz w:val="24"/>
          <w:szCs w:val="24"/>
        </w:rPr>
        <w:t xml:space="preserve"> en artikel 6 lid 4 ESH</w:t>
      </w:r>
      <w:r w:rsidR="00623A2E" w:rsidRPr="00121A6A">
        <w:rPr>
          <w:i/>
          <w:iCs/>
          <w:sz w:val="24"/>
          <w:szCs w:val="24"/>
        </w:rPr>
        <w:t>?</w:t>
      </w:r>
    </w:p>
    <w:p w14:paraId="08B70C7A" w14:textId="77777777" w:rsidR="00AF29AA" w:rsidRPr="00121A6A" w:rsidRDefault="00AF29AA" w:rsidP="00C46ED6">
      <w:pPr>
        <w:spacing w:after="0"/>
        <w:jc w:val="both"/>
        <w:rPr>
          <w:sz w:val="24"/>
          <w:szCs w:val="24"/>
        </w:rPr>
      </w:pPr>
    </w:p>
    <w:p w14:paraId="723408D6" w14:textId="19878EBD" w:rsidR="007B5F6D" w:rsidRPr="00121A6A" w:rsidRDefault="004A72A0" w:rsidP="003251FF">
      <w:pPr>
        <w:spacing w:after="0"/>
        <w:jc w:val="both"/>
        <w:rPr>
          <w:sz w:val="24"/>
          <w:szCs w:val="24"/>
        </w:rPr>
      </w:pPr>
      <w:r w:rsidRPr="00121A6A">
        <w:rPr>
          <w:sz w:val="24"/>
          <w:szCs w:val="24"/>
        </w:rPr>
        <w:t>In h</w:t>
      </w:r>
      <w:r w:rsidR="00CC45D8" w:rsidRPr="00121A6A">
        <w:rPr>
          <w:sz w:val="24"/>
          <w:szCs w:val="24"/>
        </w:rPr>
        <w:t xml:space="preserve">oofdstuk </w:t>
      </w:r>
      <w:r w:rsidR="005A5B66">
        <w:rPr>
          <w:sz w:val="24"/>
          <w:szCs w:val="24"/>
        </w:rPr>
        <w:t>5</w:t>
      </w:r>
      <w:r w:rsidRPr="00121A6A">
        <w:rPr>
          <w:sz w:val="24"/>
          <w:szCs w:val="24"/>
        </w:rPr>
        <w:t xml:space="preserve"> volgt de c</w:t>
      </w:r>
      <w:r w:rsidR="00CC45D8" w:rsidRPr="00121A6A">
        <w:rPr>
          <w:sz w:val="24"/>
          <w:szCs w:val="24"/>
        </w:rPr>
        <w:t>onclusie</w:t>
      </w:r>
      <w:r w:rsidRPr="00121A6A">
        <w:rPr>
          <w:sz w:val="24"/>
          <w:szCs w:val="24"/>
        </w:rPr>
        <w:t>, waar</w:t>
      </w:r>
      <w:r w:rsidR="008F1811" w:rsidRPr="00121A6A">
        <w:rPr>
          <w:sz w:val="24"/>
          <w:szCs w:val="24"/>
        </w:rPr>
        <w:t>in</w:t>
      </w:r>
      <w:r w:rsidRPr="00121A6A">
        <w:rPr>
          <w:sz w:val="24"/>
          <w:szCs w:val="24"/>
        </w:rPr>
        <w:t xml:space="preserve"> </w:t>
      </w:r>
      <w:r w:rsidR="008F1811" w:rsidRPr="00121A6A">
        <w:rPr>
          <w:sz w:val="24"/>
          <w:szCs w:val="24"/>
        </w:rPr>
        <w:t xml:space="preserve">de hoofdvraag wordt beantwoord </w:t>
      </w:r>
      <w:r w:rsidR="00BD43C9" w:rsidRPr="00121A6A">
        <w:rPr>
          <w:sz w:val="24"/>
          <w:szCs w:val="24"/>
        </w:rPr>
        <w:t>aan de hand</w:t>
      </w:r>
      <w:r w:rsidR="00C20F8E" w:rsidRPr="00121A6A">
        <w:rPr>
          <w:sz w:val="24"/>
          <w:szCs w:val="24"/>
        </w:rPr>
        <w:t xml:space="preserve"> van de bevindingen uit hoofdstuk </w:t>
      </w:r>
      <w:r w:rsidR="00A55F35">
        <w:rPr>
          <w:sz w:val="24"/>
          <w:szCs w:val="24"/>
        </w:rPr>
        <w:t>2</w:t>
      </w:r>
      <w:r w:rsidR="00C20F8E" w:rsidRPr="00121A6A">
        <w:rPr>
          <w:sz w:val="24"/>
          <w:szCs w:val="24"/>
        </w:rPr>
        <w:t xml:space="preserve">, </w:t>
      </w:r>
      <w:r w:rsidR="00A55F35">
        <w:rPr>
          <w:sz w:val="24"/>
          <w:szCs w:val="24"/>
        </w:rPr>
        <w:t>3</w:t>
      </w:r>
      <w:r w:rsidR="00C20F8E" w:rsidRPr="00121A6A">
        <w:rPr>
          <w:sz w:val="24"/>
          <w:szCs w:val="24"/>
        </w:rPr>
        <w:t xml:space="preserve"> en </w:t>
      </w:r>
      <w:r w:rsidR="00A55F35">
        <w:rPr>
          <w:sz w:val="24"/>
          <w:szCs w:val="24"/>
        </w:rPr>
        <w:t>4</w:t>
      </w:r>
      <w:r w:rsidR="00C20F8E" w:rsidRPr="00121A6A">
        <w:rPr>
          <w:sz w:val="24"/>
          <w:szCs w:val="24"/>
        </w:rPr>
        <w:t>.</w:t>
      </w:r>
      <w:r w:rsidR="00935C32" w:rsidRPr="00121A6A">
        <w:rPr>
          <w:sz w:val="24"/>
          <w:szCs w:val="24"/>
        </w:rPr>
        <w:t xml:space="preserve"> </w:t>
      </w:r>
      <w:r w:rsidR="009452FA">
        <w:rPr>
          <w:sz w:val="24"/>
          <w:szCs w:val="24"/>
        </w:rPr>
        <w:t xml:space="preserve">Vastgesteld wordt of het </w:t>
      </w:r>
      <w:r w:rsidR="009E4617" w:rsidRPr="00121A6A">
        <w:rPr>
          <w:sz w:val="24"/>
          <w:szCs w:val="24"/>
        </w:rPr>
        <w:t xml:space="preserve">stakingsrecht </w:t>
      </w:r>
      <w:r w:rsidR="009452FA">
        <w:rPr>
          <w:sz w:val="24"/>
          <w:szCs w:val="24"/>
        </w:rPr>
        <w:t>van</w:t>
      </w:r>
      <w:r w:rsidR="009E4617" w:rsidRPr="00121A6A">
        <w:rPr>
          <w:sz w:val="24"/>
          <w:szCs w:val="24"/>
        </w:rPr>
        <w:t xml:space="preserve"> artikel 28 </w:t>
      </w:r>
      <w:r w:rsidR="00453DF0" w:rsidRPr="00121A6A">
        <w:rPr>
          <w:sz w:val="24"/>
          <w:szCs w:val="24"/>
        </w:rPr>
        <w:t>Hv</w:t>
      </w:r>
      <w:r w:rsidR="009E4617" w:rsidRPr="00121A6A">
        <w:rPr>
          <w:sz w:val="24"/>
          <w:szCs w:val="24"/>
        </w:rPr>
        <w:t xml:space="preserve"> in </w:t>
      </w:r>
      <w:r w:rsidR="009E4617" w:rsidRPr="00121A6A">
        <w:rPr>
          <w:sz w:val="24"/>
          <w:szCs w:val="24"/>
        </w:rPr>
        <w:lastRenderedPageBreak/>
        <w:t xml:space="preserve">diens huidige vorm </w:t>
      </w:r>
      <w:r w:rsidR="00BD180C" w:rsidRPr="00121A6A">
        <w:rPr>
          <w:sz w:val="24"/>
          <w:szCs w:val="24"/>
        </w:rPr>
        <w:t>en gezien de context die door de onderscheiden</w:t>
      </w:r>
      <w:r w:rsidR="006005F3" w:rsidRPr="00121A6A">
        <w:rPr>
          <w:sz w:val="24"/>
          <w:szCs w:val="24"/>
        </w:rPr>
        <w:t xml:space="preserve"> </w:t>
      </w:r>
      <w:r w:rsidR="00BD180C" w:rsidRPr="00121A6A">
        <w:rPr>
          <w:sz w:val="24"/>
          <w:szCs w:val="24"/>
        </w:rPr>
        <w:t>deelvragen in kaart is gebracht</w:t>
      </w:r>
      <w:r w:rsidR="00A55F35">
        <w:rPr>
          <w:sz w:val="24"/>
          <w:szCs w:val="24"/>
        </w:rPr>
        <w:t>,</w:t>
      </w:r>
      <w:r w:rsidR="00BD180C" w:rsidRPr="00121A6A">
        <w:rPr>
          <w:sz w:val="24"/>
          <w:szCs w:val="24"/>
        </w:rPr>
        <w:t xml:space="preserve"> </w:t>
      </w:r>
      <w:r w:rsidR="009E4617" w:rsidRPr="00121A6A">
        <w:rPr>
          <w:sz w:val="24"/>
          <w:szCs w:val="24"/>
        </w:rPr>
        <w:t xml:space="preserve">ooit de kracht kan krijgen die het EHRM, de </w:t>
      </w:r>
      <w:proofErr w:type="spellStart"/>
      <w:r w:rsidR="009E4617" w:rsidRPr="00121A6A">
        <w:rPr>
          <w:sz w:val="24"/>
          <w:szCs w:val="24"/>
        </w:rPr>
        <w:t>CoE</w:t>
      </w:r>
      <w:proofErr w:type="spellEnd"/>
      <w:r w:rsidR="00730B46">
        <w:rPr>
          <w:sz w:val="24"/>
          <w:szCs w:val="24"/>
        </w:rPr>
        <w:t>/CFA</w:t>
      </w:r>
      <w:r w:rsidR="009E4617" w:rsidRPr="00121A6A">
        <w:rPr>
          <w:sz w:val="24"/>
          <w:szCs w:val="24"/>
        </w:rPr>
        <w:t xml:space="preserve"> en het ECSR </w:t>
      </w:r>
      <w:r w:rsidR="00BD43C9" w:rsidRPr="00121A6A">
        <w:rPr>
          <w:sz w:val="24"/>
          <w:szCs w:val="24"/>
        </w:rPr>
        <w:t>daa</w:t>
      </w:r>
      <w:r w:rsidR="009E4617" w:rsidRPr="00121A6A">
        <w:rPr>
          <w:sz w:val="24"/>
          <w:szCs w:val="24"/>
        </w:rPr>
        <w:t xml:space="preserve">raan </w:t>
      </w:r>
      <w:r w:rsidR="00A15161" w:rsidRPr="00121A6A">
        <w:rPr>
          <w:sz w:val="24"/>
          <w:szCs w:val="24"/>
        </w:rPr>
        <w:t>geven</w:t>
      </w:r>
      <w:r w:rsidR="00635654" w:rsidRPr="00121A6A">
        <w:rPr>
          <w:sz w:val="24"/>
          <w:szCs w:val="24"/>
        </w:rPr>
        <w:t xml:space="preserve">. </w:t>
      </w:r>
    </w:p>
    <w:p w14:paraId="525FC58D" w14:textId="77777777" w:rsidR="00D54556" w:rsidRPr="00121A6A" w:rsidRDefault="00D54556" w:rsidP="00F341A9">
      <w:pPr>
        <w:spacing w:after="0"/>
        <w:jc w:val="both"/>
        <w:rPr>
          <w:sz w:val="24"/>
          <w:szCs w:val="24"/>
        </w:rPr>
      </w:pPr>
    </w:p>
    <w:p w14:paraId="617C6EC1" w14:textId="655BB0C0" w:rsidR="00D54556" w:rsidRPr="00121A6A" w:rsidRDefault="000622C4" w:rsidP="00B92A7F">
      <w:pPr>
        <w:pStyle w:val="Heading2"/>
        <w:rPr>
          <w:sz w:val="24"/>
          <w:szCs w:val="24"/>
        </w:rPr>
      </w:pPr>
      <w:bookmarkStart w:id="11" w:name="_Toc169963038"/>
      <w:r w:rsidRPr="00121A6A">
        <w:rPr>
          <w:sz w:val="24"/>
          <w:szCs w:val="24"/>
        </w:rPr>
        <w:t>1.</w:t>
      </w:r>
      <w:r w:rsidR="00C30782" w:rsidRPr="00121A6A">
        <w:rPr>
          <w:sz w:val="24"/>
          <w:szCs w:val="24"/>
        </w:rPr>
        <w:t>5</w:t>
      </w:r>
      <w:r w:rsidRPr="00121A6A">
        <w:rPr>
          <w:sz w:val="24"/>
          <w:szCs w:val="24"/>
        </w:rPr>
        <w:t xml:space="preserve"> </w:t>
      </w:r>
      <w:r w:rsidR="00D54556" w:rsidRPr="00121A6A">
        <w:rPr>
          <w:sz w:val="24"/>
          <w:szCs w:val="24"/>
        </w:rPr>
        <w:t>Begrippenkader</w:t>
      </w:r>
      <w:bookmarkEnd w:id="11"/>
    </w:p>
    <w:p w14:paraId="215A0034" w14:textId="0E5976B2" w:rsidR="00F50EBE" w:rsidRPr="00121A6A" w:rsidRDefault="001036B6" w:rsidP="00504797">
      <w:pPr>
        <w:spacing w:after="0"/>
        <w:jc w:val="both"/>
        <w:rPr>
          <w:sz w:val="24"/>
          <w:szCs w:val="24"/>
        </w:rPr>
      </w:pPr>
      <w:r w:rsidRPr="00121A6A">
        <w:rPr>
          <w:sz w:val="24"/>
          <w:szCs w:val="24"/>
        </w:rPr>
        <w:t xml:space="preserve">In </w:t>
      </w:r>
      <w:r w:rsidR="001732FB">
        <w:rPr>
          <w:sz w:val="24"/>
          <w:szCs w:val="24"/>
        </w:rPr>
        <w:t>dit onderzoek</w:t>
      </w:r>
      <w:r w:rsidRPr="00121A6A">
        <w:rPr>
          <w:sz w:val="24"/>
          <w:szCs w:val="24"/>
        </w:rPr>
        <w:t xml:space="preserve"> wordt met de termen</w:t>
      </w:r>
      <w:r w:rsidR="00F50EBE" w:rsidRPr="00121A6A">
        <w:rPr>
          <w:sz w:val="24"/>
          <w:szCs w:val="24"/>
        </w:rPr>
        <w:t xml:space="preserve"> </w:t>
      </w:r>
      <w:r w:rsidR="009F6E77" w:rsidRPr="00121A6A">
        <w:rPr>
          <w:sz w:val="24"/>
          <w:szCs w:val="24"/>
        </w:rPr>
        <w:t>‘</w:t>
      </w:r>
      <w:r w:rsidR="00F50EBE" w:rsidRPr="00121A6A">
        <w:rPr>
          <w:sz w:val="24"/>
          <w:szCs w:val="24"/>
        </w:rPr>
        <w:t>collectieve actie</w:t>
      </w:r>
      <w:r w:rsidR="009F6E77" w:rsidRPr="00121A6A">
        <w:rPr>
          <w:sz w:val="24"/>
          <w:szCs w:val="24"/>
        </w:rPr>
        <w:t>’</w:t>
      </w:r>
      <w:r w:rsidR="00F50EBE" w:rsidRPr="00121A6A">
        <w:rPr>
          <w:sz w:val="24"/>
          <w:szCs w:val="24"/>
        </w:rPr>
        <w:t xml:space="preserve"> </w:t>
      </w:r>
      <w:r w:rsidRPr="00121A6A">
        <w:rPr>
          <w:sz w:val="24"/>
          <w:szCs w:val="24"/>
        </w:rPr>
        <w:t>en</w:t>
      </w:r>
      <w:r w:rsidR="00F50EBE" w:rsidRPr="00121A6A">
        <w:rPr>
          <w:sz w:val="24"/>
          <w:szCs w:val="24"/>
        </w:rPr>
        <w:t xml:space="preserve"> </w:t>
      </w:r>
      <w:r w:rsidR="009F6E77" w:rsidRPr="00121A6A">
        <w:rPr>
          <w:sz w:val="24"/>
          <w:szCs w:val="24"/>
        </w:rPr>
        <w:t>‘</w:t>
      </w:r>
      <w:r w:rsidR="00F50EBE" w:rsidRPr="00121A6A">
        <w:rPr>
          <w:sz w:val="24"/>
          <w:szCs w:val="24"/>
        </w:rPr>
        <w:t>staking</w:t>
      </w:r>
      <w:r w:rsidR="009F6E77" w:rsidRPr="00121A6A">
        <w:rPr>
          <w:sz w:val="24"/>
          <w:szCs w:val="24"/>
        </w:rPr>
        <w:t>’</w:t>
      </w:r>
      <w:r w:rsidR="009B3721" w:rsidRPr="00121A6A">
        <w:rPr>
          <w:rStyle w:val="FootnoteReference"/>
          <w:sz w:val="24"/>
          <w:szCs w:val="24"/>
        </w:rPr>
        <w:footnoteReference w:id="20"/>
      </w:r>
      <w:r w:rsidR="00F50EBE" w:rsidRPr="00121A6A">
        <w:rPr>
          <w:sz w:val="24"/>
          <w:szCs w:val="24"/>
        </w:rPr>
        <w:t xml:space="preserve"> bedoeld </w:t>
      </w:r>
      <w:r w:rsidR="00815AFC" w:rsidRPr="00121A6A">
        <w:rPr>
          <w:sz w:val="24"/>
          <w:szCs w:val="24"/>
        </w:rPr>
        <w:t>iedere vorm van protest waar</w:t>
      </w:r>
      <w:r w:rsidR="0093435B">
        <w:rPr>
          <w:sz w:val="24"/>
          <w:szCs w:val="24"/>
        </w:rPr>
        <w:t>mee</w:t>
      </w:r>
      <w:r w:rsidR="00815AFC" w:rsidRPr="00121A6A">
        <w:rPr>
          <w:sz w:val="24"/>
          <w:szCs w:val="24"/>
        </w:rPr>
        <w:t xml:space="preserve"> </w:t>
      </w:r>
      <w:r w:rsidR="00CF4525" w:rsidRPr="00121A6A">
        <w:rPr>
          <w:sz w:val="24"/>
          <w:szCs w:val="24"/>
        </w:rPr>
        <w:t xml:space="preserve">wordt </w:t>
      </w:r>
      <w:r w:rsidR="000E6DE0" w:rsidRPr="00121A6A">
        <w:rPr>
          <w:sz w:val="24"/>
          <w:szCs w:val="24"/>
        </w:rPr>
        <w:t xml:space="preserve">beoogd </w:t>
      </w:r>
      <w:r w:rsidR="00815AFC" w:rsidRPr="00121A6A">
        <w:rPr>
          <w:sz w:val="24"/>
          <w:szCs w:val="24"/>
        </w:rPr>
        <w:t>arbeids</w:t>
      </w:r>
      <w:r w:rsidR="001732FB">
        <w:rPr>
          <w:sz w:val="24"/>
          <w:szCs w:val="24"/>
        </w:rPr>
        <w:t>voorwaarden en -</w:t>
      </w:r>
      <w:r w:rsidR="00815AFC" w:rsidRPr="00121A6A">
        <w:rPr>
          <w:sz w:val="24"/>
          <w:szCs w:val="24"/>
        </w:rPr>
        <w:t>omstandigheden te</w:t>
      </w:r>
      <w:r w:rsidR="000447D4" w:rsidRPr="00121A6A">
        <w:rPr>
          <w:sz w:val="24"/>
          <w:szCs w:val="24"/>
        </w:rPr>
        <w:t xml:space="preserve"> beschermen of te</w:t>
      </w:r>
      <w:r w:rsidR="00815AFC" w:rsidRPr="00121A6A">
        <w:rPr>
          <w:sz w:val="24"/>
          <w:szCs w:val="24"/>
        </w:rPr>
        <w:t xml:space="preserve"> verbeteren en waarop </w:t>
      </w:r>
      <w:r w:rsidR="00561381" w:rsidRPr="00121A6A">
        <w:rPr>
          <w:sz w:val="24"/>
          <w:szCs w:val="24"/>
        </w:rPr>
        <w:t xml:space="preserve">de </w:t>
      </w:r>
      <w:r w:rsidR="00815AFC" w:rsidRPr="00121A6A">
        <w:rPr>
          <w:sz w:val="24"/>
          <w:szCs w:val="24"/>
        </w:rPr>
        <w:t>artikel</w:t>
      </w:r>
      <w:r w:rsidR="00561381" w:rsidRPr="00121A6A">
        <w:rPr>
          <w:sz w:val="24"/>
          <w:szCs w:val="24"/>
        </w:rPr>
        <w:t>en</w:t>
      </w:r>
      <w:r w:rsidR="00815AFC" w:rsidRPr="00121A6A">
        <w:rPr>
          <w:sz w:val="24"/>
          <w:szCs w:val="24"/>
        </w:rPr>
        <w:t xml:space="preserve"> 28 </w:t>
      </w:r>
      <w:r w:rsidR="00453DF0" w:rsidRPr="00121A6A">
        <w:rPr>
          <w:sz w:val="24"/>
          <w:szCs w:val="24"/>
        </w:rPr>
        <w:t>Hv</w:t>
      </w:r>
      <w:r w:rsidR="00BD43C9" w:rsidRPr="00121A6A">
        <w:rPr>
          <w:sz w:val="24"/>
          <w:szCs w:val="24"/>
        </w:rPr>
        <w:t>,</w:t>
      </w:r>
      <w:r w:rsidR="00A63898" w:rsidRPr="00121A6A">
        <w:rPr>
          <w:sz w:val="24"/>
          <w:szCs w:val="24"/>
        </w:rPr>
        <w:t xml:space="preserve"> 11 EVRM, </w:t>
      </w:r>
      <w:r w:rsidR="00BD43C9" w:rsidRPr="00121A6A">
        <w:rPr>
          <w:sz w:val="24"/>
          <w:szCs w:val="24"/>
        </w:rPr>
        <w:t xml:space="preserve">6 </w:t>
      </w:r>
      <w:r w:rsidR="00A63898" w:rsidRPr="00121A6A">
        <w:rPr>
          <w:sz w:val="24"/>
          <w:szCs w:val="24"/>
        </w:rPr>
        <w:t>lid 4 ESH</w:t>
      </w:r>
      <w:r w:rsidR="00815AFC" w:rsidRPr="00121A6A">
        <w:rPr>
          <w:sz w:val="24"/>
          <w:szCs w:val="24"/>
        </w:rPr>
        <w:t xml:space="preserve"> </w:t>
      </w:r>
      <w:r w:rsidR="00BD43C9" w:rsidRPr="00121A6A">
        <w:rPr>
          <w:sz w:val="24"/>
          <w:szCs w:val="24"/>
        </w:rPr>
        <w:t xml:space="preserve">en/of ILO-Verdrag 87 </w:t>
      </w:r>
      <w:r w:rsidR="00815AFC" w:rsidRPr="00121A6A">
        <w:rPr>
          <w:sz w:val="24"/>
          <w:szCs w:val="24"/>
        </w:rPr>
        <w:t xml:space="preserve">van toepassing </w:t>
      </w:r>
      <w:r w:rsidR="00561381" w:rsidRPr="00121A6A">
        <w:rPr>
          <w:sz w:val="24"/>
          <w:szCs w:val="24"/>
        </w:rPr>
        <w:t>zijn</w:t>
      </w:r>
      <w:r w:rsidR="00815AFC" w:rsidRPr="00121A6A">
        <w:rPr>
          <w:sz w:val="24"/>
          <w:szCs w:val="24"/>
        </w:rPr>
        <w:t>.</w:t>
      </w:r>
      <w:r w:rsidR="009257D9" w:rsidRPr="00121A6A">
        <w:rPr>
          <w:sz w:val="24"/>
          <w:szCs w:val="24"/>
        </w:rPr>
        <w:t xml:space="preserve"> </w:t>
      </w:r>
      <w:r w:rsidR="00600B53" w:rsidRPr="00121A6A">
        <w:rPr>
          <w:sz w:val="24"/>
          <w:szCs w:val="24"/>
        </w:rPr>
        <w:t xml:space="preserve">Uit </w:t>
      </w:r>
      <w:r w:rsidR="007E70C3" w:rsidRPr="00121A6A">
        <w:rPr>
          <w:sz w:val="24"/>
          <w:szCs w:val="24"/>
        </w:rPr>
        <w:t xml:space="preserve">de formulering van </w:t>
      </w:r>
      <w:r w:rsidR="003B3D0F" w:rsidRPr="00121A6A">
        <w:rPr>
          <w:sz w:val="24"/>
          <w:szCs w:val="24"/>
        </w:rPr>
        <w:t xml:space="preserve">de </w:t>
      </w:r>
      <w:r w:rsidR="00600B53" w:rsidRPr="00121A6A">
        <w:rPr>
          <w:sz w:val="24"/>
          <w:szCs w:val="24"/>
        </w:rPr>
        <w:t>artikel</w:t>
      </w:r>
      <w:r w:rsidR="003B3D0F" w:rsidRPr="00121A6A">
        <w:rPr>
          <w:sz w:val="24"/>
          <w:szCs w:val="24"/>
        </w:rPr>
        <w:t>en</w:t>
      </w:r>
      <w:r w:rsidR="00600B53" w:rsidRPr="00121A6A">
        <w:rPr>
          <w:sz w:val="24"/>
          <w:szCs w:val="24"/>
        </w:rPr>
        <w:t xml:space="preserve"> 28 Hv </w:t>
      </w:r>
      <w:r w:rsidR="007E70C3" w:rsidRPr="00121A6A">
        <w:rPr>
          <w:sz w:val="24"/>
          <w:szCs w:val="24"/>
        </w:rPr>
        <w:t xml:space="preserve">en 6 lid 4 ESH </w:t>
      </w:r>
      <w:r w:rsidR="00600B53" w:rsidRPr="00121A6A">
        <w:rPr>
          <w:sz w:val="24"/>
          <w:szCs w:val="24"/>
        </w:rPr>
        <w:t>volgt dat</w:t>
      </w:r>
      <w:r w:rsidR="000C3961" w:rsidRPr="00121A6A">
        <w:rPr>
          <w:sz w:val="24"/>
          <w:szCs w:val="24"/>
        </w:rPr>
        <w:t xml:space="preserve"> de aanleiding voor een staking</w:t>
      </w:r>
      <w:r w:rsidR="00600B53" w:rsidRPr="00121A6A">
        <w:rPr>
          <w:sz w:val="24"/>
          <w:szCs w:val="24"/>
        </w:rPr>
        <w:t xml:space="preserve"> moet </w:t>
      </w:r>
      <w:r w:rsidR="000C3961" w:rsidRPr="00121A6A">
        <w:rPr>
          <w:sz w:val="24"/>
          <w:szCs w:val="24"/>
        </w:rPr>
        <w:t>zijn gelegen in een</w:t>
      </w:r>
      <w:r w:rsidR="00600B53" w:rsidRPr="00121A6A">
        <w:rPr>
          <w:sz w:val="24"/>
          <w:szCs w:val="24"/>
        </w:rPr>
        <w:t xml:space="preserve"> </w:t>
      </w:r>
      <w:r w:rsidR="00600B53" w:rsidRPr="00121A6A">
        <w:rPr>
          <w:i/>
          <w:iCs/>
          <w:sz w:val="24"/>
          <w:szCs w:val="24"/>
        </w:rPr>
        <w:t>belangen</w:t>
      </w:r>
      <w:r w:rsidR="00600B53" w:rsidRPr="00121A6A">
        <w:rPr>
          <w:sz w:val="24"/>
          <w:szCs w:val="24"/>
        </w:rPr>
        <w:t xml:space="preserve">conflict. </w:t>
      </w:r>
      <w:r w:rsidR="007E70C3" w:rsidRPr="00121A6A">
        <w:rPr>
          <w:sz w:val="24"/>
          <w:szCs w:val="24"/>
        </w:rPr>
        <w:t>N</w:t>
      </w:r>
      <w:r w:rsidR="00C708B9" w:rsidRPr="00121A6A">
        <w:rPr>
          <w:sz w:val="24"/>
          <w:szCs w:val="24"/>
        </w:rPr>
        <w:t xml:space="preserve">et als overigens </w:t>
      </w:r>
      <w:r w:rsidR="007E70C3" w:rsidRPr="00121A6A">
        <w:rPr>
          <w:sz w:val="24"/>
          <w:szCs w:val="24"/>
        </w:rPr>
        <w:t xml:space="preserve">onder </w:t>
      </w:r>
      <w:r w:rsidR="00A679DE" w:rsidRPr="00121A6A">
        <w:rPr>
          <w:sz w:val="24"/>
          <w:szCs w:val="24"/>
        </w:rPr>
        <w:t>artikel 11</w:t>
      </w:r>
      <w:r w:rsidR="007E70C3" w:rsidRPr="00121A6A">
        <w:rPr>
          <w:sz w:val="24"/>
          <w:szCs w:val="24"/>
        </w:rPr>
        <w:t xml:space="preserve"> EVRM</w:t>
      </w:r>
      <w:r w:rsidR="00C708B9" w:rsidRPr="00121A6A">
        <w:rPr>
          <w:sz w:val="24"/>
          <w:szCs w:val="24"/>
        </w:rPr>
        <w:t xml:space="preserve"> en </w:t>
      </w:r>
      <w:r w:rsidR="007E70C3" w:rsidRPr="00121A6A">
        <w:rPr>
          <w:sz w:val="24"/>
          <w:szCs w:val="24"/>
        </w:rPr>
        <w:t>ILO-Verdrag 87</w:t>
      </w:r>
      <w:r w:rsidR="001732FB">
        <w:rPr>
          <w:sz w:val="24"/>
          <w:szCs w:val="24"/>
        </w:rPr>
        <w:t>,</w:t>
      </w:r>
      <w:r w:rsidR="007E70C3" w:rsidRPr="00121A6A">
        <w:rPr>
          <w:sz w:val="24"/>
          <w:szCs w:val="24"/>
        </w:rPr>
        <w:t xml:space="preserve"> zijn </w:t>
      </w:r>
      <w:r w:rsidR="000C3961" w:rsidRPr="00121A6A">
        <w:rPr>
          <w:sz w:val="24"/>
          <w:szCs w:val="24"/>
        </w:rPr>
        <w:t xml:space="preserve">stakingen die puur betrekking hebben op </w:t>
      </w:r>
      <w:r w:rsidR="000C3961" w:rsidRPr="00121A6A">
        <w:rPr>
          <w:i/>
          <w:iCs/>
          <w:sz w:val="24"/>
          <w:szCs w:val="24"/>
        </w:rPr>
        <w:t>rechts</w:t>
      </w:r>
      <w:r w:rsidR="000C3961" w:rsidRPr="00121A6A">
        <w:rPr>
          <w:sz w:val="24"/>
          <w:szCs w:val="24"/>
        </w:rPr>
        <w:t>conflicten</w:t>
      </w:r>
      <w:r w:rsidR="000C3961" w:rsidRPr="00121A6A">
        <w:rPr>
          <w:i/>
          <w:iCs/>
          <w:sz w:val="24"/>
          <w:szCs w:val="24"/>
        </w:rPr>
        <w:t xml:space="preserve"> </w:t>
      </w:r>
      <w:r w:rsidR="000C3961" w:rsidRPr="00121A6A">
        <w:rPr>
          <w:sz w:val="24"/>
          <w:szCs w:val="24"/>
        </w:rPr>
        <w:t xml:space="preserve">uitgesloten van het </w:t>
      </w:r>
      <w:r w:rsidR="003B4CDB" w:rsidRPr="00121A6A">
        <w:rPr>
          <w:sz w:val="24"/>
          <w:szCs w:val="24"/>
        </w:rPr>
        <w:t>bescherming</w:t>
      </w:r>
      <w:r w:rsidR="000C3961" w:rsidRPr="00121A6A">
        <w:rPr>
          <w:sz w:val="24"/>
          <w:szCs w:val="24"/>
        </w:rPr>
        <w:t>sbereik</w:t>
      </w:r>
      <w:r w:rsidR="003B4CDB" w:rsidRPr="00121A6A">
        <w:rPr>
          <w:sz w:val="24"/>
          <w:szCs w:val="24"/>
        </w:rPr>
        <w:t xml:space="preserve"> </w:t>
      </w:r>
      <w:r w:rsidR="008B40E4" w:rsidRPr="00121A6A">
        <w:rPr>
          <w:sz w:val="24"/>
          <w:szCs w:val="24"/>
        </w:rPr>
        <w:t>van de verdragsnormen</w:t>
      </w:r>
      <w:r w:rsidR="000C3961" w:rsidRPr="00121A6A">
        <w:rPr>
          <w:sz w:val="24"/>
          <w:szCs w:val="24"/>
        </w:rPr>
        <w:t>.</w:t>
      </w:r>
      <w:r w:rsidR="00917841" w:rsidRPr="00121A6A">
        <w:rPr>
          <w:rStyle w:val="FootnoteReference"/>
          <w:sz w:val="24"/>
          <w:szCs w:val="24"/>
        </w:rPr>
        <w:footnoteReference w:id="21"/>
      </w:r>
      <w:r w:rsidR="000C3961" w:rsidRPr="00121A6A">
        <w:rPr>
          <w:sz w:val="24"/>
          <w:szCs w:val="24"/>
        </w:rPr>
        <w:t xml:space="preserve"> </w:t>
      </w:r>
      <w:r w:rsidR="00466834">
        <w:rPr>
          <w:sz w:val="24"/>
          <w:szCs w:val="24"/>
        </w:rPr>
        <w:t>Hetzelfde geldt voor</w:t>
      </w:r>
      <w:r w:rsidR="00060768" w:rsidRPr="00121A6A">
        <w:rPr>
          <w:sz w:val="24"/>
          <w:szCs w:val="24"/>
        </w:rPr>
        <w:t xml:space="preserve"> z</w:t>
      </w:r>
      <w:r w:rsidR="0065390C" w:rsidRPr="00121A6A">
        <w:rPr>
          <w:sz w:val="24"/>
          <w:szCs w:val="24"/>
        </w:rPr>
        <w:t xml:space="preserve">uiver </w:t>
      </w:r>
      <w:r w:rsidR="0034284E" w:rsidRPr="00121A6A">
        <w:rPr>
          <w:sz w:val="24"/>
          <w:szCs w:val="24"/>
        </w:rPr>
        <w:t>p</w:t>
      </w:r>
      <w:r w:rsidR="00C708B9" w:rsidRPr="00121A6A">
        <w:rPr>
          <w:sz w:val="24"/>
          <w:szCs w:val="24"/>
        </w:rPr>
        <w:t>olitieke stakingen</w:t>
      </w:r>
      <w:r w:rsidR="00060768" w:rsidRPr="00121A6A">
        <w:rPr>
          <w:sz w:val="24"/>
          <w:szCs w:val="24"/>
        </w:rPr>
        <w:t>,</w:t>
      </w:r>
      <w:r w:rsidR="00C708B9" w:rsidRPr="00121A6A">
        <w:rPr>
          <w:rStyle w:val="FootnoteReference"/>
          <w:sz w:val="24"/>
          <w:szCs w:val="24"/>
        </w:rPr>
        <w:footnoteReference w:id="22"/>
      </w:r>
      <w:r w:rsidR="00060768" w:rsidRPr="00121A6A">
        <w:rPr>
          <w:sz w:val="24"/>
          <w:szCs w:val="24"/>
        </w:rPr>
        <w:t xml:space="preserve"> alsmede wilde stakingen</w:t>
      </w:r>
      <w:r w:rsidR="00466834">
        <w:rPr>
          <w:sz w:val="24"/>
          <w:szCs w:val="24"/>
        </w:rPr>
        <w:t>.</w:t>
      </w:r>
      <w:r w:rsidR="00060768" w:rsidRPr="00121A6A">
        <w:rPr>
          <w:rStyle w:val="FootnoteReference"/>
          <w:sz w:val="24"/>
          <w:szCs w:val="24"/>
        </w:rPr>
        <w:footnoteReference w:id="23"/>
      </w:r>
      <w:r w:rsidR="00060768" w:rsidRPr="00121A6A">
        <w:rPr>
          <w:sz w:val="24"/>
          <w:szCs w:val="24"/>
        </w:rPr>
        <w:t xml:space="preserve"> S</w:t>
      </w:r>
      <w:r w:rsidR="002F4985" w:rsidRPr="00121A6A">
        <w:rPr>
          <w:sz w:val="24"/>
          <w:szCs w:val="24"/>
        </w:rPr>
        <w:t xml:space="preserve">olidariteitsacties </w:t>
      </w:r>
      <w:r w:rsidR="00060768" w:rsidRPr="00121A6A">
        <w:rPr>
          <w:sz w:val="24"/>
          <w:szCs w:val="24"/>
        </w:rPr>
        <w:t>vallen</w:t>
      </w:r>
      <w:r w:rsidR="009F486B" w:rsidRPr="00121A6A">
        <w:rPr>
          <w:sz w:val="24"/>
          <w:szCs w:val="24"/>
        </w:rPr>
        <w:t xml:space="preserve"> </w:t>
      </w:r>
      <w:r w:rsidR="00F91BF2">
        <w:rPr>
          <w:sz w:val="24"/>
          <w:szCs w:val="24"/>
        </w:rPr>
        <w:t>echter wél</w:t>
      </w:r>
      <w:r w:rsidR="00060768" w:rsidRPr="00121A6A">
        <w:rPr>
          <w:sz w:val="24"/>
          <w:szCs w:val="24"/>
        </w:rPr>
        <w:t xml:space="preserve"> onder de reikwijdte van de </w:t>
      </w:r>
      <w:r w:rsidR="009F486B" w:rsidRPr="00121A6A">
        <w:rPr>
          <w:sz w:val="24"/>
          <w:szCs w:val="24"/>
        </w:rPr>
        <w:t>verdrags</w:t>
      </w:r>
      <w:r w:rsidR="00060768" w:rsidRPr="00121A6A">
        <w:rPr>
          <w:sz w:val="24"/>
          <w:szCs w:val="24"/>
        </w:rPr>
        <w:t>bepalingen.</w:t>
      </w:r>
      <w:r w:rsidR="002F4985" w:rsidRPr="00121A6A">
        <w:rPr>
          <w:rStyle w:val="FootnoteReference"/>
          <w:sz w:val="24"/>
          <w:szCs w:val="24"/>
        </w:rPr>
        <w:footnoteReference w:id="24"/>
      </w:r>
    </w:p>
    <w:p w14:paraId="10E8725E" w14:textId="77777777" w:rsidR="009804CC" w:rsidRPr="00121A6A" w:rsidRDefault="009804CC" w:rsidP="009804CC">
      <w:pPr>
        <w:spacing w:after="0"/>
        <w:jc w:val="both"/>
        <w:rPr>
          <w:sz w:val="24"/>
          <w:szCs w:val="24"/>
        </w:rPr>
      </w:pPr>
    </w:p>
    <w:p w14:paraId="4C04694F" w14:textId="41838F15" w:rsidR="009804CC" w:rsidRPr="00121A6A" w:rsidRDefault="000622C4" w:rsidP="00B92A7F">
      <w:pPr>
        <w:pStyle w:val="Heading2"/>
        <w:rPr>
          <w:sz w:val="24"/>
          <w:szCs w:val="24"/>
        </w:rPr>
      </w:pPr>
      <w:bookmarkStart w:id="12" w:name="_Toc169963039"/>
      <w:r w:rsidRPr="00121A6A">
        <w:rPr>
          <w:sz w:val="24"/>
          <w:szCs w:val="24"/>
        </w:rPr>
        <w:t>1.</w:t>
      </w:r>
      <w:r w:rsidR="00C30782" w:rsidRPr="00121A6A">
        <w:rPr>
          <w:sz w:val="24"/>
          <w:szCs w:val="24"/>
        </w:rPr>
        <w:t>6</w:t>
      </w:r>
      <w:r w:rsidRPr="00121A6A">
        <w:rPr>
          <w:sz w:val="24"/>
          <w:szCs w:val="24"/>
        </w:rPr>
        <w:t xml:space="preserve"> </w:t>
      </w:r>
      <w:r w:rsidR="00924862" w:rsidRPr="00121A6A">
        <w:rPr>
          <w:sz w:val="24"/>
          <w:szCs w:val="24"/>
        </w:rPr>
        <w:t>Methode</w:t>
      </w:r>
      <w:bookmarkEnd w:id="12"/>
    </w:p>
    <w:p w14:paraId="254BDF2C" w14:textId="6A9F69AE" w:rsidR="0097037F" w:rsidRPr="00121A6A" w:rsidRDefault="00F50EBE" w:rsidP="0097037F">
      <w:pPr>
        <w:spacing w:after="0"/>
        <w:jc w:val="both"/>
        <w:rPr>
          <w:sz w:val="24"/>
          <w:szCs w:val="24"/>
        </w:rPr>
      </w:pPr>
      <w:r w:rsidRPr="00121A6A">
        <w:rPr>
          <w:sz w:val="24"/>
          <w:szCs w:val="24"/>
        </w:rPr>
        <w:t xml:space="preserve">De data voor deze studie </w:t>
      </w:r>
      <w:r w:rsidR="004A609C" w:rsidRPr="00121A6A">
        <w:rPr>
          <w:sz w:val="24"/>
          <w:szCs w:val="24"/>
        </w:rPr>
        <w:t xml:space="preserve">worden </w:t>
      </w:r>
      <w:r w:rsidR="00A83F82">
        <w:rPr>
          <w:sz w:val="24"/>
          <w:szCs w:val="24"/>
        </w:rPr>
        <w:t>ten eerste</w:t>
      </w:r>
      <w:r w:rsidR="00AC3ADA" w:rsidRPr="00121A6A">
        <w:rPr>
          <w:sz w:val="24"/>
          <w:szCs w:val="24"/>
        </w:rPr>
        <w:t xml:space="preserve"> </w:t>
      </w:r>
      <w:r w:rsidR="004A609C" w:rsidRPr="00121A6A">
        <w:rPr>
          <w:sz w:val="24"/>
          <w:szCs w:val="24"/>
        </w:rPr>
        <w:t xml:space="preserve">verzameld </w:t>
      </w:r>
      <w:r w:rsidRPr="00121A6A">
        <w:rPr>
          <w:sz w:val="24"/>
          <w:szCs w:val="24"/>
        </w:rPr>
        <w:t>door middel van</w:t>
      </w:r>
      <w:r w:rsidR="00AC3ADA" w:rsidRPr="00121A6A">
        <w:rPr>
          <w:sz w:val="24"/>
          <w:szCs w:val="24"/>
        </w:rPr>
        <w:t xml:space="preserve"> jurisprudentieonderzoek. Daarbij </w:t>
      </w:r>
      <w:r w:rsidR="00D842CB" w:rsidRPr="00121A6A">
        <w:rPr>
          <w:sz w:val="24"/>
          <w:szCs w:val="24"/>
        </w:rPr>
        <w:t>wordt gekeken</w:t>
      </w:r>
      <w:r w:rsidR="00AC3ADA" w:rsidRPr="00121A6A">
        <w:rPr>
          <w:sz w:val="24"/>
          <w:szCs w:val="24"/>
        </w:rPr>
        <w:t xml:space="preserve"> naar </w:t>
      </w:r>
      <w:r w:rsidR="00060A6D" w:rsidRPr="00121A6A">
        <w:rPr>
          <w:sz w:val="24"/>
          <w:szCs w:val="24"/>
        </w:rPr>
        <w:t>relevante</w:t>
      </w:r>
      <w:r w:rsidR="00AC3ADA" w:rsidRPr="00121A6A">
        <w:rPr>
          <w:sz w:val="24"/>
          <w:szCs w:val="24"/>
        </w:rPr>
        <w:t xml:space="preserve"> rechtspraak van het HvJ, het EHRM, de </w:t>
      </w:r>
      <w:proofErr w:type="spellStart"/>
      <w:r w:rsidR="00AC3ADA" w:rsidRPr="00121A6A">
        <w:rPr>
          <w:sz w:val="24"/>
          <w:szCs w:val="24"/>
        </w:rPr>
        <w:t>CoE</w:t>
      </w:r>
      <w:proofErr w:type="spellEnd"/>
      <w:r w:rsidR="00AC3ADA" w:rsidRPr="00121A6A">
        <w:rPr>
          <w:sz w:val="24"/>
          <w:szCs w:val="24"/>
        </w:rPr>
        <w:t>/CFA en het ECSR.</w:t>
      </w:r>
      <w:r w:rsidR="00C938B2" w:rsidRPr="00121A6A">
        <w:rPr>
          <w:rStyle w:val="FootnoteReference"/>
          <w:sz w:val="24"/>
          <w:szCs w:val="24"/>
        </w:rPr>
        <w:footnoteReference w:id="25"/>
      </w:r>
      <w:r w:rsidR="00AC3ADA" w:rsidRPr="00121A6A">
        <w:rPr>
          <w:sz w:val="24"/>
          <w:szCs w:val="24"/>
        </w:rPr>
        <w:t xml:space="preserve"> </w:t>
      </w:r>
      <w:r w:rsidR="00993042">
        <w:rPr>
          <w:sz w:val="24"/>
          <w:szCs w:val="24"/>
        </w:rPr>
        <w:t>A</w:t>
      </w:r>
      <w:r w:rsidR="00060A6D" w:rsidRPr="00121A6A">
        <w:rPr>
          <w:sz w:val="24"/>
          <w:szCs w:val="24"/>
        </w:rPr>
        <w:t>anvullend</w:t>
      </w:r>
      <w:r w:rsidR="00993042">
        <w:rPr>
          <w:sz w:val="24"/>
          <w:szCs w:val="24"/>
        </w:rPr>
        <w:t xml:space="preserve"> wordt</w:t>
      </w:r>
      <w:r w:rsidRPr="00121A6A">
        <w:rPr>
          <w:sz w:val="24"/>
          <w:szCs w:val="24"/>
        </w:rPr>
        <w:t xml:space="preserve"> </w:t>
      </w:r>
      <w:r w:rsidR="00815AFC" w:rsidRPr="00121A6A">
        <w:rPr>
          <w:sz w:val="24"/>
          <w:szCs w:val="24"/>
        </w:rPr>
        <w:t xml:space="preserve">systematisch </w:t>
      </w:r>
      <w:r w:rsidRPr="00121A6A">
        <w:rPr>
          <w:sz w:val="24"/>
          <w:szCs w:val="24"/>
        </w:rPr>
        <w:t>literatuur</w:t>
      </w:r>
      <w:r w:rsidR="00AC3ADA" w:rsidRPr="00121A6A">
        <w:rPr>
          <w:sz w:val="24"/>
          <w:szCs w:val="24"/>
        </w:rPr>
        <w:t>onderzoek</w:t>
      </w:r>
      <w:r w:rsidR="00D842CB" w:rsidRPr="00121A6A">
        <w:rPr>
          <w:sz w:val="24"/>
          <w:szCs w:val="24"/>
        </w:rPr>
        <w:t xml:space="preserve"> verricht</w:t>
      </w:r>
      <w:r w:rsidR="004A609C" w:rsidRPr="00121A6A">
        <w:rPr>
          <w:sz w:val="24"/>
          <w:szCs w:val="24"/>
        </w:rPr>
        <w:t xml:space="preserve">, waarbij </w:t>
      </w:r>
      <w:r w:rsidR="00CE5A67" w:rsidRPr="00121A6A">
        <w:rPr>
          <w:sz w:val="24"/>
          <w:szCs w:val="24"/>
        </w:rPr>
        <w:t xml:space="preserve">niet alleen Nederlandse maar </w:t>
      </w:r>
      <w:r w:rsidR="00BD180C" w:rsidRPr="00121A6A">
        <w:rPr>
          <w:sz w:val="24"/>
          <w:szCs w:val="24"/>
        </w:rPr>
        <w:t xml:space="preserve">met name </w:t>
      </w:r>
      <w:r w:rsidR="00CE5A67" w:rsidRPr="00121A6A">
        <w:rPr>
          <w:sz w:val="24"/>
          <w:szCs w:val="24"/>
        </w:rPr>
        <w:t>ook veel internationale bronnen</w:t>
      </w:r>
      <w:r w:rsidR="004A609C" w:rsidRPr="00121A6A">
        <w:rPr>
          <w:sz w:val="24"/>
          <w:szCs w:val="24"/>
        </w:rPr>
        <w:t xml:space="preserve"> worden geraadpleegd</w:t>
      </w:r>
      <w:r w:rsidR="00CE5A67" w:rsidRPr="00121A6A">
        <w:rPr>
          <w:sz w:val="24"/>
          <w:szCs w:val="24"/>
        </w:rPr>
        <w:t>.</w:t>
      </w:r>
    </w:p>
    <w:p w14:paraId="716D27E4" w14:textId="2FDDE936" w:rsidR="000C0838" w:rsidRPr="00121A6A" w:rsidRDefault="000C0838" w:rsidP="00924862">
      <w:pPr>
        <w:spacing w:after="0"/>
        <w:rPr>
          <w:sz w:val="24"/>
          <w:szCs w:val="24"/>
        </w:rPr>
      </w:pPr>
    </w:p>
    <w:p w14:paraId="4C346109" w14:textId="104AE6EB" w:rsidR="00924862" w:rsidRPr="00121A6A" w:rsidRDefault="000622C4" w:rsidP="00B92A7F">
      <w:pPr>
        <w:pStyle w:val="Heading2"/>
        <w:rPr>
          <w:sz w:val="24"/>
          <w:szCs w:val="24"/>
        </w:rPr>
      </w:pPr>
      <w:bookmarkStart w:id="13" w:name="_Toc169963040"/>
      <w:r w:rsidRPr="00121A6A">
        <w:rPr>
          <w:sz w:val="24"/>
          <w:szCs w:val="24"/>
        </w:rPr>
        <w:t>1.</w:t>
      </w:r>
      <w:r w:rsidR="00C30782" w:rsidRPr="00121A6A">
        <w:rPr>
          <w:sz w:val="24"/>
          <w:szCs w:val="24"/>
        </w:rPr>
        <w:t>7</w:t>
      </w:r>
      <w:r w:rsidRPr="00121A6A">
        <w:rPr>
          <w:sz w:val="24"/>
          <w:szCs w:val="24"/>
        </w:rPr>
        <w:t xml:space="preserve"> </w:t>
      </w:r>
      <w:r w:rsidR="00924862" w:rsidRPr="00121A6A">
        <w:rPr>
          <w:sz w:val="24"/>
          <w:szCs w:val="24"/>
        </w:rPr>
        <w:t>Afbakening</w:t>
      </w:r>
      <w:bookmarkEnd w:id="13"/>
    </w:p>
    <w:p w14:paraId="1365E3BB" w14:textId="368A9FE8" w:rsidR="000E6BB9" w:rsidRDefault="00886BAD" w:rsidP="0035447F">
      <w:pPr>
        <w:spacing w:after="0"/>
        <w:jc w:val="both"/>
        <w:rPr>
          <w:sz w:val="24"/>
          <w:szCs w:val="24"/>
        </w:rPr>
      </w:pPr>
      <w:r w:rsidRPr="00121A6A">
        <w:rPr>
          <w:sz w:val="24"/>
          <w:szCs w:val="24"/>
        </w:rPr>
        <w:t xml:space="preserve">In deze </w:t>
      </w:r>
      <w:r w:rsidR="0028581D" w:rsidRPr="00121A6A">
        <w:rPr>
          <w:sz w:val="24"/>
          <w:szCs w:val="24"/>
        </w:rPr>
        <w:t>studie</w:t>
      </w:r>
      <w:r w:rsidRPr="00121A6A">
        <w:rPr>
          <w:sz w:val="24"/>
          <w:szCs w:val="24"/>
        </w:rPr>
        <w:t xml:space="preserve"> </w:t>
      </w:r>
      <w:r w:rsidR="005841C1">
        <w:rPr>
          <w:sz w:val="24"/>
          <w:szCs w:val="24"/>
        </w:rPr>
        <w:t>wordt</w:t>
      </w:r>
      <w:r w:rsidR="005614B1" w:rsidRPr="00121A6A">
        <w:rPr>
          <w:sz w:val="24"/>
          <w:szCs w:val="24"/>
        </w:rPr>
        <w:t xml:space="preserve"> </w:t>
      </w:r>
      <w:r w:rsidR="006877BD" w:rsidRPr="00121A6A">
        <w:rPr>
          <w:sz w:val="24"/>
          <w:szCs w:val="24"/>
        </w:rPr>
        <w:t>het</w:t>
      </w:r>
      <w:r w:rsidR="00DC49A1" w:rsidRPr="00121A6A">
        <w:rPr>
          <w:sz w:val="24"/>
          <w:szCs w:val="24"/>
        </w:rPr>
        <w:t xml:space="preserve"> door </w:t>
      </w:r>
      <w:r w:rsidR="005405E8" w:rsidRPr="00121A6A">
        <w:rPr>
          <w:sz w:val="24"/>
          <w:szCs w:val="24"/>
        </w:rPr>
        <w:t>economische vrijheden getinte</w:t>
      </w:r>
      <w:r w:rsidR="005841C1">
        <w:rPr>
          <w:sz w:val="24"/>
          <w:szCs w:val="24"/>
        </w:rPr>
        <w:t xml:space="preserve"> stakingsrecht van</w:t>
      </w:r>
      <w:r w:rsidR="005405E8" w:rsidRPr="00121A6A">
        <w:rPr>
          <w:sz w:val="24"/>
          <w:szCs w:val="24"/>
        </w:rPr>
        <w:t xml:space="preserve"> artikel</w:t>
      </w:r>
      <w:r w:rsidR="005614B1" w:rsidRPr="00121A6A">
        <w:rPr>
          <w:sz w:val="24"/>
          <w:szCs w:val="24"/>
        </w:rPr>
        <w:t xml:space="preserve"> 28 </w:t>
      </w:r>
      <w:r w:rsidR="00453DF0" w:rsidRPr="00121A6A">
        <w:rPr>
          <w:sz w:val="24"/>
          <w:szCs w:val="24"/>
        </w:rPr>
        <w:t>Hv</w:t>
      </w:r>
      <w:r w:rsidR="00E2610A" w:rsidRPr="00121A6A">
        <w:rPr>
          <w:sz w:val="24"/>
          <w:szCs w:val="24"/>
        </w:rPr>
        <w:t xml:space="preserve"> afgezet tegen de beperkingsmogelijkheden</w:t>
      </w:r>
      <w:r w:rsidR="000E49E2" w:rsidRPr="00121A6A">
        <w:rPr>
          <w:sz w:val="24"/>
          <w:szCs w:val="24"/>
        </w:rPr>
        <w:t xml:space="preserve"> van het stakingsrecht</w:t>
      </w:r>
      <w:r w:rsidR="00E2610A" w:rsidRPr="00121A6A">
        <w:rPr>
          <w:sz w:val="24"/>
          <w:szCs w:val="24"/>
        </w:rPr>
        <w:t xml:space="preserve"> </w:t>
      </w:r>
      <w:r w:rsidR="005405E8" w:rsidRPr="00121A6A">
        <w:rPr>
          <w:sz w:val="24"/>
          <w:szCs w:val="24"/>
        </w:rPr>
        <w:t xml:space="preserve">op economische gronden </w:t>
      </w:r>
      <w:r w:rsidR="00D842CB" w:rsidRPr="00121A6A">
        <w:rPr>
          <w:sz w:val="24"/>
          <w:szCs w:val="24"/>
        </w:rPr>
        <w:t>onder</w:t>
      </w:r>
      <w:r w:rsidR="00E2610A" w:rsidRPr="00121A6A">
        <w:rPr>
          <w:sz w:val="24"/>
          <w:szCs w:val="24"/>
        </w:rPr>
        <w:t xml:space="preserve"> artikel 11 EVRM, ILO-Verdrag 87</w:t>
      </w:r>
      <w:r w:rsidR="00561381" w:rsidRPr="00121A6A">
        <w:rPr>
          <w:sz w:val="24"/>
          <w:szCs w:val="24"/>
        </w:rPr>
        <w:t xml:space="preserve"> en artikel 6 lid 4 ESH</w:t>
      </w:r>
      <w:r w:rsidR="001D32BC" w:rsidRPr="00121A6A">
        <w:rPr>
          <w:sz w:val="24"/>
          <w:szCs w:val="24"/>
        </w:rPr>
        <w:t>.</w:t>
      </w:r>
      <w:r w:rsidR="005614B1" w:rsidRPr="00121A6A">
        <w:rPr>
          <w:sz w:val="24"/>
          <w:szCs w:val="24"/>
        </w:rPr>
        <w:t xml:space="preserve"> </w:t>
      </w:r>
      <w:r w:rsidR="00FE4E8E">
        <w:rPr>
          <w:sz w:val="24"/>
          <w:szCs w:val="24"/>
        </w:rPr>
        <w:t>De g</w:t>
      </w:r>
      <w:r w:rsidR="00513AF6">
        <w:rPr>
          <w:sz w:val="24"/>
          <w:szCs w:val="24"/>
        </w:rPr>
        <w:t xml:space="preserve">enoemde verdragen vormen de belangrijkste normen op het gebied van het stakingsrecht. Dientengevolge </w:t>
      </w:r>
      <w:r w:rsidRPr="00121A6A">
        <w:rPr>
          <w:sz w:val="24"/>
          <w:szCs w:val="24"/>
        </w:rPr>
        <w:t xml:space="preserve">blijven andere </w:t>
      </w:r>
      <w:r w:rsidR="001621B1">
        <w:rPr>
          <w:sz w:val="24"/>
          <w:szCs w:val="24"/>
        </w:rPr>
        <w:t>internationaalrechtelijke</w:t>
      </w:r>
      <w:r w:rsidRPr="00121A6A">
        <w:rPr>
          <w:sz w:val="24"/>
          <w:szCs w:val="24"/>
        </w:rPr>
        <w:t xml:space="preserve"> bepalingen</w:t>
      </w:r>
      <w:r w:rsidR="00513AF6">
        <w:rPr>
          <w:sz w:val="24"/>
          <w:szCs w:val="24"/>
        </w:rPr>
        <w:t xml:space="preserve">, zoals artikel 8 </w:t>
      </w:r>
      <w:r w:rsidR="00513AF6" w:rsidRPr="00513AF6">
        <w:rPr>
          <w:sz w:val="24"/>
          <w:szCs w:val="24"/>
        </w:rPr>
        <w:t xml:space="preserve">Internationaal Verdrag inzake </w:t>
      </w:r>
      <w:r w:rsidR="00466834">
        <w:rPr>
          <w:sz w:val="24"/>
          <w:szCs w:val="24"/>
        </w:rPr>
        <w:t>e</w:t>
      </w:r>
      <w:r w:rsidR="00513AF6" w:rsidRPr="00513AF6">
        <w:rPr>
          <w:sz w:val="24"/>
          <w:szCs w:val="24"/>
        </w:rPr>
        <w:t xml:space="preserve">conomische, </w:t>
      </w:r>
      <w:r w:rsidR="00466834">
        <w:rPr>
          <w:sz w:val="24"/>
          <w:szCs w:val="24"/>
        </w:rPr>
        <w:t>s</w:t>
      </w:r>
      <w:r w:rsidR="00513AF6" w:rsidRPr="00513AF6">
        <w:rPr>
          <w:sz w:val="24"/>
          <w:szCs w:val="24"/>
        </w:rPr>
        <w:t xml:space="preserve">ociale en </w:t>
      </w:r>
      <w:r w:rsidR="00466834">
        <w:rPr>
          <w:sz w:val="24"/>
          <w:szCs w:val="24"/>
        </w:rPr>
        <w:t>c</w:t>
      </w:r>
      <w:r w:rsidR="00513AF6" w:rsidRPr="00513AF6">
        <w:rPr>
          <w:sz w:val="24"/>
          <w:szCs w:val="24"/>
        </w:rPr>
        <w:t xml:space="preserve">ulturele </w:t>
      </w:r>
      <w:r w:rsidR="00466834">
        <w:rPr>
          <w:sz w:val="24"/>
          <w:szCs w:val="24"/>
        </w:rPr>
        <w:t>r</w:t>
      </w:r>
      <w:r w:rsidR="00513AF6" w:rsidRPr="00513AF6">
        <w:rPr>
          <w:sz w:val="24"/>
          <w:szCs w:val="24"/>
        </w:rPr>
        <w:t>echten</w:t>
      </w:r>
      <w:r w:rsidR="00513AF6">
        <w:rPr>
          <w:sz w:val="24"/>
          <w:szCs w:val="24"/>
        </w:rPr>
        <w:t xml:space="preserve"> (IVESCR),</w:t>
      </w:r>
      <w:r w:rsidR="00513AF6" w:rsidRPr="00121A6A">
        <w:rPr>
          <w:rStyle w:val="FootnoteReference"/>
          <w:sz w:val="24"/>
          <w:szCs w:val="24"/>
        </w:rPr>
        <w:footnoteReference w:id="26"/>
      </w:r>
      <w:r w:rsidRPr="00121A6A">
        <w:rPr>
          <w:sz w:val="24"/>
          <w:szCs w:val="24"/>
        </w:rPr>
        <w:t xml:space="preserve"> buiten beschouwing. Voorts </w:t>
      </w:r>
      <w:r w:rsidR="00DD3FD4" w:rsidRPr="00121A6A">
        <w:rPr>
          <w:sz w:val="24"/>
          <w:szCs w:val="24"/>
        </w:rPr>
        <w:t>ligt de focus op</w:t>
      </w:r>
      <w:r w:rsidR="00601E3B" w:rsidRPr="00121A6A">
        <w:rPr>
          <w:sz w:val="24"/>
          <w:szCs w:val="24"/>
        </w:rPr>
        <w:t xml:space="preserve"> de</w:t>
      </w:r>
      <w:r w:rsidR="0048687B" w:rsidRPr="00121A6A">
        <w:rPr>
          <w:sz w:val="24"/>
          <w:szCs w:val="24"/>
        </w:rPr>
        <w:t xml:space="preserve"> </w:t>
      </w:r>
      <w:r w:rsidR="004F1C39" w:rsidRPr="00121A6A">
        <w:rPr>
          <w:sz w:val="24"/>
          <w:szCs w:val="24"/>
        </w:rPr>
        <w:t xml:space="preserve">botsing </w:t>
      </w:r>
      <w:r w:rsidR="004F1C39" w:rsidRPr="00121A6A">
        <w:rPr>
          <w:sz w:val="24"/>
          <w:szCs w:val="24"/>
        </w:rPr>
        <w:lastRenderedPageBreak/>
        <w:t xml:space="preserve">tussen </w:t>
      </w:r>
      <w:r w:rsidR="00601E3B" w:rsidRPr="00121A6A">
        <w:rPr>
          <w:sz w:val="24"/>
          <w:szCs w:val="24"/>
        </w:rPr>
        <w:t xml:space="preserve">het </w:t>
      </w:r>
      <w:r w:rsidR="004F1C39" w:rsidRPr="00121A6A">
        <w:rPr>
          <w:sz w:val="24"/>
          <w:szCs w:val="24"/>
        </w:rPr>
        <w:t xml:space="preserve">werknemers- en werkgeversbelang in </w:t>
      </w:r>
      <w:r w:rsidR="0048687B" w:rsidRPr="00121A6A">
        <w:rPr>
          <w:sz w:val="24"/>
          <w:szCs w:val="24"/>
        </w:rPr>
        <w:t>nationale</w:t>
      </w:r>
      <w:r w:rsidR="00164F70" w:rsidRPr="00121A6A">
        <w:rPr>
          <w:sz w:val="24"/>
          <w:szCs w:val="24"/>
        </w:rPr>
        <w:t xml:space="preserve"> (Nederlandse)</w:t>
      </w:r>
      <w:r w:rsidR="00DD3FD4" w:rsidRPr="00121A6A">
        <w:rPr>
          <w:sz w:val="24"/>
          <w:szCs w:val="24"/>
        </w:rPr>
        <w:t xml:space="preserve"> stakin</w:t>
      </w:r>
      <w:r w:rsidRPr="00121A6A">
        <w:rPr>
          <w:sz w:val="24"/>
          <w:szCs w:val="24"/>
        </w:rPr>
        <w:t>gsgeschillen</w:t>
      </w:r>
      <w:r w:rsidR="00936C56" w:rsidRPr="00121A6A">
        <w:rPr>
          <w:sz w:val="24"/>
          <w:szCs w:val="24"/>
        </w:rPr>
        <w:t>,</w:t>
      </w:r>
      <w:r w:rsidR="0048687B" w:rsidRPr="00121A6A">
        <w:rPr>
          <w:rStyle w:val="FootnoteReference"/>
          <w:sz w:val="24"/>
          <w:szCs w:val="24"/>
        </w:rPr>
        <w:footnoteReference w:id="27"/>
      </w:r>
      <w:r w:rsidR="00DD3FD4" w:rsidRPr="00121A6A">
        <w:rPr>
          <w:sz w:val="24"/>
          <w:szCs w:val="24"/>
        </w:rPr>
        <w:t xml:space="preserve"> </w:t>
      </w:r>
      <w:r w:rsidR="00936C56" w:rsidRPr="00121A6A">
        <w:rPr>
          <w:sz w:val="24"/>
          <w:szCs w:val="24"/>
        </w:rPr>
        <w:t>waarbij met betrekking tot dit werkgeversbelang een beroep van de werkgever op</w:t>
      </w:r>
      <w:r w:rsidR="00982DF3">
        <w:rPr>
          <w:sz w:val="24"/>
          <w:szCs w:val="24"/>
        </w:rPr>
        <w:t xml:space="preserve"> </w:t>
      </w:r>
      <w:r w:rsidR="00C26768">
        <w:rPr>
          <w:sz w:val="24"/>
          <w:szCs w:val="24"/>
        </w:rPr>
        <w:t xml:space="preserve">de </w:t>
      </w:r>
      <w:r w:rsidR="002556A8">
        <w:rPr>
          <w:sz w:val="24"/>
          <w:szCs w:val="24"/>
        </w:rPr>
        <w:t>zogen</w:t>
      </w:r>
      <w:r w:rsidR="008C6F4B">
        <w:rPr>
          <w:sz w:val="24"/>
          <w:szCs w:val="24"/>
        </w:rPr>
        <w:t>oe</w:t>
      </w:r>
      <w:r w:rsidR="002556A8">
        <w:rPr>
          <w:sz w:val="24"/>
          <w:szCs w:val="24"/>
        </w:rPr>
        <w:t>mde ‘</w:t>
      </w:r>
      <w:r w:rsidR="00936C56" w:rsidRPr="00121A6A">
        <w:rPr>
          <w:sz w:val="24"/>
          <w:szCs w:val="24"/>
        </w:rPr>
        <w:t xml:space="preserve">negatieve </w:t>
      </w:r>
      <w:r w:rsidR="009A51A7" w:rsidRPr="00121A6A">
        <w:rPr>
          <w:sz w:val="24"/>
          <w:szCs w:val="24"/>
        </w:rPr>
        <w:t>vakvereniging</w:t>
      </w:r>
      <w:r w:rsidR="00936C56" w:rsidRPr="00121A6A">
        <w:rPr>
          <w:sz w:val="24"/>
          <w:szCs w:val="24"/>
        </w:rPr>
        <w:t>svrijheid</w:t>
      </w:r>
      <w:r w:rsidR="002556A8">
        <w:rPr>
          <w:sz w:val="24"/>
          <w:szCs w:val="24"/>
        </w:rPr>
        <w:t>’</w:t>
      </w:r>
      <w:r w:rsidR="00936C56" w:rsidRPr="00121A6A">
        <w:rPr>
          <w:sz w:val="24"/>
          <w:szCs w:val="24"/>
        </w:rPr>
        <w:t xml:space="preserve"> </w:t>
      </w:r>
      <w:r w:rsidR="0099558E" w:rsidRPr="00121A6A">
        <w:rPr>
          <w:sz w:val="24"/>
          <w:szCs w:val="24"/>
        </w:rPr>
        <w:t>onbesproken</w:t>
      </w:r>
      <w:r w:rsidR="00936C56" w:rsidRPr="00121A6A">
        <w:rPr>
          <w:sz w:val="24"/>
          <w:szCs w:val="24"/>
        </w:rPr>
        <w:t xml:space="preserve"> blijft.</w:t>
      </w:r>
      <w:r w:rsidR="00936C56" w:rsidRPr="00121A6A">
        <w:rPr>
          <w:rStyle w:val="FootnoteReference"/>
          <w:sz w:val="24"/>
          <w:szCs w:val="24"/>
        </w:rPr>
        <w:footnoteReference w:id="28"/>
      </w:r>
      <w:r w:rsidR="00936C56" w:rsidRPr="00121A6A">
        <w:rPr>
          <w:sz w:val="24"/>
          <w:szCs w:val="24"/>
        </w:rPr>
        <w:t xml:space="preserve"> </w:t>
      </w:r>
      <w:r w:rsidR="004F1C39" w:rsidRPr="00121A6A">
        <w:rPr>
          <w:sz w:val="24"/>
          <w:szCs w:val="24"/>
        </w:rPr>
        <w:t>Ten slotte</w:t>
      </w:r>
      <w:r w:rsidR="00DF1C5D" w:rsidRPr="00121A6A">
        <w:rPr>
          <w:sz w:val="24"/>
          <w:szCs w:val="24"/>
        </w:rPr>
        <w:t xml:space="preserve"> wordt b</w:t>
      </w:r>
      <w:r w:rsidR="006F216B" w:rsidRPr="00121A6A">
        <w:rPr>
          <w:sz w:val="24"/>
          <w:szCs w:val="24"/>
        </w:rPr>
        <w:t xml:space="preserve">ij </w:t>
      </w:r>
      <w:r w:rsidR="00215488" w:rsidRPr="00121A6A">
        <w:rPr>
          <w:sz w:val="24"/>
          <w:szCs w:val="24"/>
        </w:rPr>
        <w:t xml:space="preserve">de </w:t>
      </w:r>
      <w:r w:rsidR="006F216B" w:rsidRPr="00121A6A">
        <w:rPr>
          <w:sz w:val="24"/>
          <w:szCs w:val="24"/>
        </w:rPr>
        <w:t xml:space="preserve">bespreking van stakingen </w:t>
      </w:r>
      <w:r w:rsidR="00215488" w:rsidRPr="00121A6A">
        <w:rPr>
          <w:sz w:val="24"/>
          <w:szCs w:val="24"/>
        </w:rPr>
        <w:t xml:space="preserve">die </w:t>
      </w:r>
      <w:r w:rsidR="006F216B" w:rsidRPr="00121A6A">
        <w:rPr>
          <w:sz w:val="24"/>
          <w:szCs w:val="24"/>
        </w:rPr>
        <w:t xml:space="preserve">het vrij verkeer belemmeren, bij gebrek aan relevante wetgeving en rechtspraak, niet ingegaan op het vrije kapitaalverkeer en het vrij verkeer van werknemers. In zoverre is dit onderzoek beperkt tot stakingen die het vrij verkeer van goederen, de </w:t>
      </w:r>
      <w:r w:rsidR="00056AB4" w:rsidRPr="00121A6A">
        <w:rPr>
          <w:sz w:val="24"/>
          <w:szCs w:val="24"/>
        </w:rPr>
        <w:t>vestigingsvrijheid</w:t>
      </w:r>
      <w:r w:rsidR="006F216B" w:rsidRPr="00121A6A">
        <w:rPr>
          <w:sz w:val="24"/>
          <w:szCs w:val="24"/>
        </w:rPr>
        <w:t>, het vrij</w:t>
      </w:r>
      <w:r w:rsidR="00056AB4" w:rsidRPr="00121A6A">
        <w:rPr>
          <w:sz w:val="24"/>
          <w:szCs w:val="24"/>
        </w:rPr>
        <w:t>e</w:t>
      </w:r>
      <w:r w:rsidR="006F216B" w:rsidRPr="00121A6A">
        <w:rPr>
          <w:sz w:val="24"/>
          <w:szCs w:val="24"/>
        </w:rPr>
        <w:t xml:space="preserve"> </w:t>
      </w:r>
      <w:r w:rsidR="00056AB4" w:rsidRPr="00121A6A">
        <w:rPr>
          <w:sz w:val="24"/>
          <w:szCs w:val="24"/>
        </w:rPr>
        <w:t>diensten</w:t>
      </w:r>
      <w:r w:rsidR="006F216B" w:rsidRPr="00121A6A">
        <w:rPr>
          <w:sz w:val="24"/>
          <w:szCs w:val="24"/>
        </w:rPr>
        <w:t>verkeer en/of de vrijheid van ondernemerschap belemmeren.</w:t>
      </w:r>
    </w:p>
    <w:p w14:paraId="55E572F4" w14:textId="77777777" w:rsidR="000E6BB9" w:rsidRDefault="000E6BB9" w:rsidP="0035447F">
      <w:pPr>
        <w:spacing w:after="0"/>
        <w:jc w:val="both"/>
        <w:rPr>
          <w:sz w:val="24"/>
          <w:szCs w:val="24"/>
        </w:rPr>
      </w:pPr>
    </w:p>
    <w:p w14:paraId="5DD6B456" w14:textId="77777777" w:rsidR="000E6BB9" w:rsidRDefault="000E6BB9" w:rsidP="000E6BB9">
      <w:pPr>
        <w:pStyle w:val="Heading2"/>
        <w:rPr>
          <w:sz w:val="24"/>
          <w:szCs w:val="24"/>
        </w:rPr>
      </w:pPr>
      <w:bookmarkStart w:id="14" w:name="_Toc169963041"/>
      <w:r>
        <w:rPr>
          <w:sz w:val="24"/>
          <w:szCs w:val="24"/>
        </w:rPr>
        <w:t>1.8 Hoofdstukindeling</w:t>
      </w:r>
      <w:bookmarkEnd w:id="14"/>
    </w:p>
    <w:p w14:paraId="217541B5" w14:textId="5D412323" w:rsidR="00BA3986" w:rsidRPr="00121A6A" w:rsidRDefault="007A6C3E" w:rsidP="0035447F">
      <w:pPr>
        <w:spacing w:after="0"/>
        <w:jc w:val="both"/>
        <w:rPr>
          <w:sz w:val="24"/>
          <w:szCs w:val="24"/>
        </w:rPr>
      </w:pPr>
      <w:r>
        <w:rPr>
          <w:sz w:val="24"/>
          <w:szCs w:val="24"/>
        </w:rPr>
        <w:t>Hierna</w:t>
      </w:r>
      <w:r w:rsidR="000E6BB9">
        <w:rPr>
          <w:sz w:val="24"/>
          <w:szCs w:val="24"/>
        </w:rPr>
        <w:t xml:space="preserve"> </w:t>
      </w:r>
      <w:r>
        <w:rPr>
          <w:sz w:val="24"/>
          <w:szCs w:val="24"/>
        </w:rPr>
        <w:t xml:space="preserve">volgt </w:t>
      </w:r>
      <w:r w:rsidR="000E6BB9">
        <w:rPr>
          <w:sz w:val="24"/>
          <w:szCs w:val="24"/>
        </w:rPr>
        <w:t>a</w:t>
      </w:r>
      <w:r w:rsidR="000E6BB9" w:rsidRPr="00121A6A">
        <w:rPr>
          <w:sz w:val="24"/>
          <w:szCs w:val="24"/>
        </w:rPr>
        <w:t xml:space="preserve">llereerst </w:t>
      </w:r>
      <w:r>
        <w:rPr>
          <w:sz w:val="24"/>
          <w:szCs w:val="24"/>
        </w:rPr>
        <w:t xml:space="preserve">een analyse van </w:t>
      </w:r>
      <w:r w:rsidR="000E6BB9" w:rsidRPr="00121A6A">
        <w:rPr>
          <w:sz w:val="24"/>
          <w:szCs w:val="24"/>
        </w:rPr>
        <w:t>artikel 28 Hv</w:t>
      </w:r>
      <w:r>
        <w:rPr>
          <w:sz w:val="24"/>
          <w:szCs w:val="24"/>
        </w:rPr>
        <w:t>, bezien</w:t>
      </w:r>
      <w:r w:rsidR="000E6BB9" w:rsidRPr="00121A6A">
        <w:rPr>
          <w:sz w:val="24"/>
          <w:szCs w:val="24"/>
        </w:rPr>
        <w:t xml:space="preserve"> tegen de achtergrond van de rechtsontwikkelingen in de EU sinds </w:t>
      </w:r>
      <w:r w:rsidR="000E6BB9" w:rsidRPr="00121A6A">
        <w:rPr>
          <w:i/>
          <w:iCs/>
          <w:sz w:val="24"/>
          <w:szCs w:val="24"/>
        </w:rPr>
        <w:t>Viking</w:t>
      </w:r>
      <w:r w:rsidR="000E6BB9" w:rsidRPr="00121A6A">
        <w:rPr>
          <w:sz w:val="24"/>
          <w:szCs w:val="24"/>
        </w:rPr>
        <w:t xml:space="preserve"> en </w:t>
      </w:r>
      <w:r w:rsidR="000E6BB9" w:rsidRPr="00121A6A">
        <w:rPr>
          <w:i/>
          <w:iCs/>
          <w:sz w:val="24"/>
          <w:szCs w:val="24"/>
        </w:rPr>
        <w:t xml:space="preserve">Laval </w:t>
      </w:r>
      <w:r w:rsidR="000E6BB9" w:rsidRPr="00121A6A">
        <w:rPr>
          <w:sz w:val="24"/>
          <w:szCs w:val="24"/>
        </w:rPr>
        <w:t>(</w:t>
      </w:r>
      <w:proofErr w:type="spellStart"/>
      <w:r w:rsidR="000E6BB9" w:rsidRPr="00121A6A">
        <w:rPr>
          <w:sz w:val="24"/>
          <w:szCs w:val="24"/>
        </w:rPr>
        <w:t>hfst</w:t>
      </w:r>
      <w:proofErr w:type="spellEnd"/>
      <w:r w:rsidR="000E6BB9" w:rsidRPr="00121A6A">
        <w:rPr>
          <w:sz w:val="24"/>
          <w:szCs w:val="24"/>
        </w:rPr>
        <w:t xml:space="preserve">. 2). Vervolgens wordt nagegaan hoe het EHRM, de </w:t>
      </w:r>
      <w:proofErr w:type="spellStart"/>
      <w:r w:rsidR="000E6BB9" w:rsidRPr="00121A6A">
        <w:rPr>
          <w:sz w:val="24"/>
          <w:szCs w:val="24"/>
        </w:rPr>
        <w:t>CoE</w:t>
      </w:r>
      <w:proofErr w:type="spellEnd"/>
      <w:r w:rsidR="000E6BB9" w:rsidRPr="00121A6A">
        <w:rPr>
          <w:sz w:val="24"/>
          <w:szCs w:val="24"/>
        </w:rPr>
        <w:t xml:space="preserve">/CFA en het ECSR oordelen over de verhouding tussen </w:t>
      </w:r>
      <w:r w:rsidR="00D31357">
        <w:rPr>
          <w:sz w:val="24"/>
          <w:szCs w:val="24"/>
        </w:rPr>
        <w:t>het</w:t>
      </w:r>
      <w:r w:rsidR="000E6BB9" w:rsidRPr="00121A6A">
        <w:rPr>
          <w:sz w:val="24"/>
          <w:szCs w:val="24"/>
        </w:rPr>
        <w:t xml:space="preserve"> </w:t>
      </w:r>
      <w:r w:rsidR="00D31357">
        <w:rPr>
          <w:sz w:val="24"/>
          <w:szCs w:val="24"/>
        </w:rPr>
        <w:t>stakings</w:t>
      </w:r>
      <w:r w:rsidR="000E6BB9" w:rsidRPr="00121A6A">
        <w:rPr>
          <w:sz w:val="24"/>
          <w:szCs w:val="24"/>
        </w:rPr>
        <w:t xml:space="preserve">recht en </w:t>
      </w:r>
      <w:r w:rsidR="00C245A2">
        <w:rPr>
          <w:sz w:val="24"/>
          <w:szCs w:val="24"/>
        </w:rPr>
        <w:t xml:space="preserve">de </w:t>
      </w:r>
      <w:r w:rsidR="000E6BB9" w:rsidRPr="00121A6A">
        <w:rPr>
          <w:sz w:val="24"/>
          <w:szCs w:val="24"/>
        </w:rPr>
        <w:t xml:space="preserve">economische belangen van de werkgever, inclusief </w:t>
      </w:r>
      <w:r w:rsidR="001E14C0">
        <w:rPr>
          <w:sz w:val="24"/>
          <w:szCs w:val="24"/>
        </w:rPr>
        <w:t>zijn</w:t>
      </w:r>
      <w:r w:rsidR="000E6BB9" w:rsidRPr="00121A6A">
        <w:rPr>
          <w:sz w:val="24"/>
          <w:szCs w:val="24"/>
        </w:rPr>
        <w:t xml:space="preserve"> </w:t>
      </w:r>
      <w:r w:rsidR="002359C1">
        <w:rPr>
          <w:sz w:val="24"/>
          <w:szCs w:val="24"/>
        </w:rPr>
        <w:t>recht op vrij verkeer</w:t>
      </w:r>
      <w:r w:rsidR="000E6BB9" w:rsidRPr="00121A6A">
        <w:rPr>
          <w:sz w:val="24"/>
          <w:szCs w:val="24"/>
        </w:rPr>
        <w:t>. Daarbij wordt hun visie afgezet tegen die van het HvJ. Tevens wordt onderzocht in hoeverre de internationale toetsingskaders het stakingskader van het HvJ (zouden moeten) beïnvloeden</w:t>
      </w:r>
      <w:r w:rsidR="00350496">
        <w:rPr>
          <w:sz w:val="24"/>
          <w:szCs w:val="24"/>
        </w:rPr>
        <w:t xml:space="preserve"> </w:t>
      </w:r>
      <w:r w:rsidR="00350496" w:rsidRPr="00121A6A">
        <w:rPr>
          <w:sz w:val="24"/>
          <w:szCs w:val="24"/>
        </w:rPr>
        <w:t>(</w:t>
      </w:r>
      <w:proofErr w:type="spellStart"/>
      <w:r w:rsidR="00350496" w:rsidRPr="00121A6A">
        <w:rPr>
          <w:sz w:val="24"/>
          <w:szCs w:val="24"/>
        </w:rPr>
        <w:t>hfst</w:t>
      </w:r>
      <w:proofErr w:type="spellEnd"/>
      <w:r w:rsidR="00350496" w:rsidRPr="00121A6A">
        <w:rPr>
          <w:sz w:val="24"/>
          <w:szCs w:val="24"/>
        </w:rPr>
        <w:t>. 3)</w:t>
      </w:r>
      <w:r w:rsidR="000E6BB9" w:rsidRPr="00121A6A">
        <w:rPr>
          <w:sz w:val="24"/>
          <w:szCs w:val="24"/>
        </w:rPr>
        <w:t xml:space="preserve">. In het verlengde daarvan wordt tot slot de (voor zover mij bekend) nog niet eerder aan de orde gestelde principiële vraag besproken in hoeverre het </w:t>
      </w:r>
      <w:r w:rsidR="00D31357">
        <w:rPr>
          <w:sz w:val="24"/>
          <w:szCs w:val="24"/>
        </w:rPr>
        <w:t>Hof</w:t>
      </w:r>
      <w:r w:rsidR="000E6BB9" w:rsidRPr="00121A6A">
        <w:rPr>
          <w:sz w:val="24"/>
          <w:szCs w:val="24"/>
        </w:rPr>
        <w:t xml:space="preserve"> zich, gelet op de beperkte reikwijdte van het Handvest</w:t>
      </w:r>
      <w:r w:rsidR="00700C70">
        <w:rPr>
          <w:sz w:val="24"/>
          <w:szCs w:val="24"/>
        </w:rPr>
        <w:t xml:space="preserve"> en het op economische vrijheden geënte Unierechtelijke systeem</w:t>
      </w:r>
      <w:r w:rsidR="000E6BB9" w:rsidRPr="00121A6A">
        <w:rPr>
          <w:sz w:val="24"/>
          <w:szCs w:val="24"/>
        </w:rPr>
        <w:t xml:space="preserve">, </w:t>
      </w:r>
      <w:r w:rsidR="002359C1">
        <w:rPr>
          <w:sz w:val="24"/>
          <w:szCs w:val="24"/>
        </w:rPr>
        <w:t>volledig</w:t>
      </w:r>
      <w:r w:rsidR="000E6BB9" w:rsidRPr="00121A6A">
        <w:rPr>
          <w:sz w:val="24"/>
          <w:szCs w:val="24"/>
        </w:rPr>
        <w:t xml:space="preserve"> </w:t>
      </w:r>
      <w:r w:rsidR="002670A7">
        <w:rPr>
          <w:sz w:val="24"/>
          <w:szCs w:val="24"/>
        </w:rPr>
        <w:t>kan</w:t>
      </w:r>
      <w:r w:rsidR="000E6BB9" w:rsidRPr="00121A6A">
        <w:rPr>
          <w:sz w:val="24"/>
          <w:szCs w:val="24"/>
        </w:rPr>
        <w:t xml:space="preserve"> richten naar de stakingsrechtspraak van de andere instituties (</w:t>
      </w:r>
      <w:proofErr w:type="spellStart"/>
      <w:r w:rsidR="000E6BB9" w:rsidRPr="00121A6A">
        <w:rPr>
          <w:sz w:val="24"/>
          <w:szCs w:val="24"/>
        </w:rPr>
        <w:t>hfst</w:t>
      </w:r>
      <w:proofErr w:type="spellEnd"/>
      <w:r w:rsidR="000E6BB9" w:rsidRPr="00121A6A">
        <w:rPr>
          <w:sz w:val="24"/>
          <w:szCs w:val="24"/>
        </w:rPr>
        <w:t>. 4).</w:t>
      </w:r>
      <w:r w:rsidR="00350496" w:rsidRPr="00350496">
        <w:rPr>
          <w:sz w:val="24"/>
          <w:szCs w:val="24"/>
        </w:rPr>
        <w:t xml:space="preserve"> </w:t>
      </w:r>
      <w:r w:rsidR="00350496" w:rsidRPr="00121A6A">
        <w:rPr>
          <w:sz w:val="24"/>
          <w:szCs w:val="24"/>
        </w:rPr>
        <w:t xml:space="preserve">Via die weg wordt </w:t>
      </w:r>
      <w:r w:rsidR="00A91972">
        <w:rPr>
          <w:sz w:val="24"/>
          <w:szCs w:val="24"/>
        </w:rPr>
        <w:t xml:space="preserve">in de conclusie </w:t>
      </w:r>
      <w:r w:rsidR="0037568F">
        <w:rPr>
          <w:sz w:val="24"/>
          <w:szCs w:val="24"/>
        </w:rPr>
        <w:t xml:space="preserve">de (on)mogelijkheid van </w:t>
      </w:r>
      <w:r w:rsidR="00700C70">
        <w:rPr>
          <w:sz w:val="24"/>
          <w:szCs w:val="24"/>
        </w:rPr>
        <w:t xml:space="preserve">een </w:t>
      </w:r>
      <w:r w:rsidR="00700C70" w:rsidRPr="002670A7">
        <w:rPr>
          <w:sz w:val="24"/>
          <w:szCs w:val="24"/>
        </w:rPr>
        <w:t>EVRM-, ILO- en</w:t>
      </w:r>
      <w:r w:rsidR="008C6F4B">
        <w:rPr>
          <w:sz w:val="24"/>
          <w:szCs w:val="24"/>
        </w:rPr>
        <w:t>/of</w:t>
      </w:r>
      <w:r w:rsidR="00700C70" w:rsidRPr="002670A7">
        <w:rPr>
          <w:sz w:val="24"/>
          <w:szCs w:val="24"/>
        </w:rPr>
        <w:t xml:space="preserve"> ESH-conforme interpretatie van artikel 28 Hv</w:t>
      </w:r>
      <w:r w:rsidR="00700C70" w:rsidRPr="00121A6A">
        <w:rPr>
          <w:sz w:val="24"/>
          <w:szCs w:val="24"/>
        </w:rPr>
        <w:t xml:space="preserve"> </w:t>
      </w:r>
      <w:r w:rsidR="0037568F" w:rsidRPr="00121A6A">
        <w:rPr>
          <w:sz w:val="24"/>
          <w:szCs w:val="24"/>
        </w:rPr>
        <w:t>in kaart gebracht</w:t>
      </w:r>
      <w:r w:rsidR="008C6F4B">
        <w:rPr>
          <w:sz w:val="24"/>
          <w:szCs w:val="24"/>
        </w:rPr>
        <w:t xml:space="preserve"> (</w:t>
      </w:r>
      <w:proofErr w:type="spellStart"/>
      <w:r w:rsidR="008C6F4B">
        <w:rPr>
          <w:sz w:val="24"/>
          <w:szCs w:val="24"/>
        </w:rPr>
        <w:t>hfst</w:t>
      </w:r>
      <w:proofErr w:type="spellEnd"/>
      <w:r w:rsidR="008C6F4B">
        <w:rPr>
          <w:sz w:val="24"/>
          <w:szCs w:val="24"/>
        </w:rPr>
        <w:t>. 5)</w:t>
      </w:r>
      <w:r w:rsidR="00700C70">
        <w:rPr>
          <w:sz w:val="24"/>
          <w:szCs w:val="24"/>
        </w:rPr>
        <w:t>.</w:t>
      </w:r>
      <w:r w:rsidR="00BA3986" w:rsidRPr="00121A6A">
        <w:rPr>
          <w:sz w:val="24"/>
          <w:szCs w:val="24"/>
        </w:rPr>
        <w:br w:type="page"/>
      </w:r>
    </w:p>
    <w:p w14:paraId="5643495C" w14:textId="7E3923B7" w:rsidR="00BA3986" w:rsidRPr="00121A6A" w:rsidRDefault="00BA3986" w:rsidP="00E534A3">
      <w:pPr>
        <w:pStyle w:val="Heading1"/>
        <w:rPr>
          <w:szCs w:val="24"/>
        </w:rPr>
      </w:pPr>
      <w:bookmarkStart w:id="15" w:name="_Toc169963042"/>
      <w:r w:rsidRPr="00121A6A">
        <w:rPr>
          <w:szCs w:val="24"/>
        </w:rPr>
        <w:lastRenderedPageBreak/>
        <w:t>Hoofdstuk 2</w:t>
      </w:r>
      <w:r w:rsidR="009F557F" w:rsidRPr="00121A6A">
        <w:rPr>
          <w:szCs w:val="24"/>
        </w:rPr>
        <w:t>.</w:t>
      </w:r>
      <w:r w:rsidRPr="00121A6A">
        <w:rPr>
          <w:szCs w:val="24"/>
        </w:rPr>
        <w:t xml:space="preserve"> Het stakingsrecht </w:t>
      </w:r>
      <w:r w:rsidR="00D33B14" w:rsidRPr="00121A6A">
        <w:rPr>
          <w:szCs w:val="24"/>
        </w:rPr>
        <w:t>in de Europese Unie</w:t>
      </w:r>
      <w:bookmarkEnd w:id="15"/>
    </w:p>
    <w:p w14:paraId="45F48C6B" w14:textId="77777777" w:rsidR="00BA3986" w:rsidRPr="00121A6A" w:rsidRDefault="00BA3986" w:rsidP="00BA3986">
      <w:pPr>
        <w:spacing w:after="0"/>
        <w:jc w:val="both"/>
        <w:rPr>
          <w:sz w:val="24"/>
          <w:szCs w:val="24"/>
        </w:rPr>
      </w:pPr>
    </w:p>
    <w:p w14:paraId="613E2F6C" w14:textId="1C09E21B" w:rsidR="00BA3986" w:rsidRPr="00121A6A" w:rsidRDefault="00BA3986" w:rsidP="00BA3986">
      <w:pPr>
        <w:pStyle w:val="Heading2"/>
        <w:rPr>
          <w:b w:val="0"/>
          <w:bCs w:val="0"/>
          <w:sz w:val="24"/>
          <w:szCs w:val="24"/>
        </w:rPr>
      </w:pPr>
      <w:bookmarkStart w:id="16" w:name="_Toc169963043"/>
      <w:r w:rsidRPr="00121A6A">
        <w:rPr>
          <w:sz w:val="24"/>
          <w:szCs w:val="24"/>
        </w:rPr>
        <w:t>2.1 Inhoud</w:t>
      </w:r>
      <w:bookmarkEnd w:id="16"/>
    </w:p>
    <w:p w14:paraId="4C62E419" w14:textId="42767564" w:rsidR="00D33B14" w:rsidRPr="00121A6A" w:rsidRDefault="008E33CF" w:rsidP="00C21CF9">
      <w:pPr>
        <w:spacing w:after="0"/>
        <w:jc w:val="both"/>
        <w:rPr>
          <w:sz w:val="24"/>
          <w:szCs w:val="24"/>
        </w:rPr>
      </w:pPr>
      <w:r w:rsidRPr="00121A6A">
        <w:rPr>
          <w:sz w:val="24"/>
          <w:szCs w:val="24"/>
        </w:rPr>
        <w:t xml:space="preserve">In dit hoofdstuk </w:t>
      </w:r>
      <w:r w:rsidR="00FE4D6C" w:rsidRPr="00121A6A">
        <w:rPr>
          <w:sz w:val="24"/>
          <w:szCs w:val="24"/>
        </w:rPr>
        <w:t xml:space="preserve">wordt de </w:t>
      </w:r>
      <w:r w:rsidR="001A2082">
        <w:rPr>
          <w:sz w:val="24"/>
          <w:szCs w:val="24"/>
        </w:rPr>
        <w:t xml:space="preserve">huidige </w:t>
      </w:r>
      <w:r w:rsidR="0032513B" w:rsidRPr="00121A6A">
        <w:rPr>
          <w:sz w:val="24"/>
          <w:szCs w:val="24"/>
        </w:rPr>
        <w:t>rol</w:t>
      </w:r>
      <w:r w:rsidR="00FE4D6C" w:rsidRPr="00121A6A">
        <w:rPr>
          <w:sz w:val="24"/>
          <w:szCs w:val="24"/>
        </w:rPr>
        <w:t xml:space="preserve"> </w:t>
      </w:r>
      <w:r w:rsidR="0032513B" w:rsidRPr="00121A6A">
        <w:rPr>
          <w:sz w:val="24"/>
          <w:szCs w:val="24"/>
        </w:rPr>
        <w:t xml:space="preserve">en relevantie </w:t>
      </w:r>
      <w:r w:rsidR="00FE4D6C" w:rsidRPr="00121A6A">
        <w:rPr>
          <w:sz w:val="24"/>
          <w:szCs w:val="24"/>
        </w:rPr>
        <w:t xml:space="preserve">van het stakingsrecht van artikel 28 Hv </w:t>
      </w:r>
      <w:r w:rsidRPr="00121A6A">
        <w:rPr>
          <w:sz w:val="24"/>
          <w:szCs w:val="24"/>
        </w:rPr>
        <w:t>vastgesteld</w:t>
      </w:r>
      <w:r w:rsidR="00FE4D6C" w:rsidRPr="00121A6A">
        <w:rPr>
          <w:sz w:val="24"/>
          <w:szCs w:val="24"/>
        </w:rPr>
        <w:t>. Daartoe wordt aangevangen</w:t>
      </w:r>
      <w:r w:rsidR="00016BA8" w:rsidRPr="00121A6A">
        <w:rPr>
          <w:sz w:val="24"/>
          <w:szCs w:val="24"/>
        </w:rPr>
        <w:t xml:space="preserve"> met</w:t>
      </w:r>
      <w:r w:rsidR="0057407C" w:rsidRPr="00121A6A">
        <w:rPr>
          <w:sz w:val="24"/>
          <w:szCs w:val="24"/>
        </w:rPr>
        <w:t xml:space="preserve"> een uiteenzetting van </w:t>
      </w:r>
      <w:r w:rsidR="00016BA8" w:rsidRPr="00121A6A">
        <w:rPr>
          <w:sz w:val="24"/>
          <w:szCs w:val="24"/>
        </w:rPr>
        <w:t xml:space="preserve">de arresten </w:t>
      </w:r>
      <w:r w:rsidR="00016BA8" w:rsidRPr="00121A6A">
        <w:rPr>
          <w:i/>
          <w:iCs/>
          <w:sz w:val="24"/>
          <w:szCs w:val="24"/>
        </w:rPr>
        <w:t xml:space="preserve">Viking </w:t>
      </w:r>
      <w:r w:rsidR="00016BA8" w:rsidRPr="00121A6A">
        <w:rPr>
          <w:sz w:val="24"/>
          <w:szCs w:val="24"/>
        </w:rPr>
        <w:t xml:space="preserve">en </w:t>
      </w:r>
      <w:r w:rsidR="00016BA8" w:rsidRPr="00121A6A">
        <w:rPr>
          <w:i/>
          <w:iCs/>
          <w:sz w:val="24"/>
          <w:szCs w:val="24"/>
        </w:rPr>
        <w:t>Laval</w:t>
      </w:r>
      <w:r w:rsidR="004E0C21" w:rsidRPr="00121A6A">
        <w:rPr>
          <w:i/>
          <w:iCs/>
          <w:sz w:val="24"/>
          <w:szCs w:val="24"/>
        </w:rPr>
        <w:t xml:space="preserve"> </w:t>
      </w:r>
      <w:r w:rsidR="004E0C21" w:rsidRPr="00121A6A">
        <w:rPr>
          <w:sz w:val="24"/>
          <w:szCs w:val="24"/>
        </w:rPr>
        <w:t>(par. 2.2)</w:t>
      </w:r>
      <w:r w:rsidR="0057407C" w:rsidRPr="00121A6A">
        <w:rPr>
          <w:sz w:val="24"/>
          <w:szCs w:val="24"/>
        </w:rPr>
        <w:t>. Vervolgens wordt ingegaan op de vraag of deze (verouderde) rechtspraak nu nog zou</w:t>
      </w:r>
      <w:r w:rsidR="00743491" w:rsidRPr="00121A6A">
        <w:rPr>
          <w:sz w:val="24"/>
          <w:szCs w:val="24"/>
        </w:rPr>
        <w:t xml:space="preserve"> </w:t>
      </w:r>
      <w:r w:rsidR="0057407C" w:rsidRPr="00121A6A">
        <w:rPr>
          <w:sz w:val="24"/>
          <w:szCs w:val="24"/>
        </w:rPr>
        <w:t>worden gewezen, dan wel dat het Hof</w:t>
      </w:r>
      <w:r w:rsidR="00476D82" w:rsidRPr="00121A6A">
        <w:rPr>
          <w:sz w:val="24"/>
          <w:szCs w:val="24"/>
        </w:rPr>
        <w:t xml:space="preserve"> </w:t>
      </w:r>
      <w:r w:rsidR="0057407C" w:rsidRPr="00121A6A">
        <w:rPr>
          <w:sz w:val="24"/>
          <w:szCs w:val="24"/>
        </w:rPr>
        <w:t xml:space="preserve">thans een </w:t>
      </w:r>
      <w:r w:rsidR="000C4A36">
        <w:rPr>
          <w:sz w:val="24"/>
          <w:szCs w:val="24"/>
        </w:rPr>
        <w:t>evenwichtigere</w:t>
      </w:r>
      <w:r w:rsidR="0057407C" w:rsidRPr="00121A6A">
        <w:rPr>
          <w:sz w:val="24"/>
          <w:szCs w:val="24"/>
        </w:rPr>
        <w:t xml:space="preserve"> </w:t>
      </w:r>
      <w:r w:rsidR="000C4A36">
        <w:rPr>
          <w:sz w:val="24"/>
          <w:szCs w:val="24"/>
        </w:rPr>
        <w:t>afweging</w:t>
      </w:r>
      <w:r w:rsidR="0057407C" w:rsidRPr="00121A6A">
        <w:rPr>
          <w:sz w:val="24"/>
          <w:szCs w:val="24"/>
        </w:rPr>
        <w:t xml:space="preserve"> </w:t>
      </w:r>
      <w:r w:rsidR="00743491" w:rsidRPr="00121A6A">
        <w:rPr>
          <w:sz w:val="24"/>
          <w:szCs w:val="24"/>
        </w:rPr>
        <w:t>zou (moeten)</w:t>
      </w:r>
      <w:r w:rsidR="000C4A36">
        <w:rPr>
          <w:sz w:val="24"/>
          <w:szCs w:val="24"/>
        </w:rPr>
        <w:t xml:space="preserve"> maken</w:t>
      </w:r>
      <w:r w:rsidR="0057407C" w:rsidRPr="00121A6A">
        <w:rPr>
          <w:sz w:val="24"/>
          <w:szCs w:val="24"/>
        </w:rPr>
        <w:t xml:space="preserve">. </w:t>
      </w:r>
      <w:r w:rsidR="00FE4D6C" w:rsidRPr="00121A6A">
        <w:rPr>
          <w:sz w:val="24"/>
          <w:szCs w:val="24"/>
        </w:rPr>
        <w:t>Te dien einde</w:t>
      </w:r>
      <w:r w:rsidR="0057407C" w:rsidRPr="00121A6A">
        <w:rPr>
          <w:sz w:val="24"/>
          <w:szCs w:val="24"/>
        </w:rPr>
        <w:t xml:space="preserve"> worden</w:t>
      </w:r>
      <w:r w:rsidR="00C73226" w:rsidRPr="00121A6A">
        <w:rPr>
          <w:sz w:val="24"/>
          <w:szCs w:val="24"/>
        </w:rPr>
        <w:t xml:space="preserve"> beide arresten</w:t>
      </w:r>
      <w:r w:rsidR="0057407C" w:rsidRPr="00121A6A">
        <w:rPr>
          <w:i/>
          <w:iCs/>
          <w:sz w:val="24"/>
          <w:szCs w:val="24"/>
        </w:rPr>
        <w:t xml:space="preserve"> </w:t>
      </w:r>
      <w:r w:rsidR="0057407C" w:rsidRPr="00121A6A">
        <w:rPr>
          <w:sz w:val="24"/>
          <w:szCs w:val="24"/>
        </w:rPr>
        <w:t xml:space="preserve">geplaatst tegen de achtergrond van de rechtsontwikkelingen in de </w:t>
      </w:r>
      <w:r w:rsidR="00A65B8D" w:rsidRPr="00121A6A">
        <w:rPr>
          <w:sz w:val="24"/>
          <w:szCs w:val="24"/>
        </w:rPr>
        <w:t>EU</w:t>
      </w:r>
      <w:r w:rsidR="0057407C" w:rsidRPr="00121A6A">
        <w:rPr>
          <w:sz w:val="24"/>
          <w:szCs w:val="24"/>
        </w:rPr>
        <w:t xml:space="preserve"> sindsdien. Achtereenvolgens wordt</w:t>
      </w:r>
      <w:r w:rsidR="00E94187">
        <w:rPr>
          <w:sz w:val="24"/>
          <w:szCs w:val="24"/>
        </w:rPr>
        <w:t xml:space="preserve"> daarbij</w:t>
      </w:r>
      <w:r w:rsidR="0057407C" w:rsidRPr="00121A6A">
        <w:rPr>
          <w:sz w:val="24"/>
          <w:szCs w:val="24"/>
        </w:rPr>
        <w:t xml:space="preserve"> aandacht besteed aan het </w:t>
      </w:r>
      <w:r w:rsidR="006C6CC1" w:rsidRPr="00121A6A">
        <w:rPr>
          <w:sz w:val="24"/>
          <w:szCs w:val="24"/>
        </w:rPr>
        <w:t>Lissabonverdrag</w:t>
      </w:r>
      <w:r w:rsidR="0057407C" w:rsidRPr="00121A6A">
        <w:rPr>
          <w:sz w:val="24"/>
          <w:szCs w:val="24"/>
        </w:rPr>
        <w:t xml:space="preserve">, de Monti II-verordening, de </w:t>
      </w:r>
      <w:r w:rsidR="001A2082">
        <w:rPr>
          <w:sz w:val="24"/>
          <w:szCs w:val="24"/>
        </w:rPr>
        <w:t xml:space="preserve">Europese </w:t>
      </w:r>
      <w:r w:rsidR="0057407C" w:rsidRPr="00121A6A">
        <w:rPr>
          <w:sz w:val="24"/>
          <w:szCs w:val="24"/>
        </w:rPr>
        <w:t xml:space="preserve">Pijler </w:t>
      </w:r>
      <w:r w:rsidR="001A2082">
        <w:rPr>
          <w:sz w:val="24"/>
          <w:szCs w:val="24"/>
        </w:rPr>
        <w:t xml:space="preserve">van Sociale Rechten </w:t>
      </w:r>
      <w:r w:rsidR="00F1631C" w:rsidRPr="00121A6A">
        <w:rPr>
          <w:sz w:val="24"/>
          <w:szCs w:val="24"/>
        </w:rPr>
        <w:t xml:space="preserve">en </w:t>
      </w:r>
      <w:r w:rsidR="0057407C" w:rsidRPr="00121A6A">
        <w:rPr>
          <w:sz w:val="24"/>
          <w:szCs w:val="24"/>
        </w:rPr>
        <w:t>de herzien</w:t>
      </w:r>
      <w:r w:rsidR="00E1745B" w:rsidRPr="00121A6A">
        <w:rPr>
          <w:sz w:val="24"/>
          <w:szCs w:val="24"/>
        </w:rPr>
        <w:t>e</w:t>
      </w:r>
      <w:r w:rsidR="0057407C" w:rsidRPr="00121A6A">
        <w:rPr>
          <w:sz w:val="24"/>
          <w:szCs w:val="24"/>
        </w:rPr>
        <w:t xml:space="preserve"> Detacheringsrichtlijn</w:t>
      </w:r>
      <w:r w:rsidR="00341417" w:rsidRPr="00121A6A">
        <w:rPr>
          <w:sz w:val="24"/>
          <w:szCs w:val="24"/>
        </w:rPr>
        <w:t xml:space="preserve"> (par. 2.3). Vervolgens </w:t>
      </w:r>
      <w:r w:rsidR="0032513B" w:rsidRPr="00121A6A">
        <w:rPr>
          <w:sz w:val="24"/>
          <w:szCs w:val="24"/>
        </w:rPr>
        <w:t>wordt stilgestaan bij</w:t>
      </w:r>
      <w:r w:rsidR="00341417" w:rsidRPr="00121A6A">
        <w:rPr>
          <w:sz w:val="24"/>
          <w:szCs w:val="24"/>
        </w:rPr>
        <w:t xml:space="preserve"> </w:t>
      </w:r>
      <w:r w:rsidR="0057407C" w:rsidRPr="00121A6A">
        <w:rPr>
          <w:sz w:val="24"/>
          <w:szCs w:val="24"/>
        </w:rPr>
        <w:t xml:space="preserve">de terughoudendere toetsing </w:t>
      </w:r>
      <w:r w:rsidR="000C4A36">
        <w:rPr>
          <w:sz w:val="24"/>
          <w:szCs w:val="24"/>
        </w:rPr>
        <w:t>door</w:t>
      </w:r>
      <w:r w:rsidR="00C10280" w:rsidRPr="00121A6A">
        <w:rPr>
          <w:sz w:val="24"/>
          <w:szCs w:val="24"/>
        </w:rPr>
        <w:t xml:space="preserve"> het Hof </w:t>
      </w:r>
      <w:r w:rsidR="0057407C" w:rsidRPr="00121A6A">
        <w:rPr>
          <w:sz w:val="24"/>
          <w:szCs w:val="24"/>
        </w:rPr>
        <w:t xml:space="preserve">op sociaaleconomisch terrein, de aanvaarding van rechtstreekse werking van artikel 28 Hv in een stakingsgeschil op </w:t>
      </w:r>
      <w:r w:rsidR="002B4343">
        <w:rPr>
          <w:sz w:val="24"/>
          <w:szCs w:val="24"/>
        </w:rPr>
        <w:t xml:space="preserve">het </w:t>
      </w:r>
      <w:r w:rsidR="0057407C" w:rsidRPr="00121A6A">
        <w:rPr>
          <w:sz w:val="24"/>
          <w:szCs w:val="24"/>
        </w:rPr>
        <w:t xml:space="preserve">Unieniveau en </w:t>
      </w:r>
      <w:r w:rsidR="00D7781D" w:rsidRPr="00121A6A">
        <w:rPr>
          <w:sz w:val="24"/>
          <w:szCs w:val="24"/>
        </w:rPr>
        <w:t xml:space="preserve">het </w:t>
      </w:r>
      <w:proofErr w:type="spellStart"/>
      <w:r w:rsidR="00A03E5C" w:rsidRPr="00121A6A">
        <w:rPr>
          <w:i/>
          <w:iCs/>
          <w:sz w:val="24"/>
          <w:szCs w:val="24"/>
        </w:rPr>
        <w:t>Airhelp</w:t>
      </w:r>
      <w:proofErr w:type="spellEnd"/>
      <w:r w:rsidR="00A03E5C" w:rsidRPr="00121A6A">
        <w:rPr>
          <w:sz w:val="24"/>
          <w:szCs w:val="24"/>
        </w:rPr>
        <w:t>-</w:t>
      </w:r>
      <w:r w:rsidR="00D7781D" w:rsidRPr="00121A6A">
        <w:rPr>
          <w:sz w:val="24"/>
          <w:szCs w:val="24"/>
        </w:rPr>
        <w:t>arrest,</w:t>
      </w:r>
      <w:r w:rsidR="0057407C" w:rsidRPr="00121A6A">
        <w:rPr>
          <w:sz w:val="24"/>
          <w:szCs w:val="24"/>
        </w:rPr>
        <w:t xml:space="preserve"> </w:t>
      </w:r>
      <w:r w:rsidR="00C21CF9" w:rsidRPr="00121A6A">
        <w:rPr>
          <w:sz w:val="24"/>
          <w:szCs w:val="24"/>
        </w:rPr>
        <w:t>waarin het stakings</w:t>
      </w:r>
      <w:r w:rsidR="005C06BC" w:rsidRPr="00121A6A">
        <w:rPr>
          <w:sz w:val="24"/>
          <w:szCs w:val="24"/>
        </w:rPr>
        <w:t>- en consumenten</w:t>
      </w:r>
      <w:r w:rsidR="00C21CF9" w:rsidRPr="00121A6A">
        <w:rPr>
          <w:sz w:val="24"/>
          <w:szCs w:val="24"/>
        </w:rPr>
        <w:t xml:space="preserve">recht prevaleerden boven de </w:t>
      </w:r>
      <w:r w:rsidR="00A067A0">
        <w:rPr>
          <w:sz w:val="24"/>
          <w:szCs w:val="24"/>
        </w:rPr>
        <w:t>vrijheid van ondernemerschap</w:t>
      </w:r>
      <w:r w:rsidR="00DB43EF" w:rsidRPr="00121A6A">
        <w:rPr>
          <w:sz w:val="24"/>
          <w:szCs w:val="24"/>
        </w:rPr>
        <w:t xml:space="preserve"> </w:t>
      </w:r>
      <w:r w:rsidR="00341417" w:rsidRPr="00121A6A">
        <w:rPr>
          <w:sz w:val="24"/>
          <w:szCs w:val="24"/>
        </w:rPr>
        <w:t>(par. 2.4)</w:t>
      </w:r>
      <w:r w:rsidR="00C21CF9" w:rsidRPr="00121A6A">
        <w:rPr>
          <w:sz w:val="24"/>
          <w:szCs w:val="24"/>
        </w:rPr>
        <w:t>.</w:t>
      </w:r>
      <w:r w:rsidR="00BA3CBC" w:rsidRPr="00121A6A">
        <w:rPr>
          <w:sz w:val="24"/>
          <w:szCs w:val="24"/>
        </w:rPr>
        <w:t xml:space="preserve"> </w:t>
      </w:r>
      <w:r w:rsidRPr="00121A6A">
        <w:rPr>
          <w:sz w:val="24"/>
          <w:szCs w:val="24"/>
        </w:rPr>
        <w:t>Geconcludeerd</w:t>
      </w:r>
      <w:r w:rsidR="00BA3CBC" w:rsidRPr="00121A6A">
        <w:rPr>
          <w:sz w:val="24"/>
          <w:szCs w:val="24"/>
        </w:rPr>
        <w:t xml:space="preserve"> wordt dat het Unierechtelijke stakingsrecht </w:t>
      </w:r>
      <w:r w:rsidR="00A44EE7" w:rsidRPr="00121A6A">
        <w:rPr>
          <w:sz w:val="24"/>
          <w:szCs w:val="24"/>
        </w:rPr>
        <w:t xml:space="preserve">in de rechtspraak </w:t>
      </w:r>
      <w:r w:rsidR="00A067A0">
        <w:rPr>
          <w:sz w:val="24"/>
          <w:szCs w:val="24"/>
        </w:rPr>
        <w:t xml:space="preserve">van het Hof </w:t>
      </w:r>
      <w:r w:rsidR="00BA3CBC" w:rsidRPr="00121A6A">
        <w:rPr>
          <w:sz w:val="24"/>
          <w:szCs w:val="24"/>
        </w:rPr>
        <w:t xml:space="preserve">slechts een marginale rol </w:t>
      </w:r>
      <w:r w:rsidR="00A44EE7" w:rsidRPr="00121A6A">
        <w:rPr>
          <w:sz w:val="24"/>
          <w:szCs w:val="24"/>
        </w:rPr>
        <w:t>vervult</w:t>
      </w:r>
      <w:r w:rsidRPr="00121A6A">
        <w:rPr>
          <w:sz w:val="24"/>
          <w:szCs w:val="24"/>
        </w:rPr>
        <w:t xml:space="preserve"> </w:t>
      </w:r>
      <w:r w:rsidR="00F1631C" w:rsidRPr="00121A6A">
        <w:rPr>
          <w:sz w:val="24"/>
          <w:szCs w:val="24"/>
        </w:rPr>
        <w:t xml:space="preserve">en dat </w:t>
      </w:r>
      <w:r w:rsidR="00F1631C" w:rsidRPr="00121A6A">
        <w:rPr>
          <w:i/>
          <w:iCs/>
          <w:sz w:val="24"/>
          <w:szCs w:val="24"/>
        </w:rPr>
        <w:t xml:space="preserve">Viking </w:t>
      </w:r>
      <w:r w:rsidR="00F1631C" w:rsidRPr="00121A6A">
        <w:rPr>
          <w:sz w:val="24"/>
          <w:szCs w:val="24"/>
        </w:rPr>
        <w:t xml:space="preserve">en </w:t>
      </w:r>
      <w:r w:rsidR="00F1631C" w:rsidRPr="00121A6A">
        <w:rPr>
          <w:i/>
          <w:iCs/>
          <w:sz w:val="24"/>
          <w:szCs w:val="24"/>
        </w:rPr>
        <w:t xml:space="preserve">Laval </w:t>
      </w:r>
      <w:r w:rsidR="00F1631C" w:rsidRPr="00121A6A">
        <w:rPr>
          <w:sz w:val="24"/>
          <w:szCs w:val="24"/>
        </w:rPr>
        <w:t xml:space="preserve">vanuit dit perspectief onveranderd zijn gebleven </w:t>
      </w:r>
      <w:r w:rsidR="00186E3F" w:rsidRPr="00121A6A">
        <w:rPr>
          <w:sz w:val="24"/>
          <w:szCs w:val="24"/>
        </w:rPr>
        <w:t>(par. 2.5)</w:t>
      </w:r>
      <w:r w:rsidR="00BA3CBC" w:rsidRPr="00121A6A">
        <w:rPr>
          <w:sz w:val="24"/>
          <w:szCs w:val="24"/>
        </w:rPr>
        <w:t>.</w:t>
      </w:r>
    </w:p>
    <w:p w14:paraId="698B228E" w14:textId="77777777" w:rsidR="00697791" w:rsidRPr="00121A6A" w:rsidRDefault="00697791" w:rsidP="00697791">
      <w:pPr>
        <w:spacing w:after="0"/>
        <w:jc w:val="both"/>
        <w:rPr>
          <w:sz w:val="24"/>
          <w:szCs w:val="24"/>
        </w:rPr>
      </w:pPr>
    </w:p>
    <w:p w14:paraId="608D3A03" w14:textId="1B9ED65A" w:rsidR="00697791" w:rsidRPr="00121A6A" w:rsidRDefault="00697791" w:rsidP="00697791">
      <w:pPr>
        <w:pStyle w:val="Heading2"/>
        <w:rPr>
          <w:sz w:val="24"/>
          <w:szCs w:val="24"/>
        </w:rPr>
      </w:pPr>
      <w:bookmarkStart w:id="17" w:name="_Toc169963044"/>
      <w:r w:rsidRPr="00121A6A">
        <w:rPr>
          <w:sz w:val="24"/>
          <w:szCs w:val="24"/>
        </w:rPr>
        <w:t xml:space="preserve">2.2 </w:t>
      </w:r>
      <w:r w:rsidR="00491F7B">
        <w:rPr>
          <w:sz w:val="24"/>
          <w:szCs w:val="24"/>
        </w:rPr>
        <w:t>Het s</w:t>
      </w:r>
      <w:r w:rsidRPr="00121A6A">
        <w:rPr>
          <w:sz w:val="24"/>
          <w:szCs w:val="24"/>
        </w:rPr>
        <w:t xml:space="preserve">takingsrecht </w:t>
      </w:r>
      <w:r w:rsidR="00474723" w:rsidRPr="00121A6A">
        <w:rPr>
          <w:sz w:val="24"/>
          <w:szCs w:val="24"/>
        </w:rPr>
        <w:t>in conflict met</w:t>
      </w:r>
      <w:r w:rsidR="00D33B14" w:rsidRPr="00121A6A">
        <w:rPr>
          <w:sz w:val="24"/>
          <w:szCs w:val="24"/>
        </w:rPr>
        <w:t xml:space="preserve"> marktvrijheden</w:t>
      </w:r>
      <w:bookmarkEnd w:id="17"/>
    </w:p>
    <w:p w14:paraId="06A25B85" w14:textId="58AFAEE1" w:rsidR="006D038A" w:rsidRPr="00121A6A" w:rsidRDefault="00E22F4C" w:rsidP="002F5376">
      <w:pPr>
        <w:spacing w:after="0"/>
        <w:jc w:val="both"/>
        <w:rPr>
          <w:sz w:val="24"/>
          <w:szCs w:val="24"/>
        </w:rPr>
      </w:pPr>
      <w:r w:rsidRPr="00121A6A">
        <w:rPr>
          <w:sz w:val="24"/>
          <w:szCs w:val="24"/>
        </w:rPr>
        <w:t xml:space="preserve">Zoals gezegd (par. 1.2) is artikel 28 Hv van toepassing </w:t>
      </w:r>
      <w:r w:rsidR="00390345">
        <w:rPr>
          <w:sz w:val="24"/>
          <w:szCs w:val="24"/>
        </w:rPr>
        <w:t>op</w:t>
      </w:r>
      <w:r w:rsidR="001E73F0" w:rsidRPr="00121A6A">
        <w:rPr>
          <w:sz w:val="24"/>
          <w:szCs w:val="24"/>
        </w:rPr>
        <w:t xml:space="preserve"> stakingsgeschillen </w:t>
      </w:r>
      <w:r w:rsidR="00016BA8" w:rsidRPr="00121A6A">
        <w:rPr>
          <w:sz w:val="24"/>
          <w:szCs w:val="24"/>
        </w:rPr>
        <w:t xml:space="preserve">met een grensoverschrijdend </w:t>
      </w:r>
      <w:r w:rsidR="006423BC">
        <w:rPr>
          <w:sz w:val="24"/>
          <w:szCs w:val="24"/>
        </w:rPr>
        <w:t>element</w:t>
      </w:r>
      <w:r w:rsidR="00DB43EF" w:rsidRPr="00121A6A">
        <w:rPr>
          <w:sz w:val="24"/>
          <w:szCs w:val="24"/>
        </w:rPr>
        <w:t>.</w:t>
      </w:r>
      <w:r w:rsidR="001E73F0" w:rsidRPr="00121A6A">
        <w:rPr>
          <w:sz w:val="24"/>
          <w:szCs w:val="24"/>
        </w:rPr>
        <w:t xml:space="preserve"> </w:t>
      </w:r>
      <w:r w:rsidR="005D438E" w:rsidRPr="00121A6A">
        <w:rPr>
          <w:sz w:val="24"/>
          <w:szCs w:val="24"/>
        </w:rPr>
        <w:t>De arresten</w:t>
      </w:r>
      <w:r w:rsidR="001E73F0" w:rsidRPr="00121A6A">
        <w:rPr>
          <w:sz w:val="24"/>
          <w:szCs w:val="24"/>
        </w:rPr>
        <w:t xml:space="preserve"> </w:t>
      </w:r>
      <w:r w:rsidR="001E73F0" w:rsidRPr="00121A6A">
        <w:rPr>
          <w:i/>
          <w:iCs/>
          <w:sz w:val="24"/>
          <w:szCs w:val="24"/>
        </w:rPr>
        <w:t xml:space="preserve">Viking </w:t>
      </w:r>
      <w:r w:rsidR="001E73F0" w:rsidRPr="00121A6A">
        <w:rPr>
          <w:sz w:val="24"/>
          <w:szCs w:val="24"/>
        </w:rPr>
        <w:t xml:space="preserve">en </w:t>
      </w:r>
      <w:r w:rsidR="001E73F0" w:rsidRPr="00121A6A">
        <w:rPr>
          <w:i/>
          <w:iCs/>
          <w:sz w:val="24"/>
          <w:szCs w:val="24"/>
        </w:rPr>
        <w:t xml:space="preserve">Laval </w:t>
      </w:r>
      <w:r w:rsidR="005D438E" w:rsidRPr="00121A6A">
        <w:rPr>
          <w:sz w:val="24"/>
          <w:szCs w:val="24"/>
        </w:rPr>
        <w:t>laten zien</w:t>
      </w:r>
      <w:r w:rsidR="001E73F0" w:rsidRPr="00121A6A">
        <w:rPr>
          <w:sz w:val="24"/>
          <w:szCs w:val="24"/>
        </w:rPr>
        <w:t xml:space="preserve"> </w:t>
      </w:r>
      <w:r w:rsidR="002F5376" w:rsidRPr="00121A6A">
        <w:rPr>
          <w:sz w:val="24"/>
          <w:szCs w:val="24"/>
        </w:rPr>
        <w:t>hoe het Hof</w:t>
      </w:r>
      <w:r w:rsidR="001E73F0" w:rsidRPr="00121A6A">
        <w:rPr>
          <w:sz w:val="24"/>
          <w:szCs w:val="24"/>
        </w:rPr>
        <w:t xml:space="preserve"> </w:t>
      </w:r>
      <w:r w:rsidR="002F5376" w:rsidRPr="00121A6A">
        <w:rPr>
          <w:sz w:val="24"/>
          <w:szCs w:val="24"/>
        </w:rPr>
        <w:t xml:space="preserve">marktvrijheden </w:t>
      </w:r>
      <w:r w:rsidR="005D438E" w:rsidRPr="00121A6A">
        <w:rPr>
          <w:sz w:val="24"/>
          <w:szCs w:val="24"/>
        </w:rPr>
        <w:t>heeft afgewogen</w:t>
      </w:r>
      <w:r w:rsidR="001E73F0" w:rsidRPr="00121A6A">
        <w:rPr>
          <w:sz w:val="24"/>
          <w:szCs w:val="24"/>
        </w:rPr>
        <w:t xml:space="preserve"> tegen</w:t>
      </w:r>
      <w:r w:rsidR="002F5376" w:rsidRPr="00121A6A">
        <w:rPr>
          <w:sz w:val="24"/>
          <w:szCs w:val="24"/>
        </w:rPr>
        <w:t xml:space="preserve"> </w:t>
      </w:r>
      <w:r w:rsidR="00752244" w:rsidRPr="00121A6A">
        <w:rPr>
          <w:sz w:val="24"/>
          <w:szCs w:val="24"/>
        </w:rPr>
        <w:t>het stakingsrecht</w:t>
      </w:r>
      <w:r w:rsidR="002F5376" w:rsidRPr="00121A6A">
        <w:rPr>
          <w:sz w:val="24"/>
          <w:szCs w:val="24"/>
        </w:rPr>
        <w:t>.</w:t>
      </w:r>
      <w:r w:rsidR="00752244" w:rsidRPr="00121A6A">
        <w:rPr>
          <w:rStyle w:val="FootnoteReference"/>
          <w:sz w:val="24"/>
          <w:szCs w:val="24"/>
        </w:rPr>
        <w:footnoteReference w:id="29"/>
      </w:r>
      <w:r w:rsidR="003A0B6B" w:rsidRPr="00121A6A">
        <w:rPr>
          <w:sz w:val="24"/>
          <w:szCs w:val="24"/>
        </w:rPr>
        <w:t xml:space="preserve"> Omdat </w:t>
      </w:r>
      <w:r w:rsidRPr="00121A6A">
        <w:rPr>
          <w:sz w:val="24"/>
          <w:szCs w:val="24"/>
        </w:rPr>
        <w:t>deze arresten</w:t>
      </w:r>
      <w:r w:rsidR="003A0B6B" w:rsidRPr="00121A6A">
        <w:rPr>
          <w:sz w:val="24"/>
          <w:szCs w:val="24"/>
        </w:rPr>
        <w:t xml:space="preserve"> </w:t>
      </w:r>
      <w:r w:rsidRPr="00121A6A">
        <w:rPr>
          <w:sz w:val="24"/>
          <w:szCs w:val="24"/>
        </w:rPr>
        <w:t>ten grondslag liggen aan het</w:t>
      </w:r>
      <w:r w:rsidR="003A0B6B" w:rsidRPr="00121A6A">
        <w:rPr>
          <w:sz w:val="24"/>
          <w:szCs w:val="24"/>
        </w:rPr>
        <w:t xml:space="preserve"> verder</w:t>
      </w:r>
      <w:r w:rsidRPr="00121A6A">
        <w:rPr>
          <w:sz w:val="24"/>
          <w:szCs w:val="24"/>
        </w:rPr>
        <w:t>e</w:t>
      </w:r>
      <w:r w:rsidR="003A0B6B" w:rsidRPr="00121A6A">
        <w:rPr>
          <w:sz w:val="24"/>
          <w:szCs w:val="24"/>
        </w:rPr>
        <w:t xml:space="preserve"> onderzoek, </w:t>
      </w:r>
      <w:r w:rsidR="003613F9" w:rsidRPr="00121A6A">
        <w:rPr>
          <w:sz w:val="24"/>
          <w:szCs w:val="24"/>
        </w:rPr>
        <w:t>wordt</w:t>
      </w:r>
      <w:r w:rsidR="003A0B6B" w:rsidRPr="00121A6A">
        <w:rPr>
          <w:sz w:val="24"/>
          <w:szCs w:val="24"/>
        </w:rPr>
        <w:t xml:space="preserve"> </w:t>
      </w:r>
      <w:r w:rsidR="000E6557" w:rsidRPr="00121A6A">
        <w:rPr>
          <w:sz w:val="24"/>
          <w:szCs w:val="24"/>
        </w:rPr>
        <w:t xml:space="preserve">hierbij </w:t>
      </w:r>
      <w:r w:rsidR="001E73F0" w:rsidRPr="00121A6A">
        <w:rPr>
          <w:sz w:val="24"/>
          <w:szCs w:val="24"/>
        </w:rPr>
        <w:t>in deze paragraaf</w:t>
      </w:r>
      <w:r w:rsidRPr="00121A6A">
        <w:rPr>
          <w:sz w:val="24"/>
          <w:szCs w:val="24"/>
        </w:rPr>
        <w:t xml:space="preserve"> </w:t>
      </w:r>
      <w:r w:rsidR="003A0B6B" w:rsidRPr="00121A6A">
        <w:rPr>
          <w:sz w:val="24"/>
          <w:szCs w:val="24"/>
        </w:rPr>
        <w:t>wat langer</w:t>
      </w:r>
      <w:r w:rsidR="001E73F0" w:rsidRPr="00121A6A">
        <w:rPr>
          <w:sz w:val="24"/>
          <w:szCs w:val="24"/>
        </w:rPr>
        <w:t xml:space="preserve"> stil</w:t>
      </w:r>
      <w:r w:rsidR="003613F9" w:rsidRPr="00121A6A">
        <w:rPr>
          <w:sz w:val="24"/>
          <w:szCs w:val="24"/>
        </w:rPr>
        <w:t>gestaan</w:t>
      </w:r>
      <w:r w:rsidR="003A0B6B" w:rsidRPr="00121A6A">
        <w:rPr>
          <w:sz w:val="24"/>
          <w:szCs w:val="24"/>
        </w:rPr>
        <w:t>.</w:t>
      </w:r>
    </w:p>
    <w:p w14:paraId="4397644F" w14:textId="77777777" w:rsidR="006D038A" w:rsidRPr="00121A6A" w:rsidRDefault="006D038A" w:rsidP="006D038A">
      <w:pPr>
        <w:spacing w:after="0"/>
        <w:rPr>
          <w:sz w:val="24"/>
          <w:szCs w:val="24"/>
        </w:rPr>
      </w:pPr>
    </w:p>
    <w:p w14:paraId="3E1E41BE" w14:textId="3680472A" w:rsidR="006D038A" w:rsidRPr="00121A6A" w:rsidRDefault="007E2CAF" w:rsidP="00D33B14">
      <w:pPr>
        <w:pStyle w:val="Heading3"/>
        <w:rPr>
          <w:sz w:val="24"/>
          <w:szCs w:val="24"/>
        </w:rPr>
      </w:pPr>
      <w:bookmarkStart w:id="18" w:name="_Toc169963045"/>
      <w:r>
        <w:rPr>
          <w:sz w:val="24"/>
          <w:szCs w:val="24"/>
        </w:rPr>
        <w:t>Het Viking-arrest</w:t>
      </w:r>
      <w:bookmarkEnd w:id="18"/>
    </w:p>
    <w:p w14:paraId="2ABA68BE" w14:textId="07498A25" w:rsidR="002A0655" w:rsidRPr="00121A6A" w:rsidRDefault="00697791" w:rsidP="00F90099">
      <w:pPr>
        <w:spacing w:after="0"/>
        <w:jc w:val="both"/>
        <w:rPr>
          <w:sz w:val="24"/>
          <w:szCs w:val="24"/>
        </w:rPr>
      </w:pPr>
      <w:r w:rsidRPr="00121A6A">
        <w:rPr>
          <w:sz w:val="24"/>
          <w:szCs w:val="24"/>
        </w:rPr>
        <w:t xml:space="preserve">In </w:t>
      </w:r>
      <w:r w:rsidRPr="00121A6A">
        <w:rPr>
          <w:i/>
          <w:iCs/>
          <w:sz w:val="24"/>
          <w:szCs w:val="24"/>
        </w:rPr>
        <w:t xml:space="preserve">Viking </w:t>
      </w:r>
      <w:r w:rsidRPr="00121A6A">
        <w:rPr>
          <w:sz w:val="24"/>
          <w:szCs w:val="24"/>
        </w:rPr>
        <w:t>moest het Hof zich voor het eerst uitlaten over de verhouding tussen het grondrecht op collectieve actie en de vestigingsvrijheid.</w:t>
      </w:r>
      <w:r w:rsidRPr="00121A6A">
        <w:rPr>
          <w:rStyle w:val="FootnoteReference"/>
          <w:sz w:val="24"/>
          <w:szCs w:val="24"/>
        </w:rPr>
        <w:footnoteReference w:id="30"/>
      </w:r>
      <w:r w:rsidRPr="00121A6A">
        <w:rPr>
          <w:sz w:val="24"/>
          <w:szCs w:val="24"/>
        </w:rPr>
        <w:t xml:space="preserve"> </w:t>
      </w:r>
      <w:r w:rsidR="006266C3" w:rsidRPr="00121A6A">
        <w:rPr>
          <w:sz w:val="24"/>
          <w:szCs w:val="24"/>
        </w:rPr>
        <w:t>In deze zaak wilde</w:t>
      </w:r>
      <w:r w:rsidR="00FA11E7" w:rsidRPr="00121A6A">
        <w:rPr>
          <w:sz w:val="24"/>
          <w:szCs w:val="24"/>
        </w:rPr>
        <w:t xml:space="preserve"> </w:t>
      </w:r>
      <w:r w:rsidR="00D0045D" w:rsidRPr="00121A6A">
        <w:rPr>
          <w:sz w:val="24"/>
          <w:szCs w:val="24"/>
        </w:rPr>
        <w:t xml:space="preserve">Finse reder </w:t>
      </w:r>
      <w:r w:rsidR="00D0045D" w:rsidRPr="00121A6A">
        <w:rPr>
          <w:i/>
          <w:iCs/>
          <w:sz w:val="24"/>
          <w:szCs w:val="24"/>
        </w:rPr>
        <w:t>Viking</w:t>
      </w:r>
      <w:r w:rsidR="00D0045D" w:rsidRPr="00121A6A">
        <w:rPr>
          <w:sz w:val="24"/>
          <w:szCs w:val="24"/>
        </w:rPr>
        <w:t xml:space="preserve"> </w:t>
      </w:r>
      <w:r w:rsidR="001E14C0">
        <w:rPr>
          <w:sz w:val="24"/>
          <w:szCs w:val="24"/>
        </w:rPr>
        <w:t>zijn</w:t>
      </w:r>
      <w:r w:rsidR="00D0045D" w:rsidRPr="00121A6A">
        <w:rPr>
          <w:sz w:val="24"/>
          <w:szCs w:val="24"/>
        </w:rPr>
        <w:t xml:space="preserve"> Fins</w:t>
      </w:r>
      <w:r w:rsidR="00D710AC" w:rsidRPr="00121A6A">
        <w:rPr>
          <w:sz w:val="24"/>
          <w:szCs w:val="24"/>
        </w:rPr>
        <w:t>e veerpont</w:t>
      </w:r>
      <w:r w:rsidR="00294EB6" w:rsidRPr="00121A6A">
        <w:rPr>
          <w:sz w:val="24"/>
          <w:szCs w:val="24"/>
        </w:rPr>
        <w:t xml:space="preserve"> </w:t>
      </w:r>
      <w:proofErr w:type="spellStart"/>
      <w:r w:rsidR="00294EB6" w:rsidRPr="00121A6A">
        <w:rPr>
          <w:i/>
          <w:iCs/>
          <w:sz w:val="24"/>
          <w:szCs w:val="24"/>
        </w:rPr>
        <w:t>Rosella</w:t>
      </w:r>
      <w:proofErr w:type="spellEnd"/>
      <w:r w:rsidR="00294EB6" w:rsidRPr="00121A6A">
        <w:rPr>
          <w:sz w:val="24"/>
          <w:szCs w:val="24"/>
        </w:rPr>
        <w:t xml:space="preserve">, </w:t>
      </w:r>
      <w:r w:rsidR="001B7D4D">
        <w:rPr>
          <w:sz w:val="24"/>
          <w:szCs w:val="24"/>
        </w:rPr>
        <w:t xml:space="preserve">met veerdiensten </w:t>
      </w:r>
      <w:r w:rsidR="003F6B75" w:rsidRPr="00121A6A">
        <w:rPr>
          <w:sz w:val="24"/>
          <w:szCs w:val="24"/>
        </w:rPr>
        <w:t>tussen</w:t>
      </w:r>
      <w:r w:rsidR="00294EB6" w:rsidRPr="00121A6A">
        <w:rPr>
          <w:sz w:val="24"/>
          <w:szCs w:val="24"/>
        </w:rPr>
        <w:t xml:space="preserve"> Finland en Estland,</w:t>
      </w:r>
      <w:r w:rsidR="00D0045D" w:rsidRPr="00121A6A">
        <w:rPr>
          <w:sz w:val="24"/>
          <w:szCs w:val="24"/>
        </w:rPr>
        <w:t xml:space="preserve"> formeel vestigen (‘omvlaggen’) in Estland</w:t>
      </w:r>
      <w:r w:rsidR="00B066C8" w:rsidRPr="00121A6A">
        <w:rPr>
          <w:sz w:val="24"/>
          <w:szCs w:val="24"/>
        </w:rPr>
        <w:t>.</w:t>
      </w:r>
      <w:r w:rsidR="00D0045D" w:rsidRPr="00121A6A">
        <w:rPr>
          <w:sz w:val="24"/>
          <w:szCs w:val="24"/>
        </w:rPr>
        <w:t xml:space="preserve"> </w:t>
      </w:r>
      <w:r w:rsidR="00B066C8" w:rsidRPr="00121A6A">
        <w:rPr>
          <w:sz w:val="24"/>
          <w:szCs w:val="24"/>
        </w:rPr>
        <w:t xml:space="preserve">Beoogd werd </w:t>
      </w:r>
      <w:r w:rsidR="003E1F81" w:rsidRPr="00121A6A">
        <w:rPr>
          <w:sz w:val="24"/>
          <w:szCs w:val="24"/>
        </w:rPr>
        <w:t xml:space="preserve">de concurrentiepositie ten opzichte van Estse schepen te verbeteren door </w:t>
      </w:r>
      <w:r w:rsidR="00603908" w:rsidRPr="00121A6A">
        <w:rPr>
          <w:sz w:val="24"/>
          <w:szCs w:val="24"/>
        </w:rPr>
        <w:t>te profiteren van het lagere niveau van werknemersbescherming aldaar</w:t>
      </w:r>
      <w:r w:rsidR="00D0045D" w:rsidRPr="00121A6A">
        <w:rPr>
          <w:sz w:val="24"/>
          <w:szCs w:val="24"/>
        </w:rPr>
        <w:t>.</w:t>
      </w:r>
      <w:r w:rsidR="00603908" w:rsidRPr="00121A6A">
        <w:rPr>
          <w:sz w:val="24"/>
          <w:szCs w:val="24"/>
        </w:rPr>
        <w:t xml:space="preserve"> </w:t>
      </w:r>
      <w:r w:rsidR="00D0045D" w:rsidRPr="00121A6A">
        <w:rPr>
          <w:sz w:val="24"/>
          <w:szCs w:val="24"/>
        </w:rPr>
        <w:t>De Finse vakbond</w:t>
      </w:r>
      <w:r w:rsidR="007500EC" w:rsidRPr="00121A6A">
        <w:rPr>
          <w:sz w:val="24"/>
          <w:szCs w:val="24"/>
        </w:rPr>
        <w:t xml:space="preserve"> </w:t>
      </w:r>
      <w:r w:rsidR="00D0045D" w:rsidRPr="00121A6A">
        <w:rPr>
          <w:sz w:val="24"/>
          <w:szCs w:val="24"/>
        </w:rPr>
        <w:t xml:space="preserve">organiseerde </w:t>
      </w:r>
      <w:r w:rsidR="00C802CC" w:rsidRPr="00121A6A">
        <w:rPr>
          <w:sz w:val="24"/>
          <w:szCs w:val="24"/>
        </w:rPr>
        <w:t xml:space="preserve">een </w:t>
      </w:r>
      <w:r w:rsidR="00D0045D" w:rsidRPr="00121A6A">
        <w:rPr>
          <w:sz w:val="24"/>
          <w:szCs w:val="24"/>
        </w:rPr>
        <w:t>stakingsactie</w:t>
      </w:r>
      <w:r w:rsidR="00C802CC" w:rsidRPr="00121A6A">
        <w:rPr>
          <w:sz w:val="24"/>
          <w:szCs w:val="24"/>
        </w:rPr>
        <w:t xml:space="preserve"> (</w:t>
      </w:r>
      <w:r w:rsidR="00421C30" w:rsidRPr="00121A6A">
        <w:rPr>
          <w:sz w:val="24"/>
          <w:szCs w:val="24"/>
        </w:rPr>
        <w:t>boycot</w:t>
      </w:r>
      <w:r w:rsidR="00C802CC" w:rsidRPr="00121A6A">
        <w:rPr>
          <w:sz w:val="24"/>
          <w:szCs w:val="24"/>
        </w:rPr>
        <w:t xml:space="preserve">) </w:t>
      </w:r>
      <w:r w:rsidR="000C4A36">
        <w:rPr>
          <w:sz w:val="24"/>
          <w:szCs w:val="24"/>
        </w:rPr>
        <w:t>met als doel om</w:t>
      </w:r>
      <w:r w:rsidR="00D0045D" w:rsidRPr="00121A6A">
        <w:rPr>
          <w:sz w:val="24"/>
          <w:szCs w:val="24"/>
        </w:rPr>
        <w:t xml:space="preserve"> </w:t>
      </w:r>
      <w:r w:rsidR="000C4A36">
        <w:rPr>
          <w:sz w:val="24"/>
          <w:szCs w:val="24"/>
        </w:rPr>
        <w:t xml:space="preserve">met </w:t>
      </w:r>
      <w:r w:rsidR="00D0045D" w:rsidRPr="00121A6A">
        <w:rPr>
          <w:i/>
          <w:iCs/>
          <w:sz w:val="24"/>
          <w:szCs w:val="24"/>
        </w:rPr>
        <w:t>Viking</w:t>
      </w:r>
      <w:r w:rsidR="00D0045D" w:rsidRPr="00121A6A">
        <w:rPr>
          <w:sz w:val="24"/>
          <w:szCs w:val="24"/>
        </w:rPr>
        <w:t xml:space="preserve"> een </w:t>
      </w:r>
      <w:r w:rsidR="00294EB6" w:rsidRPr="00121A6A">
        <w:rPr>
          <w:sz w:val="24"/>
          <w:szCs w:val="24"/>
        </w:rPr>
        <w:t>cao</w:t>
      </w:r>
      <w:r w:rsidR="00D0045D" w:rsidRPr="00121A6A">
        <w:rPr>
          <w:sz w:val="24"/>
          <w:szCs w:val="24"/>
        </w:rPr>
        <w:t xml:space="preserve"> te sluiten</w:t>
      </w:r>
      <w:r w:rsidR="00EE78B4" w:rsidRPr="00121A6A">
        <w:rPr>
          <w:sz w:val="24"/>
          <w:szCs w:val="24"/>
        </w:rPr>
        <w:t xml:space="preserve">. Hierdoor zou </w:t>
      </w:r>
      <w:r w:rsidR="00D0045D" w:rsidRPr="00121A6A">
        <w:rPr>
          <w:sz w:val="24"/>
          <w:szCs w:val="24"/>
        </w:rPr>
        <w:t xml:space="preserve">de bemanning </w:t>
      </w:r>
      <w:r w:rsidR="00C125B2" w:rsidRPr="00121A6A">
        <w:rPr>
          <w:sz w:val="24"/>
          <w:szCs w:val="24"/>
        </w:rPr>
        <w:t xml:space="preserve">kunnen blijven werken onder </w:t>
      </w:r>
      <w:r w:rsidR="007E3CD6" w:rsidRPr="00121A6A">
        <w:rPr>
          <w:sz w:val="24"/>
          <w:szCs w:val="24"/>
        </w:rPr>
        <w:t>gunstigere</w:t>
      </w:r>
      <w:r w:rsidR="00D0045D" w:rsidRPr="00121A6A">
        <w:rPr>
          <w:sz w:val="24"/>
          <w:szCs w:val="24"/>
        </w:rPr>
        <w:t xml:space="preserve"> Finse arbeidsvoorwaarden. </w:t>
      </w:r>
      <w:r w:rsidR="00FA3C20" w:rsidRPr="00121A6A">
        <w:rPr>
          <w:sz w:val="24"/>
          <w:szCs w:val="24"/>
        </w:rPr>
        <w:t xml:space="preserve">Naar </w:t>
      </w:r>
      <w:r w:rsidR="0072569D" w:rsidRPr="00121A6A">
        <w:rPr>
          <w:sz w:val="24"/>
          <w:szCs w:val="24"/>
        </w:rPr>
        <w:t>Fins</w:t>
      </w:r>
      <w:r w:rsidR="00FA3C20" w:rsidRPr="00121A6A">
        <w:rPr>
          <w:sz w:val="24"/>
          <w:szCs w:val="24"/>
        </w:rPr>
        <w:t xml:space="preserve"> recht was</w:t>
      </w:r>
      <w:r w:rsidR="0072569D" w:rsidRPr="00121A6A">
        <w:rPr>
          <w:sz w:val="24"/>
          <w:szCs w:val="24"/>
        </w:rPr>
        <w:t xml:space="preserve"> de staking toe</w:t>
      </w:r>
      <w:r w:rsidR="00FA3C20" w:rsidRPr="00121A6A">
        <w:rPr>
          <w:sz w:val="24"/>
          <w:szCs w:val="24"/>
        </w:rPr>
        <w:t>gestaan</w:t>
      </w:r>
      <w:r w:rsidR="0072569D" w:rsidRPr="00121A6A">
        <w:rPr>
          <w:sz w:val="24"/>
          <w:szCs w:val="24"/>
        </w:rPr>
        <w:t xml:space="preserve">, maar </w:t>
      </w:r>
      <w:r w:rsidR="0072569D" w:rsidRPr="00121A6A">
        <w:rPr>
          <w:i/>
          <w:iCs/>
          <w:sz w:val="24"/>
          <w:szCs w:val="24"/>
        </w:rPr>
        <w:t>Viking</w:t>
      </w:r>
      <w:r w:rsidR="0072569D" w:rsidRPr="00121A6A">
        <w:rPr>
          <w:sz w:val="24"/>
          <w:szCs w:val="24"/>
        </w:rPr>
        <w:t xml:space="preserve"> </w:t>
      </w:r>
      <w:r w:rsidR="00476C43" w:rsidRPr="00121A6A">
        <w:rPr>
          <w:sz w:val="24"/>
          <w:szCs w:val="24"/>
        </w:rPr>
        <w:t>stelde</w:t>
      </w:r>
      <w:r w:rsidR="0072569D" w:rsidRPr="00121A6A">
        <w:rPr>
          <w:sz w:val="24"/>
          <w:szCs w:val="24"/>
        </w:rPr>
        <w:t xml:space="preserve"> dat </w:t>
      </w:r>
      <w:r w:rsidR="00476C43" w:rsidRPr="00121A6A">
        <w:rPr>
          <w:sz w:val="24"/>
          <w:szCs w:val="24"/>
        </w:rPr>
        <w:t>Europees recht</w:t>
      </w:r>
      <w:r w:rsidR="00D23C25" w:rsidRPr="00121A6A">
        <w:rPr>
          <w:sz w:val="24"/>
          <w:szCs w:val="24"/>
        </w:rPr>
        <w:t xml:space="preserve"> </w:t>
      </w:r>
      <w:r w:rsidR="00476C43" w:rsidRPr="00121A6A">
        <w:rPr>
          <w:sz w:val="24"/>
          <w:szCs w:val="24"/>
        </w:rPr>
        <w:t>de</w:t>
      </w:r>
      <w:r w:rsidR="00D23C25" w:rsidRPr="00121A6A">
        <w:rPr>
          <w:sz w:val="24"/>
          <w:szCs w:val="24"/>
        </w:rPr>
        <w:t>ze</w:t>
      </w:r>
      <w:r w:rsidR="00476C43" w:rsidRPr="00121A6A">
        <w:rPr>
          <w:sz w:val="24"/>
          <w:szCs w:val="24"/>
        </w:rPr>
        <w:t xml:space="preserve"> verbood</w:t>
      </w:r>
      <w:r w:rsidR="003E1F81" w:rsidRPr="00121A6A">
        <w:rPr>
          <w:sz w:val="24"/>
          <w:szCs w:val="24"/>
        </w:rPr>
        <w:t>: de</w:t>
      </w:r>
      <w:r w:rsidR="00C60DB5" w:rsidRPr="00121A6A">
        <w:rPr>
          <w:sz w:val="24"/>
          <w:szCs w:val="24"/>
        </w:rPr>
        <w:t xml:space="preserve"> eis van de vakbond </w:t>
      </w:r>
      <w:r w:rsidR="00D23C25" w:rsidRPr="00121A6A">
        <w:rPr>
          <w:sz w:val="24"/>
          <w:szCs w:val="24"/>
        </w:rPr>
        <w:t xml:space="preserve">maakte omvlagging zinloos en de (dreiging </w:t>
      </w:r>
      <w:r w:rsidR="002054A1" w:rsidRPr="00121A6A">
        <w:rPr>
          <w:sz w:val="24"/>
          <w:szCs w:val="24"/>
        </w:rPr>
        <w:t>met</w:t>
      </w:r>
      <w:r w:rsidR="00D23C25" w:rsidRPr="00121A6A">
        <w:rPr>
          <w:sz w:val="24"/>
          <w:szCs w:val="24"/>
        </w:rPr>
        <w:t>) stakingsacties</w:t>
      </w:r>
      <w:r w:rsidR="00D95337" w:rsidRPr="00121A6A">
        <w:rPr>
          <w:sz w:val="24"/>
          <w:szCs w:val="24"/>
        </w:rPr>
        <w:t xml:space="preserve"> die deze eis kracht moest doen bijzetten,</w:t>
      </w:r>
      <w:r w:rsidR="00D23C25" w:rsidRPr="00121A6A">
        <w:rPr>
          <w:sz w:val="24"/>
          <w:szCs w:val="24"/>
        </w:rPr>
        <w:t xml:space="preserve"> </w:t>
      </w:r>
      <w:r w:rsidR="00177048" w:rsidRPr="00121A6A">
        <w:rPr>
          <w:sz w:val="24"/>
          <w:szCs w:val="24"/>
        </w:rPr>
        <w:t>maakte vestiging in Estland op zijn minst minder aantrekkelijk</w:t>
      </w:r>
      <w:r w:rsidR="00C60DB5" w:rsidRPr="00121A6A">
        <w:rPr>
          <w:sz w:val="24"/>
          <w:szCs w:val="24"/>
        </w:rPr>
        <w:t>.</w:t>
      </w:r>
      <w:r w:rsidR="000E2745" w:rsidRPr="00121A6A">
        <w:rPr>
          <w:rStyle w:val="FootnoteReference"/>
          <w:sz w:val="24"/>
          <w:szCs w:val="24"/>
        </w:rPr>
        <w:footnoteReference w:id="31"/>
      </w:r>
      <w:r w:rsidR="002F20CB" w:rsidRPr="00121A6A">
        <w:rPr>
          <w:sz w:val="24"/>
          <w:szCs w:val="24"/>
        </w:rPr>
        <w:t xml:space="preserve"> </w:t>
      </w:r>
    </w:p>
    <w:p w14:paraId="796C6CD3" w14:textId="5E539E13" w:rsidR="00ED4CBC" w:rsidRPr="00121A6A" w:rsidRDefault="00D36108" w:rsidP="002D59FB">
      <w:pPr>
        <w:spacing w:after="0"/>
        <w:ind w:firstLine="708"/>
        <w:jc w:val="both"/>
        <w:rPr>
          <w:sz w:val="24"/>
          <w:szCs w:val="24"/>
        </w:rPr>
      </w:pPr>
      <w:r w:rsidRPr="00121A6A">
        <w:rPr>
          <w:sz w:val="24"/>
          <w:szCs w:val="24"/>
        </w:rPr>
        <w:lastRenderedPageBreak/>
        <w:t xml:space="preserve">In zijn </w:t>
      </w:r>
      <w:r w:rsidR="00ED4CBC" w:rsidRPr="00121A6A">
        <w:rPr>
          <w:sz w:val="24"/>
          <w:szCs w:val="24"/>
        </w:rPr>
        <w:t xml:space="preserve">arrest </w:t>
      </w:r>
      <w:r w:rsidR="00140F9F" w:rsidRPr="00121A6A">
        <w:rPr>
          <w:sz w:val="24"/>
          <w:szCs w:val="24"/>
        </w:rPr>
        <w:t>besteedde</w:t>
      </w:r>
      <w:r w:rsidR="00ED4CBC" w:rsidRPr="00121A6A">
        <w:rPr>
          <w:sz w:val="24"/>
          <w:szCs w:val="24"/>
        </w:rPr>
        <w:t xml:space="preserve"> het Hof </w:t>
      </w:r>
      <w:r w:rsidR="0015103E">
        <w:rPr>
          <w:sz w:val="24"/>
          <w:szCs w:val="24"/>
        </w:rPr>
        <w:t>primair</w:t>
      </w:r>
      <w:r w:rsidR="00ED4CBC" w:rsidRPr="00121A6A">
        <w:rPr>
          <w:sz w:val="24"/>
          <w:szCs w:val="24"/>
        </w:rPr>
        <w:t xml:space="preserve"> </w:t>
      </w:r>
      <w:r w:rsidR="00140F9F" w:rsidRPr="00121A6A">
        <w:rPr>
          <w:sz w:val="24"/>
          <w:szCs w:val="24"/>
        </w:rPr>
        <w:t xml:space="preserve">aandacht aan </w:t>
      </w:r>
      <w:r w:rsidR="00ED4CBC" w:rsidRPr="00121A6A">
        <w:rPr>
          <w:sz w:val="24"/>
          <w:szCs w:val="24"/>
        </w:rPr>
        <w:t xml:space="preserve">twee </w:t>
      </w:r>
      <w:r w:rsidR="00140F9F" w:rsidRPr="00121A6A">
        <w:rPr>
          <w:sz w:val="24"/>
          <w:szCs w:val="24"/>
        </w:rPr>
        <w:t>preliminaire punten</w:t>
      </w:r>
      <w:r w:rsidR="00ED4CBC" w:rsidRPr="00121A6A">
        <w:rPr>
          <w:sz w:val="24"/>
          <w:szCs w:val="24"/>
        </w:rPr>
        <w:t xml:space="preserve">. </w:t>
      </w:r>
      <w:r w:rsidR="00140F9F" w:rsidRPr="00121A6A">
        <w:rPr>
          <w:sz w:val="24"/>
          <w:szCs w:val="24"/>
        </w:rPr>
        <w:t xml:space="preserve">Allereerst trok het </w:t>
      </w:r>
      <w:r w:rsidR="00ED4CBC" w:rsidRPr="00121A6A">
        <w:rPr>
          <w:sz w:val="24"/>
          <w:szCs w:val="24"/>
        </w:rPr>
        <w:t xml:space="preserve">Hof </w:t>
      </w:r>
      <w:r w:rsidRPr="00121A6A">
        <w:rPr>
          <w:sz w:val="24"/>
          <w:szCs w:val="24"/>
        </w:rPr>
        <w:t xml:space="preserve">collectieve acties binnen de werkingssfeer van </w:t>
      </w:r>
      <w:r w:rsidR="00A0078D" w:rsidRPr="00121A6A">
        <w:rPr>
          <w:sz w:val="24"/>
          <w:szCs w:val="24"/>
        </w:rPr>
        <w:t xml:space="preserve">de </w:t>
      </w:r>
      <w:r w:rsidRPr="00121A6A">
        <w:rPr>
          <w:sz w:val="24"/>
          <w:szCs w:val="24"/>
        </w:rPr>
        <w:t xml:space="preserve">verkeersvrijheden. Het </w:t>
      </w:r>
      <w:r w:rsidR="00C10A16">
        <w:rPr>
          <w:sz w:val="24"/>
          <w:szCs w:val="24"/>
        </w:rPr>
        <w:t xml:space="preserve">gebrek aan </w:t>
      </w:r>
      <w:r w:rsidRPr="00121A6A">
        <w:rPr>
          <w:sz w:val="24"/>
          <w:szCs w:val="24"/>
        </w:rPr>
        <w:t xml:space="preserve">wetgevende bevoegdheid </w:t>
      </w:r>
      <w:r w:rsidR="00C10A16">
        <w:rPr>
          <w:sz w:val="24"/>
          <w:szCs w:val="24"/>
        </w:rPr>
        <w:t xml:space="preserve">van de EU </w:t>
      </w:r>
      <w:r w:rsidRPr="00121A6A">
        <w:rPr>
          <w:sz w:val="24"/>
          <w:szCs w:val="24"/>
        </w:rPr>
        <w:t>op het gebied van het stakingsrecht, maakt</w:t>
      </w:r>
      <w:r w:rsidR="00A0078D" w:rsidRPr="00121A6A">
        <w:rPr>
          <w:sz w:val="24"/>
          <w:szCs w:val="24"/>
        </w:rPr>
        <w:t>e</w:t>
      </w:r>
      <w:r w:rsidRPr="00121A6A">
        <w:rPr>
          <w:sz w:val="24"/>
          <w:szCs w:val="24"/>
        </w:rPr>
        <w:t xml:space="preserve"> het stakingsrecht </w:t>
      </w:r>
      <w:r w:rsidR="008234C0">
        <w:rPr>
          <w:sz w:val="24"/>
          <w:szCs w:val="24"/>
        </w:rPr>
        <w:t xml:space="preserve">niet </w:t>
      </w:r>
      <w:r w:rsidRPr="00121A6A">
        <w:rPr>
          <w:sz w:val="24"/>
          <w:szCs w:val="24"/>
        </w:rPr>
        <w:t xml:space="preserve">immuun voor de (beperkende) werking van </w:t>
      </w:r>
      <w:r w:rsidR="00F90099" w:rsidRPr="00121A6A">
        <w:rPr>
          <w:sz w:val="24"/>
          <w:szCs w:val="24"/>
        </w:rPr>
        <w:t>het vrij verkeer</w:t>
      </w:r>
      <w:r w:rsidRPr="00121A6A">
        <w:rPr>
          <w:sz w:val="24"/>
          <w:szCs w:val="24"/>
        </w:rPr>
        <w:t>.</w:t>
      </w:r>
      <w:r w:rsidR="00D0045D" w:rsidRPr="00121A6A">
        <w:rPr>
          <w:sz w:val="24"/>
          <w:szCs w:val="24"/>
        </w:rPr>
        <w:t xml:space="preserve"> </w:t>
      </w:r>
      <w:r w:rsidR="0015103E">
        <w:rPr>
          <w:sz w:val="24"/>
          <w:szCs w:val="24"/>
        </w:rPr>
        <w:t>Het</w:t>
      </w:r>
      <w:r w:rsidR="00140F9F" w:rsidRPr="00121A6A">
        <w:rPr>
          <w:sz w:val="24"/>
          <w:szCs w:val="24"/>
        </w:rPr>
        <w:t xml:space="preserve"> fundamentele karakter van het</w:t>
      </w:r>
      <w:r w:rsidRPr="00121A6A">
        <w:rPr>
          <w:sz w:val="24"/>
          <w:szCs w:val="24"/>
        </w:rPr>
        <w:t xml:space="preserve"> stakingsrecht</w:t>
      </w:r>
      <w:r w:rsidR="0015103E">
        <w:rPr>
          <w:sz w:val="24"/>
          <w:szCs w:val="24"/>
        </w:rPr>
        <w:t xml:space="preserve"> kon evenmin tot dit resultaat leiden</w:t>
      </w:r>
      <w:r w:rsidRPr="00121A6A">
        <w:rPr>
          <w:sz w:val="24"/>
          <w:szCs w:val="24"/>
        </w:rPr>
        <w:t>.</w:t>
      </w:r>
      <w:r w:rsidR="00F90099" w:rsidRPr="00121A6A">
        <w:rPr>
          <w:sz w:val="24"/>
          <w:szCs w:val="24"/>
        </w:rPr>
        <w:t xml:space="preserve"> Ofschoon het recht op collectieve actie </w:t>
      </w:r>
      <w:r w:rsidR="002D59FB" w:rsidRPr="00121A6A">
        <w:rPr>
          <w:sz w:val="24"/>
          <w:szCs w:val="24"/>
        </w:rPr>
        <w:t>werd erkend</w:t>
      </w:r>
      <w:r w:rsidR="00F90099" w:rsidRPr="00121A6A">
        <w:rPr>
          <w:sz w:val="24"/>
          <w:szCs w:val="24"/>
        </w:rPr>
        <w:t xml:space="preserve"> als grondrecht dat integrerend deel uitmaakt van de algemene beginselen van </w:t>
      </w:r>
      <w:r w:rsidR="00A535D4">
        <w:rPr>
          <w:sz w:val="24"/>
          <w:szCs w:val="24"/>
        </w:rPr>
        <w:t xml:space="preserve">het </w:t>
      </w:r>
      <w:r w:rsidR="00F90099" w:rsidRPr="00121A6A">
        <w:rPr>
          <w:sz w:val="24"/>
          <w:szCs w:val="24"/>
        </w:rPr>
        <w:t>Unierecht,</w:t>
      </w:r>
      <w:r w:rsidR="00F90099" w:rsidRPr="00121A6A">
        <w:rPr>
          <w:rStyle w:val="FootnoteReference"/>
          <w:sz w:val="24"/>
          <w:szCs w:val="24"/>
        </w:rPr>
        <w:footnoteReference w:id="32"/>
      </w:r>
      <w:r w:rsidR="00F90099" w:rsidRPr="00121A6A">
        <w:rPr>
          <w:sz w:val="24"/>
          <w:szCs w:val="24"/>
        </w:rPr>
        <w:t xml:space="preserve"> </w:t>
      </w:r>
      <w:r w:rsidR="003D3A6F" w:rsidRPr="00121A6A">
        <w:rPr>
          <w:sz w:val="24"/>
          <w:szCs w:val="24"/>
        </w:rPr>
        <w:t>overwoog</w:t>
      </w:r>
      <w:r w:rsidR="00F90099" w:rsidRPr="00121A6A">
        <w:rPr>
          <w:sz w:val="24"/>
          <w:szCs w:val="24"/>
        </w:rPr>
        <w:t xml:space="preserve"> het </w:t>
      </w:r>
      <w:r w:rsidR="002D59FB" w:rsidRPr="00121A6A">
        <w:rPr>
          <w:sz w:val="24"/>
          <w:szCs w:val="24"/>
        </w:rPr>
        <w:t xml:space="preserve">Hof </w:t>
      </w:r>
      <w:r w:rsidR="00F90099" w:rsidRPr="00121A6A">
        <w:rPr>
          <w:sz w:val="24"/>
          <w:szCs w:val="24"/>
        </w:rPr>
        <w:t xml:space="preserve">dat </w:t>
      </w:r>
      <w:r w:rsidR="00A535D4">
        <w:rPr>
          <w:sz w:val="24"/>
          <w:szCs w:val="24"/>
        </w:rPr>
        <w:t xml:space="preserve">de </w:t>
      </w:r>
      <w:r w:rsidR="00F90099" w:rsidRPr="00121A6A">
        <w:rPr>
          <w:sz w:val="24"/>
          <w:szCs w:val="24"/>
        </w:rPr>
        <w:t xml:space="preserve">uitoefening van dit recht </w:t>
      </w:r>
      <w:r w:rsidR="002D59FB" w:rsidRPr="00121A6A">
        <w:rPr>
          <w:sz w:val="24"/>
          <w:szCs w:val="24"/>
        </w:rPr>
        <w:t xml:space="preserve">aan </w:t>
      </w:r>
      <w:r w:rsidR="00F90099" w:rsidRPr="00121A6A">
        <w:rPr>
          <w:sz w:val="24"/>
          <w:szCs w:val="24"/>
        </w:rPr>
        <w:t xml:space="preserve">beperkingen </w:t>
      </w:r>
      <w:r w:rsidR="002D59FB" w:rsidRPr="00121A6A">
        <w:rPr>
          <w:sz w:val="24"/>
          <w:szCs w:val="24"/>
        </w:rPr>
        <w:t>is onderworpen</w:t>
      </w:r>
      <w:r w:rsidR="00F90099" w:rsidRPr="00121A6A">
        <w:rPr>
          <w:sz w:val="24"/>
          <w:szCs w:val="24"/>
        </w:rPr>
        <w:t xml:space="preserve">. Ter onderbouwing </w:t>
      </w:r>
      <w:r w:rsidR="002D59FB" w:rsidRPr="00121A6A">
        <w:rPr>
          <w:sz w:val="24"/>
          <w:szCs w:val="24"/>
        </w:rPr>
        <w:t>wees</w:t>
      </w:r>
      <w:r w:rsidR="00ED4CBC" w:rsidRPr="00121A6A">
        <w:rPr>
          <w:sz w:val="24"/>
          <w:szCs w:val="24"/>
        </w:rPr>
        <w:t xml:space="preserve"> het </w:t>
      </w:r>
      <w:r w:rsidR="002D59FB" w:rsidRPr="00121A6A">
        <w:rPr>
          <w:sz w:val="24"/>
          <w:szCs w:val="24"/>
        </w:rPr>
        <w:t>Hof op</w:t>
      </w:r>
      <w:r w:rsidR="003D3A6F" w:rsidRPr="00121A6A">
        <w:rPr>
          <w:sz w:val="24"/>
          <w:szCs w:val="24"/>
        </w:rPr>
        <w:t xml:space="preserve"> </w:t>
      </w:r>
      <w:r w:rsidR="00F90099" w:rsidRPr="00121A6A">
        <w:rPr>
          <w:sz w:val="24"/>
          <w:szCs w:val="24"/>
        </w:rPr>
        <w:t xml:space="preserve">artikel 28 </w:t>
      </w:r>
      <w:r w:rsidR="00453DF0" w:rsidRPr="00121A6A">
        <w:rPr>
          <w:sz w:val="24"/>
          <w:szCs w:val="24"/>
        </w:rPr>
        <w:t>Hv</w:t>
      </w:r>
      <w:r w:rsidR="00F90099" w:rsidRPr="00121A6A">
        <w:rPr>
          <w:sz w:val="24"/>
          <w:szCs w:val="24"/>
        </w:rPr>
        <w:t xml:space="preserve">, waarin staat dat het recht op collectieve actie wordt beschermd </w:t>
      </w:r>
      <w:r w:rsidR="002D59FB" w:rsidRPr="00121A6A">
        <w:rPr>
          <w:sz w:val="24"/>
          <w:szCs w:val="24"/>
        </w:rPr>
        <w:t>‘</w:t>
      </w:r>
      <w:r w:rsidR="00F90099" w:rsidRPr="00121A6A">
        <w:rPr>
          <w:i/>
          <w:iCs/>
          <w:sz w:val="24"/>
          <w:szCs w:val="24"/>
          <w:u w:val="single"/>
        </w:rPr>
        <w:t xml:space="preserve">overeenkomstig het </w:t>
      </w:r>
      <w:r w:rsidR="00C10A16">
        <w:rPr>
          <w:i/>
          <w:iCs/>
          <w:sz w:val="24"/>
          <w:szCs w:val="24"/>
          <w:u w:val="single"/>
        </w:rPr>
        <w:t>recht van de Unie</w:t>
      </w:r>
      <w:r w:rsidR="00F90099" w:rsidRPr="00121A6A">
        <w:rPr>
          <w:i/>
          <w:iCs/>
          <w:sz w:val="24"/>
          <w:szCs w:val="24"/>
        </w:rPr>
        <w:t xml:space="preserve"> en de nationale wetgevingen en praktijken</w:t>
      </w:r>
      <w:r w:rsidR="002D59FB" w:rsidRPr="00121A6A">
        <w:rPr>
          <w:sz w:val="24"/>
          <w:szCs w:val="24"/>
        </w:rPr>
        <w:t xml:space="preserve">’ [onderstreping </w:t>
      </w:r>
      <w:proofErr w:type="spellStart"/>
      <w:r w:rsidR="002D59FB" w:rsidRPr="00121A6A">
        <w:rPr>
          <w:sz w:val="24"/>
          <w:szCs w:val="24"/>
        </w:rPr>
        <w:t>BvD</w:t>
      </w:r>
      <w:proofErr w:type="spellEnd"/>
      <w:r w:rsidR="002D59FB" w:rsidRPr="00121A6A">
        <w:rPr>
          <w:sz w:val="24"/>
          <w:szCs w:val="24"/>
        </w:rPr>
        <w:t>]</w:t>
      </w:r>
      <w:r w:rsidR="00D84302" w:rsidRPr="00121A6A">
        <w:rPr>
          <w:sz w:val="24"/>
          <w:szCs w:val="24"/>
        </w:rPr>
        <w:t xml:space="preserve">. </w:t>
      </w:r>
      <w:r w:rsidR="006168AF" w:rsidRPr="00121A6A">
        <w:rPr>
          <w:sz w:val="24"/>
          <w:szCs w:val="24"/>
        </w:rPr>
        <w:t>Ten slotte hield h</w:t>
      </w:r>
      <w:r w:rsidR="002A0655" w:rsidRPr="00121A6A">
        <w:rPr>
          <w:sz w:val="24"/>
          <w:szCs w:val="24"/>
        </w:rPr>
        <w:t>et derde argument</w:t>
      </w:r>
      <w:r w:rsidR="006168AF" w:rsidRPr="00121A6A">
        <w:rPr>
          <w:sz w:val="24"/>
          <w:szCs w:val="24"/>
        </w:rPr>
        <w:t xml:space="preserve">, </w:t>
      </w:r>
      <w:r w:rsidR="008460E3" w:rsidRPr="00121A6A">
        <w:rPr>
          <w:sz w:val="24"/>
          <w:szCs w:val="24"/>
        </w:rPr>
        <w:t>inhoudende</w:t>
      </w:r>
      <w:r w:rsidR="002A0655" w:rsidRPr="00121A6A">
        <w:rPr>
          <w:sz w:val="24"/>
          <w:szCs w:val="24"/>
        </w:rPr>
        <w:t xml:space="preserve"> dat </w:t>
      </w:r>
      <w:r w:rsidR="002D59FB" w:rsidRPr="00121A6A">
        <w:rPr>
          <w:sz w:val="24"/>
          <w:szCs w:val="24"/>
        </w:rPr>
        <w:t xml:space="preserve">het </w:t>
      </w:r>
      <w:proofErr w:type="spellStart"/>
      <w:r w:rsidR="002A0655" w:rsidRPr="00121A6A">
        <w:rPr>
          <w:i/>
          <w:iCs/>
          <w:sz w:val="24"/>
          <w:szCs w:val="24"/>
        </w:rPr>
        <w:t>Albany</w:t>
      </w:r>
      <w:proofErr w:type="spellEnd"/>
      <w:r w:rsidR="008460E3" w:rsidRPr="00121A6A">
        <w:rPr>
          <w:sz w:val="24"/>
          <w:szCs w:val="24"/>
        </w:rPr>
        <w:t>-arrest</w:t>
      </w:r>
      <w:r w:rsidR="002A0655" w:rsidRPr="00121A6A">
        <w:rPr>
          <w:sz w:val="24"/>
          <w:szCs w:val="24"/>
        </w:rPr>
        <w:t xml:space="preserve"> analoog </w:t>
      </w:r>
      <w:r w:rsidR="003B6496">
        <w:rPr>
          <w:sz w:val="24"/>
          <w:szCs w:val="24"/>
        </w:rPr>
        <w:t>moest</w:t>
      </w:r>
      <w:r w:rsidR="002A0655" w:rsidRPr="00121A6A">
        <w:rPr>
          <w:sz w:val="24"/>
          <w:szCs w:val="24"/>
        </w:rPr>
        <w:t xml:space="preserve"> worden toegepast op onderhavig geschil,</w:t>
      </w:r>
      <w:r w:rsidR="002A0655" w:rsidRPr="00121A6A">
        <w:rPr>
          <w:rStyle w:val="FootnoteReference"/>
          <w:sz w:val="24"/>
          <w:szCs w:val="24"/>
        </w:rPr>
        <w:footnoteReference w:id="33"/>
      </w:r>
      <w:r w:rsidR="002A0655" w:rsidRPr="00121A6A">
        <w:rPr>
          <w:sz w:val="24"/>
          <w:szCs w:val="24"/>
        </w:rPr>
        <w:t xml:space="preserve"> </w:t>
      </w:r>
      <w:r w:rsidR="006168AF" w:rsidRPr="00121A6A">
        <w:rPr>
          <w:sz w:val="24"/>
          <w:szCs w:val="24"/>
        </w:rPr>
        <w:t>evenmin</w:t>
      </w:r>
      <w:r w:rsidR="002A0655" w:rsidRPr="00121A6A">
        <w:rPr>
          <w:sz w:val="24"/>
          <w:szCs w:val="24"/>
        </w:rPr>
        <w:t xml:space="preserve"> stand.</w:t>
      </w:r>
      <w:r w:rsidR="005E46E6" w:rsidRPr="00121A6A">
        <w:rPr>
          <w:sz w:val="24"/>
          <w:szCs w:val="24"/>
        </w:rPr>
        <w:t xml:space="preserve"> </w:t>
      </w:r>
      <w:r w:rsidR="003D3A6F" w:rsidRPr="00121A6A">
        <w:rPr>
          <w:sz w:val="24"/>
          <w:szCs w:val="24"/>
        </w:rPr>
        <w:t xml:space="preserve">Zodoende kwam </w:t>
      </w:r>
      <w:r w:rsidR="005E46E6" w:rsidRPr="00121A6A">
        <w:rPr>
          <w:sz w:val="24"/>
          <w:szCs w:val="24"/>
        </w:rPr>
        <w:t>het Hof toe aan de tweede prejudiciële vraag</w:t>
      </w:r>
      <w:r w:rsidR="00ED4CBC" w:rsidRPr="00121A6A">
        <w:rPr>
          <w:sz w:val="24"/>
          <w:szCs w:val="24"/>
        </w:rPr>
        <w:t xml:space="preserve"> naar </w:t>
      </w:r>
      <w:r w:rsidR="001D086D" w:rsidRPr="00121A6A">
        <w:rPr>
          <w:sz w:val="24"/>
          <w:szCs w:val="24"/>
        </w:rPr>
        <w:t xml:space="preserve">de </w:t>
      </w:r>
      <w:r w:rsidR="00B5057B" w:rsidRPr="00121A6A">
        <w:rPr>
          <w:sz w:val="24"/>
          <w:szCs w:val="24"/>
        </w:rPr>
        <w:t xml:space="preserve">horizontale </w:t>
      </w:r>
      <w:r w:rsidR="00943968" w:rsidRPr="00121A6A">
        <w:rPr>
          <w:sz w:val="24"/>
          <w:szCs w:val="24"/>
        </w:rPr>
        <w:t xml:space="preserve">directe </w:t>
      </w:r>
      <w:r w:rsidR="00ED4CBC" w:rsidRPr="00121A6A">
        <w:rPr>
          <w:sz w:val="24"/>
          <w:szCs w:val="24"/>
        </w:rPr>
        <w:t>werking van artikel 49 VwEU</w:t>
      </w:r>
      <w:r w:rsidR="001D086D" w:rsidRPr="00121A6A">
        <w:rPr>
          <w:sz w:val="24"/>
          <w:szCs w:val="24"/>
        </w:rPr>
        <w:t xml:space="preserve">. Het Hof bevestigde dat, niettegenstaande deze bepaling formeel tot lidstaten is gericht, </w:t>
      </w:r>
      <w:r w:rsidR="00BB5BD2" w:rsidRPr="00121A6A">
        <w:rPr>
          <w:sz w:val="24"/>
          <w:szCs w:val="24"/>
        </w:rPr>
        <w:t xml:space="preserve">een onderneming zich </w:t>
      </w:r>
      <w:r w:rsidR="006F4D3C" w:rsidRPr="00121A6A">
        <w:rPr>
          <w:sz w:val="24"/>
          <w:szCs w:val="24"/>
        </w:rPr>
        <w:t xml:space="preserve">hierop </w:t>
      </w:r>
      <w:r w:rsidR="00BB5BD2" w:rsidRPr="00121A6A">
        <w:rPr>
          <w:sz w:val="24"/>
          <w:szCs w:val="24"/>
        </w:rPr>
        <w:t>kan beroepen teneinde de rechtmatigheid van een door een private vakvereniging georganiseerde staking te betwisten.</w:t>
      </w:r>
      <w:r w:rsidR="00ED4CBC" w:rsidRPr="00121A6A">
        <w:rPr>
          <w:sz w:val="24"/>
          <w:szCs w:val="24"/>
        </w:rPr>
        <w:t xml:space="preserve"> </w:t>
      </w:r>
      <w:r w:rsidR="001D086D" w:rsidRPr="00121A6A">
        <w:rPr>
          <w:sz w:val="24"/>
          <w:szCs w:val="24"/>
        </w:rPr>
        <w:t>Het artikel ken</w:t>
      </w:r>
      <w:r w:rsidR="00FB5169">
        <w:rPr>
          <w:sz w:val="24"/>
          <w:szCs w:val="24"/>
        </w:rPr>
        <w:t>de</w:t>
      </w:r>
      <w:r w:rsidR="00ED4CBC" w:rsidRPr="00121A6A">
        <w:rPr>
          <w:sz w:val="24"/>
          <w:szCs w:val="24"/>
        </w:rPr>
        <w:t xml:space="preserve"> </w:t>
      </w:r>
      <w:r w:rsidR="001D086D" w:rsidRPr="00121A6A">
        <w:rPr>
          <w:sz w:val="24"/>
          <w:szCs w:val="24"/>
        </w:rPr>
        <w:t xml:space="preserve">dus </w:t>
      </w:r>
      <w:r w:rsidR="00E85F79" w:rsidRPr="00121A6A">
        <w:rPr>
          <w:sz w:val="24"/>
          <w:szCs w:val="24"/>
        </w:rPr>
        <w:t xml:space="preserve">aan </w:t>
      </w:r>
      <w:r w:rsidR="00E85F79" w:rsidRPr="00121A6A">
        <w:rPr>
          <w:i/>
          <w:iCs/>
          <w:sz w:val="24"/>
          <w:szCs w:val="24"/>
        </w:rPr>
        <w:t>Viking</w:t>
      </w:r>
      <w:r w:rsidR="00E85F79" w:rsidRPr="00121A6A">
        <w:rPr>
          <w:sz w:val="24"/>
          <w:szCs w:val="24"/>
        </w:rPr>
        <w:t xml:space="preserve"> </w:t>
      </w:r>
      <w:r w:rsidR="001D086D" w:rsidRPr="00121A6A">
        <w:rPr>
          <w:sz w:val="24"/>
          <w:szCs w:val="24"/>
        </w:rPr>
        <w:t>een recht toe dat</w:t>
      </w:r>
      <w:r w:rsidR="00FB5169">
        <w:rPr>
          <w:sz w:val="24"/>
          <w:szCs w:val="24"/>
        </w:rPr>
        <w:t xml:space="preserve"> </w:t>
      </w:r>
      <w:r w:rsidR="00E01514">
        <w:rPr>
          <w:sz w:val="24"/>
          <w:szCs w:val="24"/>
        </w:rPr>
        <w:t xml:space="preserve">hij </w:t>
      </w:r>
      <w:r w:rsidR="002F20C0" w:rsidRPr="00121A6A">
        <w:rPr>
          <w:sz w:val="24"/>
          <w:szCs w:val="24"/>
        </w:rPr>
        <w:t xml:space="preserve">rechtstreeks </w:t>
      </w:r>
      <w:r w:rsidR="00E85F79" w:rsidRPr="00121A6A">
        <w:rPr>
          <w:sz w:val="24"/>
          <w:szCs w:val="24"/>
        </w:rPr>
        <w:t>tegen</w:t>
      </w:r>
      <w:r w:rsidR="002D59FB" w:rsidRPr="00121A6A">
        <w:rPr>
          <w:sz w:val="24"/>
          <w:szCs w:val="24"/>
        </w:rPr>
        <w:t>over</w:t>
      </w:r>
      <w:r w:rsidR="00E85F79" w:rsidRPr="00121A6A">
        <w:rPr>
          <w:sz w:val="24"/>
          <w:szCs w:val="24"/>
        </w:rPr>
        <w:t xml:space="preserve"> </w:t>
      </w:r>
      <w:r w:rsidR="006736C1" w:rsidRPr="00121A6A">
        <w:rPr>
          <w:sz w:val="24"/>
          <w:szCs w:val="24"/>
        </w:rPr>
        <w:t>de Finse vakbond</w:t>
      </w:r>
      <w:r w:rsidR="001D086D" w:rsidRPr="00121A6A">
        <w:rPr>
          <w:sz w:val="24"/>
          <w:szCs w:val="24"/>
        </w:rPr>
        <w:t xml:space="preserve"> </w:t>
      </w:r>
      <w:r w:rsidR="00FB5169">
        <w:rPr>
          <w:sz w:val="24"/>
          <w:szCs w:val="24"/>
        </w:rPr>
        <w:t>kon</w:t>
      </w:r>
      <w:r w:rsidR="001D086D" w:rsidRPr="00121A6A">
        <w:rPr>
          <w:sz w:val="24"/>
          <w:szCs w:val="24"/>
        </w:rPr>
        <w:t xml:space="preserve"> </w:t>
      </w:r>
      <w:r w:rsidR="00FB5169">
        <w:rPr>
          <w:sz w:val="24"/>
          <w:szCs w:val="24"/>
        </w:rPr>
        <w:t>inroepen</w:t>
      </w:r>
      <w:r w:rsidR="006736C1" w:rsidRPr="00121A6A">
        <w:rPr>
          <w:sz w:val="24"/>
          <w:szCs w:val="24"/>
        </w:rPr>
        <w:t>.</w:t>
      </w:r>
      <w:r w:rsidR="00943968" w:rsidRPr="00121A6A">
        <w:rPr>
          <w:sz w:val="24"/>
          <w:szCs w:val="24"/>
        </w:rPr>
        <w:t xml:space="preserve"> </w:t>
      </w:r>
      <w:r w:rsidR="002A1B2B" w:rsidRPr="00121A6A">
        <w:rPr>
          <w:sz w:val="24"/>
          <w:szCs w:val="24"/>
        </w:rPr>
        <w:t xml:space="preserve">Dienovereenkomstig en onverminderd </w:t>
      </w:r>
      <w:r w:rsidR="001E14C0">
        <w:rPr>
          <w:sz w:val="24"/>
          <w:szCs w:val="24"/>
        </w:rPr>
        <w:t>zijn</w:t>
      </w:r>
      <w:r w:rsidR="002A1B2B" w:rsidRPr="00121A6A">
        <w:rPr>
          <w:sz w:val="24"/>
          <w:szCs w:val="24"/>
        </w:rPr>
        <w:t xml:space="preserve"> juridische autonomie</w:t>
      </w:r>
      <w:r w:rsidR="008460E3" w:rsidRPr="00121A6A">
        <w:rPr>
          <w:sz w:val="24"/>
          <w:szCs w:val="24"/>
        </w:rPr>
        <w:t>,</w:t>
      </w:r>
      <w:r w:rsidR="002A1B2B" w:rsidRPr="00121A6A">
        <w:rPr>
          <w:sz w:val="24"/>
          <w:szCs w:val="24"/>
        </w:rPr>
        <w:t xml:space="preserve"> rust</w:t>
      </w:r>
      <w:r w:rsidR="00FB5169">
        <w:rPr>
          <w:sz w:val="24"/>
          <w:szCs w:val="24"/>
        </w:rPr>
        <w:t>te</w:t>
      </w:r>
      <w:r w:rsidR="002A1B2B" w:rsidRPr="00121A6A">
        <w:rPr>
          <w:sz w:val="24"/>
          <w:szCs w:val="24"/>
        </w:rPr>
        <w:t xml:space="preserve"> o</w:t>
      </w:r>
      <w:r w:rsidR="002611D0" w:rsidRPr="00121A6A">
        <w:rPr>
          <w:sz w:val="24"/>
          <w:szCs w:val="24"/>
        </w:rPr>
        <w:t xml:space="preserve">p de vakbond de verplichting om </w:t>
      </w:r>
      <w:r w:rsidR="00FB5169">
        <w:rPr>
          <w:i/>
          <w:iCs/>
          <w:sz w:val="24"/>
          <w:szCs w:val="24"/>
        </w:rPr>
        <w:t>Vikings</w:t>
      </w:r>
      <w:r w:rsidR="002A1B2B" w:rsidRPr="00121A6A">
        <w:rPr>
          <w:sz w:val="24"/>
          <w:szCs w:val="24"/>
        </w:rPr>
        <w:t xml:space="preserve"> </w:t>
      </w:r>
      <w:r w:rsidR="00A16DDC" w:rsidRPr="00121A6A">
        <w:rPr>
          <w:sz w:val="24"/>
          <w:szCs w:val="24"/>
        </w:rPr>
        <w:t>vestigingsvrijheid</w:t>
      </w:r>
      <w:r w:rsidR="002611D0" w:rsidRPr="00121A6A">
        <w:rPr>
          <w:sz w:val="24"/>
          <w:szCs w:val="24"/>
        </w:rPr>
        <w:t xml:space="preserve"> te respecteren.</w:t>
      </w:r>
      <w:r w:rsidR="002611D0" w:rsidRPr="00121A6A">
        <w:rPr>
          <w:rStyle w:val="FootnoteReference"/>
          <w:sz w:val="24"/>
          <w:szCs w:val="24"/>
        </w:rPr>
        <w:footnoteReference w:id="34"/>
      </w:r>
    </w:p>
    <w:p w14:paraId="5297EF56" w14:textId="13D16148" w:rsidR="00F90099" w:rsidRPr="00121A6A" w:rsidRDefault="00177048" w:rsidP="0046255E">
      <w:pPr>
        <w:spacing w:after="0"/>
        <w:ind w:firstLine="708"/>
        <w:jc w:val="both"/>
        <w:rPr>
          <w:sz w:val="24"/>
          <w:szCs w:val="24"/>
        </w:rPr>
      </w:pPr>
      <w:r w:rsidRPr="00121A6A">
        <w:rPr>
          <w:sz w:val="24"/>
          <w:szCs w:val="24"/>
        </w:rPr>
        <w:t>Hierna</w:t>
      </w:r>
      <w:r w:rsidR="00ED4CBC" w:rsidRPr="00121A6A">
        <w:rPr>
          <w:sz w:val="24"/>
          <w:szCs w:val="24"/>
        </w:rPr>
        <w:t xml:space="preserve"> </w:t>
      </w:r>
      <w:r w:rsidR="00DB3518" w:rsidRPr="00121A6A">
        <w:rPr>
          <w:sz w:val="24"/>
          <w:szCs w:val="24"/>
        </w:rPr>
        <w:t>kwam</w:t>
      </w:r>
      <w:r w:rsidR="00ED4CBC" w:rsidRPr="00121A6A">
        <w:rPr>
          <w:sz w:val="24"/>
          <w:szCs w:val="24"/>
        </w:rPr>
        <w:t xml:space="preserve"> de kern van de zaak</w:t>
      </w:r>
      <w:r w:rsidR="00DB3518" w:rsidRPr="00121A6A">
        <w:rPr>
          <w:sz w:val="24"/>
          <w:szCs w:val="24"/>
        </w:rPr>
        <w:t xml:space="preserve"> aan bod</w:t>
      </w:r>
      <w:r w:rsidR="00ED4CBC" w:rsidRPr="00121A6A">
        <w:rPr>
          <w:sz w:val="24"/>
          <w:szCs w:val="24"/>
        </w:rPr>
        <w:t xml:space="preserve">. </w:t>
      </w:r>
      <w:r w:rsidR="003169AC">
        <w:rPr>
          <w:sz w:val="24"/>
          <w:szCs w:val="24"/>
        </w:rPr>
        <w:t>Volgens het Hof beperkte de</w:t>
      </w:r>
      <w:r w:rsidR="00ED4CBC" w:rsidRPr="00121A6A">
        <w:rPr>
          <w:sz w:val="24"/>
          <w:szCs w:val="24"/>
        </w:rPr>
        <w:t xml:space="preserve"> </w:t>
      </w:r>
      <w:r w:rsidRPr="00121A6A">
        <w:rPr>
          <w:sz w:val="24"/>
          <w:szCs w:val="24"/>
        </w:rPr>
        <w:t>vakbonds</w:t>
      </w:r>
      <w:r w:rsidR="00ED4CBC" w:rsidRPr="00121A6A">
        <w:rPr>
          <w:sz w:val="24"/>
          <w:szCs w:val="24"/>
        </w:rPr>
        <w:t xml:space="preserve">actie </w:t>
      </w:r>
      <w:r w:rsidR="003169AC">
        <w:rPr>
          <w:sz w:val="24"/>
          <w:szCs w:val="24"/>
        </w:rPr>
        <w:t xml:space="preserve">de vrije vestiging van </w:t>
      </w:r>
      <w:r w:rsidR="0015103E">
        <w:rPr>
          <w:i/>
          <w:iCs/>
          <w:sz w:val="24"/>
          <w:szCs w:val="24"/>
        </w:rPr>
        <w:t>Viking</w:t>
      </w:r>
      <w:r w:rsidR="003169AC">
        <w:rPr>
          <w:sz w:val="24"/>
          <w:szCs w:val="24"/>
        </w:rPr>
        <w:t>.</w:t>
      </w:r>
      <w:r w:rsidR="00C0570B" w:rsidRPr="00121A6A">
        <w:rPr>
          <w:sz w:val="24"/>
          <w:szCs w:val="24"/>
        </w:rPr>
        <w:t xml:space="preserve"> De vraag of de actie geoorloofd wa</w:t>
      </w:r>
      <w:r w:rsidR="00EE0A11" w:rsidRPr="00121A6A">
        <w:rPr>
          <w:sz w:val="24"/>
          <w:szCs w:val="24"/>
        </w:rPr>
        <w:t>s</w:t>
      </w:r>
      <w:r w:rsidR="00C0570B" w:rsidRPr="00121A6A">
        <w:rPr>
          <w:sz w:val="24"/>
          <w:szCs w:val="24"/>
        </w:rPr>
        <w:t>, hing af van een</w:t>
      </w:r>
      <w:r w:rsidR="004D4DAA" w:rsidRPr="00121A6A">
        <w:rPr>
          <w:sz w:val="24"/>
          <w:szCs w:val="24"/>
        </w:rPr>
        <w:t xml:space="preserve"> eventuele rechtvaardiging voor deze </w:t>
      </w:r>
      <w:r w:rsidR="007B5BED" w:rsidRPr="00121A6A">
        <w:rPr>
          <w:sz w:val="24"/>
          <w:szCs w:val="24"/>
        </w:rPr>
        <w:t>belemmering</w:t>
      </w:r>
      <w:r w:rsidR="004D4DAA" w:rsidRPr="00121A6A">
        <w:rPr>
          <w:sz w:val="24"/>
          <w:szCs w:val="24"/>
        </w:rPr>
        <w:t xml:space="preserve">. </w:t>
      </w:r>
      <w:r w:rsidR="00DD24E7" w:rsidRPr="00121A6A">
        <w:rPr>
          <w:sz w:val="24"/>
          <w:szCs w:val="24"/>
        </w:rPr>
        <w:t>Daartoe moest de vakbond aantonen</w:t>
      </w:r>
      <w:r w:rsidR="00DB3518" w:rsidRPr="00121A6A">
        <w:rPr>
          <w:sz w:val="24"/>
          <w:szCs w:val="24"/>
        </w:rPr>
        <w:t>: (1)</w:t>
      </w:r>
      <w:r w:rsidR="00DD24E7" w:rsidRPr="00121A6A">
        <w:rPr>
          <w:sz w:val="24"/>
          <w:szCs w:val="24"/>
        </w:rPr>
        <w:t xml:space="preserve"> dat </w:t>
      </w:r>
      <w:r w:rsidR="00DB3518" w:rsidRPr="00121A6A">
        <w:rPr>
          <w:sz w:val="24"/>
          <w:szCs w:val="24"/>
        </w:rPr>
        <w:t>met de staking</w:t>
      </w:r>
      <w:r w:rsidR="004D4DAA" w:rsidRPr="00121A6A">
        <w:rPr>
          <w:sz w:val="24"/>
          <w:szCs w:val="24"/>
        </w:rPr>
        <w:t xml:space="preserve"> een legitiem doel</w:t>
      </w:r>
      <w:r w:rsidR="00DB3518" w:rsidRPr="00121A6A">
        <w:rPr>
          <w:sz w:val="24"/>
          <w:szCs w:val="24"/>
        </w:rPr>
        <w:t xml:space="preserve"> werd nagestreefd</w:t>
      </w:r>
      <w:r w:rsidR="004D4DAA" w:rsidRPr="00121A6A">
        <w:rPr>
          <w:sz w:val="24"/>
          <w:szCs w:val="24"/>
        </w:rPr>
        <w:t xml:space="preserve">; (2) </w:t>
      </w:r>
      <w:r w:rsidR="00DB3518" w:rsidRPr="00121A6A">
        <w:rPr>
          <w:sz w:val="24"/>
          <w:szCs w:val="24"/>
        </w:rPr>
        <w:t xml:space="preserve">dat </w:t>
      </w:r>
      <w:r w:rsidR="004D4DAA" w:rsidRPr="00121A6A">
        <w:rPr>
          <w:sz w:val="24"/>
          <w:szCs w:val="24"/>
        </w:rPr>
        <w:t xml:space="preserve">de </w:t>
      </w:r>
      <w:r w:rsidR="00C81506" w:rsidRPr="00121A6A">
        <w:rPr>
          <w:sz w:val="24"/>
          <w:szCs w:val="24"/>
        </w:rPr>
        <w:t xml:space="preserve">actie </w:t>
      </w:r>
      <w:r w:rsidR="004D4DAA" w:rsidRPr="00121A6A">
        <w:rPr>
          <w:sz w:val="24"/>
          <w:szCs w:val="24"/>
        </w:rPr>
        <w:t xml:space="preserve">geschikt </w:t>
      </w:r>
      <w:r w:rsidR="00DB3518" w:rsidRPr="00121A6A">
        <w:rPr>
          <w:sz w:val="24"/>
          <w:szCs w:val="24"/>
        </w:rPr>
        <w:t>wa</w:t>
      </w:r>
      <w:r w:rsidR="00EE0A11" w:rsidRPr="00121A6A">
        <w:rPr>
          <w:sz w:val="24"/>
          <w:szCs w:val="24"/>
        </w:rPr>
        <w:t>s om</w:t>
      </w:r>
      <w:r w:rsidR="00DB3518" w:rsidRPr="00121A6A">
        <w:rPr>
          <w:sz w:val="24"/>
          <w:szCs w:val="24"/>
        </w:rPr>
        <w:t xml:space="preserve"> </w:t>
      </w:r>
      <w:r w:rsidR="004D4DAA" w:rsidRPr="00121A6A">
        <w:rPr>
          <w:sz w:val="24"/>
          <w:szCs w:val="24"/>
        </w:rPr>
        <w:t xml:space="preserve">het nagestreefde doel te </w:t>
      </w:r>
      <w:r w:rsidR="00DB3518" w:rsidRPr="00121A6A">
        <w:rPr>
          <w:sz w:val="24"/>
          <w:szCs w:val="24"/>
        </w:rPr>
        <w:t>verwezenlijken</w:t>
      </w:r>
      <w:r w:rsidR="004D4DAA" w:rsidRPr="00121A6A">
        <w:rPr>
          <w:sz w:val="24"/>
          <w:szCs w:val="24"/>
        </w:rPr>
        <w:t xml:space="preserve">; en (3) </w:t>
      </w:r>
      <w:r w:rsidR="00DB3518" w:rsidRPr="00121A6A">
        <w:rPr>
          <w:sz w:val="24"/>
          <w:szCs w:val="24"/>
        </w:rPr>
        <w:t xml:space="preserve">dat </w:t>
      </w:r>
      <w:r w:rsidR="007177E8" w:rsidRPr="00121A6A">
        <w:rPr>
          <w:sz w:val="24"/>
          <w:szCs w:val="24"/>
        </w:rPr>
        <w:t>de actie</w:t>
      </w:r>
      <w:r w:rsidR="004D4DAA" w:rsidRPr="00121A6A">
        <w:rPr>
          <w:sz w:val="24"/>
          <w:szCs w:val="24"/>
        </w:rPr>
        <w:t xml:space="preserve"> niet verder </w:t>
      </w:r>
      <w:r w:rsidR="00DB3518" w:rsidRPr="00121A6A">
        <w:rPr>
          <w:sz w:val="24"/>
          <w:szCs w:val="24"/>
        </w:rPr>
        <w:t xml:space="preserve">ging </w:t>
      </w:r>
      <w:r w:rsidR="004D4DAA" w:rsidRPr="00121A6A">
        <w:rPr>
          <w:sz w:val="24"/>
          <w:szCs w:val="24"/>
        </w:rPr>
        <w:t xml:space="preserve">dan noodzakelijk om dit doel te bereiken. </w:t>
      </w:r>
      <w:r w:rsidR="003F6201" w:rsidRPr="00121A6A">
        <w:rPr>
          <w:sz w:val="24"/>
          <w:szCs w:val="24"/>
        </w:rPr>
        <w:t xml:space="preserve">Het Hof erkende </w:t>
      </w:r>
      <w:r w:rsidR="00EE0A11" w:rsidRPr="00121A6A">
        <w:rPr>
          <w:sz w:val="24"/>
          <w:szCs w:val="24"/>
        </w:rPr>
        <w:t>werknemers</w:t>
      </w:r>
      <w:r w:rsidR="00EE0A11" w:rsidRPr="00121A6A">
        <w:rPr>
          <w:i/>
          <w:iCs/>
          <w:sz w:val="24"/>
          <w:szCs w:val="24"/>
        </w:rPr>
        <w:t>bescherming</w:t>
      </w:r>
      <w:r w:rsidR="000D47F7" w:rsidRPr="00121A6A">
        <w:rPr>
          <w:sz w:val="24"/>
          <w:szCs w:val="24"/>
        </w:rPr>
        <w:t xml:space="preserve"> </w:t>
      </w:r>
      <w:r w:rsidR="003F6201" w:rsidRPr="00121A6A">
        <w:rPr>
          <w:sz w:val="24"/>
          <w:szCs w:val="24"/>
        </w:rPr>
        <w:t xml:space="preserve">als </w:t>
      </w:r>
      <w:r w:rsidR="004D4DAA" w:rsidRPr="00121A6A">
        <w:rPr>
          <w:sz w:val="24"/>
          <w:szCs w:val="24"/>
        </w:rPr>
        <w:t>legitiem doel</w:t>
      </w:r>
      <w:r w:rsidR="00C81506" w:rsidRPr="00121A6A">
        <w:rPr>
          <w:sz w:val="24"/>
          <w:szCs w:val="24"/>
        </w:rPr>
        <w:t xml:space="preserve">, maar eiste </w:t>
      </w:r>
      <w:r w:rsidR="000E5AA6" w:rsidRPr="00121A6A">
        <w:rPr>
          <w:sz w:val="24"/>
          <w:szCs w:val="24"/>
        </w:rPr>
        <w:t xml:space="preserve">daarbij </w:t>
      </w:r>
      <w:r w:rsidR="00C81506" w:rsidRPr="00121A6A">
        <w:rPr>
          <w:sz w:val="24"/>
          <w:szCs w:val="24"/>
        </w:rPr>
        <w:t xml:space="preserve">dat </w:t>
      </w:r>
      <w:r w:rsidR="00AF5B1E" w:rsidRPr="00121A6A">
        <w:rPr>
          <w:sz w:val="24"/>
          <w:szCs w:val="24"/>
        </w:rPr>
        <w:t xml:space="preserve">de in </w:t>
      </w:r>
      <w:r w:rsidR="00F8750A">
        <w:rPr>
          <w:sz w:val="24"/>
          <w:szCs w:val="24"/>
        </w:rPr>
        <w:t xml:space="preserve">het </w:t>
      </w:r>
      <w:r w:rsidR="00AF5B1E" w:rsidRPr="00121A6A">
        <w:rPr>
          <w:sz w:val="24"/>
          <w:szCs w:val="24"/>
        </w:rPr>
        <w:t>geding zijnde</w:t>
      </w:r>
      <w:r w:rsidR="00C81506" w:rsidRPr="00121A6A">
        <w:rPr>
          <w:sz w:val="24"/>
          <w:szCs w:val="24"/>
        </w:rPr>
        <w:t xml:space="preserve"> arbeidsplaatsen en -voorwaarden daadwerkelijk op het spel </w:t>
      </w:r>
      <w:r w:rsidR="00C10A16">
        <w:rPr>
          <w:sz w:val="24"/>
          <w:szCs w:val="24"/>
        </w:rPr>
        <w:t xml:space="preserve">moeten </w:t>
      </w:r>
      <w:r w:rsidR="00AF5B1E" w:rsidRPr="00121A6A">
        <w:rPr>
          <w:sz w:val="24"/>
          <w:szCs w:val="24"/>
        </w:rPr>
        <w:t>staan</w:t>
      </w:r>
      <w:r w:rsidR="00C81506" w:rsidRPr="00121A6A">
        <w:rPr>
          <w:sz w:val="24"/>
          <w:szCs w:val="24"/>
        </w:rPr>
        <w:t xml:space="preserve"> of ernstig in gevaar</w:t>
      </w:r>
      <w:r w:rsidR="00AF5B1E" w:rsidRPr="00121A6A">
        <w:rPr>
          <w:sz w:val="24"/>
          <w:szCs w:val="24"/>
        </w:rPr>
        <w:t xml:space="preserve"> </w:t>
      </w:r>
      <w:r w:rsidR="00C10A16">
        <w:rPr>
          <w:sz w:val="24"/>
          <w:szCs w:val="24"/>
        </w:rPr>
        <w:t xml:space="preserve">moeten </w:t>
      </w:r>
      <w:r w:rsidR="00AF5B1E" w:rsidRPr="00121A6A">
        <w:rPr>
          <w:sz w:val="24"/>
          <w:szCs w:val="24"/>
        </w:rPr>
        <w:t>zijn</w:t>
      </w:r>
      <w:r w:rsidR="00C81506" w:rsidRPr="00121A6A">
        <w:rPr>
          <w:sz w:val="24"/>
          <w:szCs w:val="24"/>
        </w:rPr>
        <w:t>.</w:t>
      </w:r>
      <w:r w:rsidR="00174843" w:rsidRPr="00121A6A">
        <w:rPr>
          <w:rStyle w:val="FootnoteReference"/>
          <w:sz w:val="24"/>
          <w:szCs w:val="24"/>
        </w:rPr>
        <w:footnoteReference w:id="35"/>
      </w:r>
      <w:r w:rsidR="00C81506" w:rsidRPr="00121A6A">
        <w:rPr>
          <w:sz w:val="24"/>
          <w:szCs w:val="24"/>
        </w:rPr>
        <w:t xml:space="preserve"> </w:t>
      </w:r>
      <w:r w:rsidR="00E90B25" w:rsidRPr="00121A6A">
        <w:rPr>
          <w:sz w:val="24"/>
          <w:szCs w:val="24"/>
        </w:rPr>
        <w:t>Bij d</w:t>
      </w:r>
      <w:r w:rsidR="000E5AA6" w:rsidRPr="00121A6A">
        <w:rPr>
          <w:sz w:val="24"/>
          <w:szCs w:val="24"/>
        </w:rPr>
        <w:t xml:space="preserve">e proportionaliteitstoets </w:t>
      </w:r>
      <w:r w:rsidR="00E90B25" w:rsidRPr="00121A6A">
        <w:rPr>
          <w:sz w:val="24"/>
          <w:szCs w:val="24"/>
        </w:rPr>
        <w:t xml:space="preserve">moest vervolgens </w:t>
      </w:r>
      <w:r w:rsidR="000E5AA6" w:rsidRPr="00121A6A">
        <w:rPr>
          <w:sz w:val="24"/>
          <w:szCs w:val="24"/>
        </w:rPr>
        <w:t xml:space="preserve">een afweging </w:t>
      </w:r>
      <w:r w:rsidR="00E90B25" w:rsidRPr="00121A6A">
        <w:rPr>
          <w:sz w:val="24"/>
          <w:szCs w:val="24"/>
        </w:rPr>
        <w:t xml:space="preserve">worden gemaakt </w:t>
      </w:r>
      <w:r w:rsidR="000E5AA6" w:rsidRPr="00121A6A">
        <w:rPr>
          <w:sz w:val="24"/>
          <w:szCs w:val="24"/>
        </w:rPr>
        <w:t>tussen</w:t>
      </w:r>
      <w:r w:rsidR="003F6201" w:rsidRPr="00121A6A">
        <w:rPr>
          <w:sz w:val="24"/>
          <w:szCs w:val="24"/>
        </w:rPr>
        <w:t xml:space="preserve"> </w:t>
      </w:r>
      <w:r w:rsidR="00D2358B" w:rsidRPr="00121A6A">
        <w:rPr>
          <w:sz w:val="24"/>
          <w:szCs w:val="24"/>
        </w:rPr>
        <w:t>het</w:t>
      </w:r>
      <w:r w:rsidR="003F6201" w:rsidRPr="00121A6A">
        <w:rPr>
          <w:sz w:val="24"/>
          <w:szCs w:val="24"/>
        </w:rPr>
        <w:t xml:space="preserve"> economisch belang van </w:t>
      </w:r>
      <w:r w:rsidR="003F6201" w:rsidRPr="00121A6A">
        <w:rPr>
          <w:i/>
          <w:iCs/>
          <w:sz w:val="24"/>
          <w:szCs w:val="24"/>
        </w:rPr>
        <w:t xml:space="preserve">Viking </w:t>
      </w:r>
      <w:r w:rsidR="003F6201" w:rsidRPr="00121A6A">
        <w:rPr>
          <w:sz w:val="24"/>
          <w:szCs w:val="24"/>
        </w:rPr>
        <w:t>(</w:t>
      </w:r>
      <w:r w:rsidR="00C10A16">
        <w:rPr>
          <w:sz w:val="24"/>
          <w:szCs w:val="24"/>
        </w:rPr>
        <w:t>de</w:t>
      </w:r>
      <w:r w:rsidR="00D2358B" w:rsidRPr="00121A6A">
        <w:rPr>
          <w:sz w:val="24"/>
          <w:szCs w:val="24"/>
        </w:rPr>
        <w:t xml:space="preserve"> </w:t>
      </w:r>
      <w:r w:rsidR="00245D32">
        <w:rPr>
          <w:sz w:val="24"/>
          <w:szCs w:val="24"/>
        </w:rPr>
        <w:t>vrijheid van vestiging</w:t>
      </w:r>
      <w:r w:rsidR="003F6201" w:rsidRPr="00121A6A">
        <w:rPr>
          <w:sz w:val="24"/>
          <w:szCs w:val="24"/>
        </w:rPr>
        <w:t xml:space="preserve">) </w:t>
      </w:r>
      <w:r w:rsidR="000E5AA6" w:rsidRPr="00121A6A">
        <w:rPr>
          <w:sz w:val="24"/>
          <w:szCs w:val="24"/>
        </w:rPr>
        <w:t>en</w:t>
      </w:r>
      <w:r w:rsidR="003F6201" w:rsidRPr="00121A6A">
        <w:rPr>
          <w:sz w:val="24"/>
          <w:szCs w:val="24"/>
        </w:rPr>
        <w:t xml:space="preserve"> </w:t>
      </w:r>
      <w:r w:rsidR="008A19EF">
        <w:rPr>
          <w:sz w:val="24"/>
          <w:szCs w:val="24"/>
        </w:rPr>
        <w:t xml:space="preserve">de belangen van de werknemers </w:t>
      </w:r>
      <w:r w:rsidR="00C81506" w:rsidRPr="00121A6A">
        <w:rPr>
          <w:sz w:val="24"/>
          <w:szCs w:val="24"/>
        </w:rPr>
        <w:t xml:space="preserve">(het stakingsrecht). Het Hof </w:t>
      </w:r>
      <w:r w:rsidR="00D2358B" w:rsidRPr="00121A6A">
        <w:rPr>
          <w:sz w:val="24"/>
          <w:szCs w:val="24"/>
        </w:rPr>
        <w:t>liet</w:t>
      </w:r>
      <w:r w:rsidR="00C81506" w:rsidRPr="00121A6A">
        <w:rPr>
          <w:sz w:val="24"/>
          <w:szCs w:val="24"/>
        </w:rPr>
        <w:t xml:space="preserve"> </w:t>
      </w:r>
      <w:r w:rsidR="00E90B25" w:rsidRPr="00121A6A">
        <w:rPr>
          <w:sz w:val="24"/>
          <w:szCs w:val="24"/>
        </w:rPr>
        <w:t xml:space="preserve">deze balansoefening over aan </w:t>
      </w:r>
      <w:r w:rsidR="00C81506" w:rsidRPr="00121A6A">
        <w:rPr>
          <w:sz w:val="24"/>
          <w:szCs w:val="24"/>
        </w:rPr>
        <w:t xml:space="preserve">de nationale rechter, maar </w:t>
      </w:r>
      <w:r w:rsidR="00D2358B" w:rsidRPr="00121A6A">
        <w:rPr>
          <w:sz w:val="24"/>
          <w:szCs w:val="24"/>
        </w:rPr>
        <w:t>gaf</w:t>
      </w:r>
      <w:r w:rsidR="00C81506" w:rsidRPr="00121A6A">
        <w:rPr>
          <w:sz w:val="24"/>
          <w:szCs w:val="24"/>
        </w:rPr>
        <w:t xml:space="preserve"> enkele aanwijzingen</w:t>
      </w:r>
      <w:r w:rsidR="00C10A16">
        <w:rPr>
          <w:sz w:val="24"/>
          <w:szCs w:val="24"/>
        </w:rPr>
        <w:t>.</w:t>
      </w:r>
      <w:r w:rsidR="00B066C8" w:rsidRPr="00121A6A">
        <w:rPr>
          <w:sz w:val="24"/>
          <w:szCs w:val="24"/>
        </w:rPr>
        <w:t xml:space="preserve"> </w:t>
      </w:r>
      <w:r w:rsidR="00C10A16">
        <w:rPr>
          <w:sz w:val="24"/>
          <w:szCs w:val="24"/>
        </w:rPr>
        <w:t>N</w:t>
      </w:r>
      <w:r w:rsidR="00C2390A" w:rsidRPr="00121A6A">
        <w:rPr>
          <w:sz w:val="24"/>
          <w:szCs w:val="24"/>
        </w:rPr>
        <w:t>agegaan moe</w:t>
      </w:r>
      <w:r w:rsidR="003169AC">
        <w:rPr>
          <w:sz w:val="24"/>
          <w:szCs w:val="24"/>
        </w:rPr>
        <w:t>s</w:t>
      </w:r>
      <w:r w:rsidR="00C2390A" w:rsidRPr="00121A6A">
        <w:rPr>
          <w:sz w:val="24"/>
          <w:szCs w:val="24"/>
        </w:rPr>
        <w:t>t worden of de vakbond</w:t>
      </w:r>
      <w:r w:rsidR="00C81506" w:rsidRPr="00121A6A">
        <w:rPr>
          <w:sz w:val="24"/>
          <w:szCs w:val="24"/>
        </w:rPr>
        <w:t xml:space="preserve"> </w:t>
      </w:r>
      <w:r w:rsidR="00C2390A" w:rsidRPr="00121A6A">
        <w:rPr>
          <w:sz w:val="24"/>
          <w:szCs w:val="24"/>
        </w:rPr>
        <w:t xml:space="preserve">andere, de </w:t>
      </w:r>
      <w:r w:rsidR="007177E8" w:rsidRPr="00121A6A">
        <w:rPr>
          <w:sz w:val="24"/>
          <w:szCs w:val="24"/>
        </w:rPr>
        <w:t>vestigingsvrijheid</w:t>
      </w:r>
      <w:r w:rsidR="00C2390A" w:rsidRPr="00121A6A">
        <w:rPr>
          <w:sz w:val="24"/>
          <w:szCs w:val="24"/>
        </w:rPr>
        <w:t xml:space="preserve"> minder beperkende middelen had kunnen inzetten</w:t>
      </w:r>
      <w:r w:rsidR="00633A0B" w:rsidRPr="00121A6A">
        <w:rPr>
          <w:sz w:val="24"/>
          <w:szCs w:val="24"/>
        </w:rPr>
        <w:t xml:space="preserve"> (bijvoorbeeld bemiddeling)</w:t>
      </w:r>
      <w:r w:rsidR="00C2390A" w:rsidRPr="00121A6A">
        <w:rPr>
          <w:sz w:val="24"/>
          <w:szCs w:val="24"/>
        </w:rPr>
        <w:t xml:space="preserve">, dan wel dat deze middelen reeds </w:t>
      </w:r>
      <w:r w:rsidR="009E20B5">
        <w:rPr>
          <w:sz w:val="24"/>
          <w:szCs w:val="24"/>
        </w:rPr>
        <w:t>waren</w:t>
      </w:r>
      <w:r w:rsidR="00C2390A" w:rsidRPr="00121A6A">
        <w:rPr>
          <w:sz w:val="24"/>
          <w:szCs w:val="24"/>
        </w:rPr>
        <w:t xml:space="preserve"> uitgeput zonder resultaat. </w:t>
      </w:r>
      <w:r w:rsidR="007B41C1" w:rsidRPr="00121A6A">
        <w:rPr>
          <w:sz w:val="24"/>
          <w:szCs w:val="24"/>
        </w:rPr>
        <w:t>Met</w:t>
      </w:r>
      <w:r w:rsidR="00C2390A" w:rsidRPr="00121A6A">
        <w:rPr>
          <w:sz w:val="24"/>
          <w:szCs w:val="24"/>
        </w:rPr>
        <w:t xml:space="preserve"> andere woorden: het stakingsmiddel </w:t>
      </w:r>
      <w:r w:rsidR="009E20B5">
        <w:rPr>
          <w:sz w:val="24"/>
          <w:szCs w:val="24"/>
        </w:rPr>
        <w:t>mocht</w:t>
      </w:r>
      <w:r w:rsidR="00C2390A" w:rsidRPr="00121A6A">
        <w:rPr>
          <w:sz w:val="24"/>
          <w:szCs w:val="24"/>
        </w:rPr>
        <w:t xml:space="preserve"> slechts als </w:t>
      </w:r>
      <w:r w:rsidR="00633A0B" w:rsidRPr="00121A6A">
        <w:rPr>
          <w:sz w:val="24"/>
          <w:szCs w:val="24"/>
        </w:rPr>
        <w:t>laatste redmiddel</w:t>
      </w:r>
      <w:r w:rsidR="00C2390A" w:rsidRPr="00121A6A">
        <w:rPr>
          <w:sz w:val="24"/>
          <w:szCs w:val="24"/>
        </w:rPr>
        <w:t xml:space="preserve"> worden ingezet</w:t>
      </w:r>
      <w:r w:rsidR="00E55430" w:rsidRPr="00121A6A">
        <w:rPr>
          <w:sz w:val="24"/>
          <w:szCs w:val="24"/>
        </w:rPr>
        <w:t>.</w:t>
      </w:r>
      <w:r w:rsidR="00E967FC" w:rsidRPr="00121A6A">
        <w:rPr>
          <w:sz w:val="24"/>
          <w:szCs w:val="24"/>
        </w:rPr>
        <w:t xml:space="preserve"> </w:t>
      </w:r>
      <w:r w:rsidR="00E55430" w:rsidRPr="00121A6A">
        <w:rPr>
          <w:sz w:val="24"/>
          <w:szCs w:val="24"/>
        </w:rPr>
        <w:t xml:space="preserve">Met dit oordeel gunde het Hof </w:t>
      </w:r>
      <w:r w:rsidR="008B1372" w:rsidRPr="00121A6A">
        <w:rPr>
          <w:sz w:val="24"/>
          <w:szCs w:val="24"/>
        </w:rPr>
        <w:t xml:space="preserve">de </w:t>
      </w:r>
      <w:r w:rsidR="003044B7" w:rsidRPr="00121A6A">
        <w:rPr>
          <w:sz w:val="24"/>
          <w:szCs w:val="24"/>
        </w:rPr>
        <w:t>lidsta</w:t>
      </w:r>
      <w:r w:rsidR="008B1372" w:rsidRPr="00121A6A">
        <w:rPr>
          <w:sz w:val="24"/>
          <w:szCs w:val="24"/>
        </w:rPr>
        <w:t>a</w:t>
      </w:r>
      <w:r w:rsidR="003044B7" w:rsidRPr="00121A6A">
        <w:rPr>
          <w:sz w:val="24"/>
          <w:szCs w:val="24"/>
        </w:rPr>
        <w:t>t</w:t>
      </w:r>
      <w:r w:rsidR="00C2390A" w:rsidRPr="00121A6A">
        <w:rPr>
          <w:sz w:val="24"/>
          <w:szCs w:val="24"/>
        </w:rPr>
        <w:t xml:space="preserve"> </w:t>
      </w:r>
      <w:r w:rsidR="00E967FC" w:rsidRPr="00121A6A">
        <w:rPr>
          <w:sz w:val="24"/>
          <w:szCs w:val="24"/>
        </w:rPr>
        <w:t xml:space="preserve">feitelijk </w:t>
      </w:r>
      <w:r w:rsidR="00C2390A" w:rsidRPr="00121A6A">
        <w:rPr>
          <w:sz w:val="24"/>
          <w:szCs w:val="24"/>
        </w:rPr>
        <w:t>geen beoordelings</w:t>
      </w:r>
      <w:r w:rsidR="006E0769" w:rsidRPr="00121A6A">
        <w:rPr>
          <w:sz w:val="24"/>
          <w:szCs w:val="24"/>
        </w:rPr>
        <w:t>marge</w:t>
      </w:r>
      <w:r w:rsidR="00C2390A" w:rsidRPr="00121A6A">
        <w:rPr>
          <w:sz w:val="24"/>
          <w:szCs w:val="24"/>
        </w:rPr>
        <w:t xml:space="preserve"> bij de </w:t>
      </w:r>
      <w:r w:rsidR="00C371CC" w:rsidRPr="00121A6A">
        <w:rPr>
          <w:sz w:val="24"/>
          <w:szCs w:val="24"/>
        </w:rPr>
        <w:t xml:space="preserve">invulling van </w:t>
      </w:r>
      <w:r w:rsidR="000E5AA6" w:rsidRPr="00121A6A">
        <w:rPr>
          <w:sz w:val="24"/>
          <w:szCs w:val="24"/>
        </w:rPr>
        <w:t>het evenredigheidsbeginsel</w:t>
      </w:r>
      <w:r w:rsidR="00C2390A" w:rsidRPr="00121A6A">
        <w:rPr>
          <w:sz w:val="24"/>
          <w:szCs w:val="24"/>
        </w:rPr>
        <w:t>.</w:t>
      </w:r>
    </w:p>
    <w:p w14:paraId="18FAA6D1" w14:textId="219A038F" w:rsidR="00D0045D" w:rsidRPr="00121A6A" w:rsidRDefault="00D0045D" w:rsidP="00F90099">
      <w:pPr>
        <w:spacing w:after="0"/>
        <w:jc w:val="both"/>
        <w:rPr>
          <w:sz w:val="24"/>
          <w:szCs w:val="24"/>
        </w:rPr>
      </w:pPr>
    </w:p>
    <w:p w14:paraId="663CCE8E" w14:textId="7714F28A" w:rsidR="006D038A" w:rsidRPr="00121A6A" w:rsidRDefault="007E2CAF" w:rsidP="00D33B14">
      <w:pPr>
        <w:pStyle w:val="Heading3"/>
        <w:rPr>
          <w:sz w:val="24"/>
          <w:szCs w:val="24"/>
        </w:rPr>
      </w:pPr>
      <w:bookmarkStart w:id="19" w:name="_Toc169963046"/>
      <w:r>
        <w:rPr>
          <w:sz w:val="24"/>
          <w:szCs w:val="24"/>
        </w:rPr>
        <w:lastRenderedPageBreak/>
        <w:t xml:space="preserve">Het </w:t>
      </w:r>
      <w:r w:rsidR="006D038A" w:rsidRPr="00121A6A">
        <w:rPr>
          <w:sz w:val="24"/>
          <w:szCs w:val="24"/>
        </w:rPr>
        <w:t>Laval</w:t>
      </w:r>
      <w:r>
        <w:rPr>
          <w:sz w:val="24"/>
          <w:szCs w:val="24"/>
        </w:rPr>
        <w:t>-arrest</w:t>
      </w:r>
      <w:bookmarkEnd w:id="19"/>
    </w:p>
    <w:p w14:paraId="5FA42BE8" w14:textId="0653350E" w:rsidR="00D9661E" w:rsidRPr="00121A6A" w:rsidRDefault="00697791" w:rsidP="00DA60DD">
      <w:pPr>
        <w:spacing w:after="0"/>
        <w:jc w:val="both"/>
        <w:rPr>
          <w:sz w:val="24"/>
          <w:szCs w:val="24"/>
        </w:rPr>
      </w:pPr>
      <w:bookmarkStart w:id="20" w:name="_Hlk163650758"/>
      <w:r w:rsidRPr="00121A6A">
        <w:rPr>
          <w:sz w:val="24"/>
          <w:szCs w:val="24"/>
        </w:rPr>
        <w:t xml:space="preserve">Ook </w:t>
      </w:r>
      <w:r w:rsidR="003B6496">
        <w:rPr>
          <w:sz w:val="24"/>
          <w:szCs w:val="24"/>
        </w:rPr>
        <w:t xml:space="preserve">in </w:t>
      </w:r>
      <w:r w:rsidRPr="00121A6A">
        <w:rPr>
          <w:i/>
          <w:iCs/>
          <w:sz w:val="24"/>
          <w:szCs w:val="24"/>
        </w:rPr>
        <w:t>Laval</w:t>
      </w:r>
      <w:r w:rsidRPr="00121A6A">
        <w:rPr>
          <w:sz w:val="24"/>
          <w:szCs w:val="24"/>
        </w:rPr>
        <w:t xml:space="preserve"> moest het stakingsrecht het ontzien</w:t>
      </w:r>
      <w:r w:rsidR="00C371CC" w:rsidRPr="00121A6A">
        <w:rPr>
          <w:sz w:val="24"/>
          <w:szCs w:val="24"/>
        </w:rPr>
        <w:t>; ditmaal</w:t>
      </w:r>
      <w:r w:rsidRPr="00121A6A">
        <w:rPr>
          <w:sz w:val="24"/>
          <w:szCs w:val="24"/>
        </w:rPr>
        <w:t xml:space="preserve"> ten behoeve van het vrij</w:t>
      </w:r>
      <w:r w:rsidR="00C371CC" w:rsidRPr="00121A6A">
        <w:rPr>
          <w:sz w:val="24"/>
          <w:szCs w:val="24"/>
        </w:rPr>
        <w:t>e dienstenverkeer</w:t>
      </w:r>
      <w:bookmarkEnd w:id="20"/>
      <w:r w:rsidRPr="00121A6A">
        <w:rPr>
          <w:sz w:val="24"/>
          <w:szCs w:val="24"/>
        </w:rPr>
        <w:t>.</w:t>
      </w:r>
      <w:r w:rsidR="00EE36D7" w:rsidRPr="00121A6A">
        <w:rPr>
          <w:rStyle w:val="FootnoteReference"/>
          <w:sz w:val="24"/>
          <w:szCs w:val="24"/>
        </w:rPr>
        <w:footnoteReference w:id="36"/>
      </w:r>
      <w:r w:rsidRPr="00121A6A">
        <w:rPr>
          <w:sz w:val="24"/>
          <w:szCs w:val="24"/>
        </w:rPr>
        <w:t xml:space="preserve"> </w:t>
      </w:r>
      <w:r w:rsidR="00311A28">
        <w:rPr>
          <w:sz w:val="24"/>
          <w:szCs w:val="24"/>
        </w:rPr>
        <w:t>In deze zaak wilde</w:t>
      </w:r>
      <w:r w:rsidR="007E3CD6" w:rsidRPr="00121A6A">
        <w:rPr>
          <w:sz w:val="24"/>
          <w:szCs w:val="24"/>
        </w:rPr>
        <w:t xml:space="preserve"> </w:t>
      </w:r>
      <w:r w:rsidR="003B6496">
        <w:rPr>
          <w:sz w:val="24"/>
          <w:szCs w:val="24"/>
        </w:rPr>
        <w:t xml:space="preserve">de </w:t>
      </w:r>
      <w:r w:rsidR="00FC1655" w:rsidRPr="00121A6A">
        <w:rPr>
          <w:sz w:val="24"/>
          <w:szCs w:val="24"/>
        </w:rPr>
        <w:t xml:space="preserve">Letse </w:t>
      </w:r>
      <w:r w:rsidR="00432FA5" w:rsidRPr="00121A6A">
        <w:rPr>
          <w:sz w:val="24"/>
          <w:szCs w:val="24"/>
        </w:rPr>
        <w:t xml:space="preserve">vennootschap </w:t>
      </w:r>
      <w:r w:rsidR="00432FA5" w:rsidRPr="00121A6A">
        <w:rPr>
          <w:i/>
          <w:iCs/>
          <w:sz w:val="24"/>
          <w:szCs w:val="24"/>
        </w:rPr>
        <w:t>Laval</w:t>
      </w:r>
      <w:r w:rsidR="00FC1655" w:rsidRPr="00121A6A">
        <w:rPr>
          <w:sz w:val="24"/>
          <w:szCs w:val="24"/>
        </w:rPr>
        <w:t xml:space="preserve"> ter uitvoering van een </w:t>
      </w:r>
      <w:r w:rsidR="00432FA5" w:rsidRPr="00121A6A">
        <w:rPr>
          <w:sz w:val="24"/>
          <w:szCs w:val="24"/>
        </w:rPr>
        <w:t>bouw</w:t>
      </w:r>
      <w:r w:rsidR="00FC1655" w:rsidRPr="00121A6A">
        <w:rPr>
          <w:sz w:val="24"/>
          <w:szCs w:val="24"/>
        </w:rPr>
        <w:t xml:space="preserve">project werknemers </w:t>
      </w:r>
      <w:r w:rsidR="00311A28">
        <w:rPr>
          <w:sz w:val="24"/>
          <w:szCs w:val="24"/>
        </w:rPr>
        <w:t>detacheren</w:t>
      </w:r>
      <w:r w:rsidR="00FC1655" w:rsidRPr="00121A6A">
        <w:rPr>
          <w:sz w:val="24"/>
          <w:szCs w:val="24"/>
        </w:rPr>
        <w:t xml:space="preserve"> in Zweden. </w:t>
      </w:r>
      <w:r w:rsidR="002B03B5">
        <w:rPr>
          <w:sz w:val="24"/>
          <w:szCs w:val="24"/>
        </w:rPr>
        <w:t xml:space="preserve">Door het voeren van </w:t>
      </w:r>
      <w:r w:rsidR="003B6496">
        <w:rPr>
          <w:sz w:val="24"/>
          <w:szCs w:val="24"/>
        </w:rPr>
        <w:t>e</w:t>
      </w:r>
      <w:r w:rsidR="00E841C0" w:rsidRPr="00121A6A">
        <w:rPr>
          <w:sz w:val="24"/>
          <w:szCs w:val="24"/>
        </w:rPr>
        <w:t>en c</w:t>
      </w:r>
      <w:r w:rsidR="007E3CD6" w:rsidRPr="00121A6A">
        <w:rPr>
          <w:sz w:val="24"/>
          <w:szCs w:val="24"/>
        </w:rPr>
        <w:t>ollectieve actie</w:t>
      </w:r>
      <w:r w:rsidR="00E841C0" w:rsidRPr="00121A6A">
        <w:rPr>
          <w:sz w:val="24"/>
          <w:szCs w:val="24"/>
        </w:rPr>
        <w:t xml:space="preserve"> </w:t>
      </w:r>
      <w:r w:rsidR="003B6496" w:rsidRPr="00121A6A">
        <w:rPr>
          <w:sz w:val="24"/>
          <w:szCs w:val="24"/>
        </w:rPr>
        <w:t>(</w:t>
      </w:r>
      <w:r w:rsidR="003B6496">
        <w:rPr>
          <w:sz w:val="24"/>
          <w:szCs w:val="24"/>
        </w:rPr>
        <w:t xml:space="preserve">een </w:t>
      </w:r>
      <w:r w:rsidR="003B6496" w:rsidRPr="00121A6A">
        <w:rPr>
          <w:sz w:val="24"/>
          <w:szCs w:val="24"/>
        </w:rPr>
        <w:t>blokkade van de bouwplaats)</w:t>
      </w:r>
      <w:r w:rsidR="003B6496">
        <w:rPr>
          <w:sz w:val="24"/>
          <w:szCs w:val="24"/>
        </w:rPr>
        <w:t xml:space="preserve">, </w:t>
      </w:r>
      <w:r w:rsidR="00031FAD" w:rsidRPr="00121A6A">
        <w:rPr>
          <w:sz w:val="24"/>
          <w:szCs w:val="24"/>
        </w:rPr>
        <w:t xml:space="preserve">die naar </w:t>
      </w:r>
      <w:r w:rsidR="00D167E4" w:rsidRPr="00121A6A">
        <w:rPr>
          <w:sz w:val="24"/>
          <w:szCs w:val="24"/>
        </w:rPr>
        <w:t>Zweeds</w:t>
      </w:r>
      <w:r w:rsidR="00031FAD" w:rsidRPr="00121A6A">
        <w:rPr>
          <w:sz w:val="24"/>
          <w:szCs w:val="24"/>
        </w:rPr>
        <w:t xml:space="preserve"> recht rechtmatig wa</w:t>
      </w:r>
      <w:r w:rsidR="00E841C0" w:rsidRPr="00121A6A">
        <w:rPr>
          <w:sz w:val="24"/>
          <w:szCs w:val="24"/>
        </w:rPr>
        <w:t>s</w:t>
      </w:r>
      <w:r w:rsidR="00031FAD" w:rsidRPr="00121A6A">
        <w:rPr>
          <w:sz w:val="24"/>
          <w:szCs w:val="24"/>
        </w:rPr>
        <w:t xml:space="preserve">, </w:t>
      </w:r>
      <w:r w:rsidR="00FC1655" w:rsidRPr="00121A6A">
        <w:rPr>
          <w:sz w:val="24"/>
          <w:szCs w:val="24"/>
        </w:rPr>
        <w:t>beoogde</w:t>
      </w:r>
      <w:r w:rsidR="003B6496">
        <w:rPr>
          <w:sz w:val="24"/>
          <w:szCs w:val="24"/>
        </w:rPr>
        <w:t xml:space="preserve"> </w:t>
      </w:r>
      <w:r w:rsidR="003B6496" w:rsidRPr="00121A6A">
        <w:rPr>
          <w:sz w:val="24"/>
          <w:szCs w:val="24"/>
        </w:rPr>
        <w:t>de Zweedse vakbond</w:t>
      </w:r>
      <w:r w:rsidR="00FC1655" w:rsidRPr="00121A6A">
        <w:rPr>
          <w:sz w:val="24"/>
          <w:szCs w:val="24"/>
        </w:rPr>
        <w:t xml:space="preserve"> </w:t>
      </w:r>
      <w:r w:rsidR="00875321">
        <w:rPr>
          <w:sz w:val="24"/>
          <w:szCs w:val="24"/>
        </w:rPr>
        <w:t xml:space="preserve">om </w:t>
      </w:r>
      <w:r w:rsidR="00031FAD" w:rsidRPr="00121A6A">
        <w:rPr>
          <w:i/>
          <w:iCs/>
          <w:sz w:val="24"/>
          <w:szCs w:val="24"/>
        </w:rPr>
        <w:t>Laval</w:t>
      </w:r>
      <w:r w:rsidR="00FC1655" w:rsidRPr="00121A6A">
        <w:rPr>
          <w:sz w:val="24"/>
          <w:szCs w:val="24"/>
        </w:rPr>
        <w:t xml:space="preserve"> </w:t>
      </w:r>
      <w:r w:rsidR="007E3CD6" w:rsidRPr="00121A6A">
        <w:rPr>
          <w:sz w:val="24"/>
          <w:szCs w:val="24"/>
        </w:rPr>
        <w:t xml:space="preserve">ertoe te brengen zich aan te sluiten bij de Zweedse </w:t>
      </w:r>
      <w:r w:rsidR="002A5ED6" w:rsidRPr="00121A6A">
        <w:rPr>
          <w:sz w:val="24"/>
          <w:szCs w:val="24"/>
        </w:rPr>
        <w:t>b</w:t>
      </w:r>
      <w:r w:rsidR="007E3CD6" w:rsidRPr="00121A6A">
        <w:rPr>
          <w:sz w:val="24"/>
          <w:szCs w:val="24"/>
        </w:rPr>
        <w:t>ouw-cao</w:t>
      </w:r>
      <w:r w:rsidR="00031FAD" w:rsidRPr="00121A6A">
        <w:rPr>
          <w:sz w:val="24"/>
          <w:szCs w:val="24"/>
        </w:rPr>
        <w:t xml:space="preserve">. </w:t>
      </w:r>
      <w:r w:rsidR="001534A0">
        <w:rPr>
          <w:sz w:val="24"/>
          <w:szCs w:val="24"/>
        </w:rPr>
        <w:t xml:space="preserve">Daardoor zouden </w:t>
      </w:r>
      <w:r w:rsidR="00DA60DD" w:rsidRPr="00121A6A">
        <w:rPr>
          <w:sz w:val="24"/>
          <w:szCs w:val="24"/>
        </w:rPr>
        <w:t xml:space="preserve">gunstigere </w:t>
      </w:r>
      <w:r w:rsidR="00FC1655" w:rsidRPr="00121A6A">
        <w:rPr>
          <w:sz w:val="24"/>
          <w:szCs w:val="24"/>
        </w:rPr>
        <w:t xml:space="preserve">Zweedse arbeidsvoorwaarden </w:t>
      </w:r>
      <w:r w:rsidR="001534A0">
        <w:rPr>
          <w:sz w:val="24"/>
          <w:szCs w:val="24"/>
        </w:rPr>
        <w:t xml:space="preserve">van toepassing worden </w:t>
      </w:r>
      <w:r w:rsidR="00FC1655" w:rsidRPr="00121A6A">
        <w:rPr>
          <w:sz w:val="24"/>
          <w:szCs w:val="24"/>
        </w:rPr>
        <w:t>op de arbeidsovereenkomst</w:t>
      </w:r>
      <w:r w:rsidR="00885829">
        <w:rPr>
          <w:sz w:val="24"/>
          <w:szCs w:val="24"/>
        </w:rPr>
        <w:t>en</w:t>
      </w:r>
      <w:r w:rsidR="00FC1655" w:rsidRPr="00121A6A">
        <w:rPr>
          <w:sz w:val="24"/>
          <w:szCs w:val="24"/>
        </w:rPr>
        <w:t xml:space="preserve"> van de in Zweden gedetacheerde werknemers.</w:t>
      </w:r>
      <w:r w:rsidR="00DC046A" w:rsidRPr="00121A6A">
        <w:rPr>
          <w:sz w:val="24"/>
          <w:szCs w:val="24"/>
        </w:rPr>
        <w:t xml:space="preserve"> </w:t>
      </w:r>
      <w:r w:rsidR="001534A0">
        <w:rPr>
          <w:sz w:val="24"/>
          <w:szCs w:val="24"/>
        </w:rPr>
        <w:t>Echter,</w:t>
      </w:r>
      <w:r w:rsidR="00DC046A" w:rsidRPr="00121A6A">
        <w:rPr>
          <w:sz w:val="24"/>
          <w:szCs w:val="24"/>
        </w:rPr>
        <w:t xml:space="preserve"> in </w:t>
      </w:r>
      <w:r w:rsidR="001534A0">
        <w:rPr>
          <w:sz w:val="24"/>
          <w:szCs w:val="24"/>
        </w:rPr>
        <w:t xml:space="preserve">de </w:t>
      </w:r>
      <w:r w:rsidR="00DC046A" w:rsidRPr="00121A6A">
        <w:rPr>
          <w:sz w:val="24"/>
          <w:szCs w:val="24"/>
        </w:rPr>
        <w:t xml:space="preserve">aanloop </w:t>
      </w:r>
      <w:r w:rsidR="00F75F4C" w:rsidRPr="00121A6A">
        <w:rPr>
          <w:sz w:val="24"/>
          <w:szCs w:val="24"/>
        </w:rPr>
        <w:t>naar</w:t>
      </w:r>
      <w:r w:rsidR="00DC046A" w:rsidRPr="00121A6A">
        <w:rPr>
          <w:sz w:val="24"/>
          <w:szCs w:val="24"/>
        </w:rPr>
        <w:t xml:space="preserve"> het conflict </w:t>
      </w:r>
      <w:r w:rsidR="001534A0">
        <w:rPr>
          <w:sz w:val="24"/>
          <w:szCs w:val="24"/>
        </w:rPr>
        <w:t xml:space="preserve">had </w:t>
      </w:r>
      <w:r w:rsidR="001534A0">
        <w:rPr>
          <w:i/>
          <w:iCs/>
          <w:sz w:val="24"/>
          <w:szCs w:val="24"/>
        </w:rPr>
        <w:t xml:space="preserve">Laval </w:t>
      </w:r>
      <w:r w:rsidR="001534A0">
        <w:rPr>
          <w:sz w:val="24"/>
          <w:szCs w:val="24"/>
        </w:rPr>
        <w:t xml:space="preserve">reeds </w:t>
      </w:r>
      <w:r w:rsidR="00DC046A" w:rsidRPr="00121A6A">
        <w:rPr>
          <w:sz w:val="24"/>
          <w:szCs w:val="24"/>
        </w:rPr>
        <w:t xml:space="preserve">een bouw-cao gesloten </w:t>
      </w:r>
      <w:r w:rsidR="00311A28" w:rsidRPr="00121A6A">
        <w:rPr>
          <w:sz w:val="24"/>
          <w:szCs w:val="24"/>
        </w:rPr>
        <w:t>met een Letse werknemersbond</w:t>
      </w:r>
      <w:r w:rsidR="001534A0">
        <w:rPr>
          <w:sz w:val="24"/>
          <w:szCs w:val="24"/>
        </w:rPr>
        <w:t>. Bovendien was</w:t>
      </w:r>
      <w:r w:rsidR="00DC046A" w:rsidRPr="00121A6A">
        <w:rPr>
          <w:sz w:val="24"/>
          <w:szCs w:val="24"/>
        </w:rPr>
        <w:t xml:space="preserve"> </w:t>
      </w:r>
      <w:r w:rsidR="00FD29EB">
        <w:rPr>
          <w:sz w:val="24"/>
          <w:szCs w:val="24"/>
        </w:rPr>
        <w:t xml:space="preserve">het </w:t>
      </w:r>
      <w:r w:rsidR="00DC046A" w:rsidRPr="00121A6A">
        <w:rPr>
          <w:sz w:val="24"/>
          <w:szCs w:val="24"/>
        </w:rPr>
        <w:t xml:space="preserve">personeel van </w:t>
      </w:r>
      <w:r w:rsidR="00DC046A" w:rsidRPr="00121A6A">
        <w:rPr>
          <w:i/>
          <w:iCs/>
          <w:sz w:val="24"/>
          <w:szCs w:val="24"/>
        </w:rPr>
        <w:t xml:space="preserve">Laval </w:t>
      </w:r>
      <w:r w:rsidR="00DC046A" w:rsidRPr="00121A6A">
        <w:rPr>
          <w:sz w:val="24"/>
          <w:szCs w:val="24"/>
        </w:rPr>
        <w:t>geen lid van de Zweedse vakbond. De</w:t>
      </w:r>
      <w:r w:rsidR="00AE3F1D" w:rsidRPr="00121A6A">
        <w:rPr>
          <w:sz w:val="24"/>
          <w:szCs w:val="24"/>
        </w:rPr>
        <w:t xml:space="preserve"> </w:t>
      </w:r>
      <w:r w:rsidR="00885829">
        <w:rPr>
          <w:sz w:val="24"/>
          <w:szCs w:val="24"/>
        </w:rPr>
        <w:t>vakbonds</w:t>
      </w:r>
      <w:r w:rsidR="001534A0">
        <w:rPr>
          <w:sz w:val="24"/>
          <w:szCs w:val="24"/>
        </w:rPr>
        <w:t xml:space="preserve">actie </w:t>
      </w:r>
      <w:r w:rsidR="008342E6" w:rsidRPr="00121A6A">
        <w:rPr>
          <w:sz w:val="24"/>
          <w:szCs w:val="24"/>
        </w:rPr>
        <w:t>wa</w:t>
      </w:r>
      <w:r w:rsidR="00E841C0" w:rsidRPr="00121A6A">
        <w:rPr>
          <w:sz w:val="24"/>
          <w:szCs w:val="24"/>
        </w:rPr>
        <w:t>s</w:t>
      </w:r>
      <w:r w:rsidR="008342E6" w:rsidRPr="00121A6A">
        <w:rPr>
          <w:sz w:val="24"/>
          <w:szCs w:val="24"/>
        </w:rPr>
        <w:t xml:space="preserve"> </w:t>
      </w:r>
      <w:r w:rsidR="00DC046A" w:rsidRPr="00121A6A">
        <w:rPr>
          <w:sz w:val="24"/>
          <w:szCs w:val="24"/>
        </w:rPr>
        <w:t xml:space="preserve">dan ook primair </w:t>
      </w:r>
      <w:r w:rsidR="008342E6" w:rsidRPr="00121A6A">
        <w:rPr>
          <w:sz w:val="24"/>
          <w:szCs w:val="24"/>
        </w:rPr>
        <w:t xml:space="preserve">gericht </w:t>
      </w:r>
      <w:r w:rsidR="00311A28">
        <w:rPr>
          <w:sz w:val="24"/>
          <w:szCs w:val="24"/>
        </w:rPr>
        <w:t xml:space="preserve">op </w:t>
      </w:r>
      <w:r w:rsidR="00885829">
        <w:rPr>
          <w:sz w:val="24"/>
          <w:szCs w:val="24"/>
        </w:rPr>
        <w:t>het beschermen</w:t>
      </w:r>
      <w:r w:rsidR="00311A28">
        <w:rPr>
          <w:sz w:val="24"/>
          <w:szCs w:val="24"/>
        </w:rPr>
        <w:t xml:space="preserve"> van </w:t>
      </w:r>
      <w:r w:rsidR="00DC046A" w:rsidRPr="00121A6A">
        <w:rPr>
          <w:sz w:val="24"/>
          <w:szCs w:val="24"/>
        </w:rPr>
        <w:t>Zweedse werknemers tegen</w:t>
      </w:r>
      <w:r w:rsidR="00B41BAB">
        <w:rPr>
          <w:sz w:val="24"/>
          <w:szCs w:val="24"/>
        </w:rPr>
        <w:t xml:space="preserve"> zogeheten</w:t>
      </w:r>
      <w:r w:rsidR="00DC046A" w:rsidRPr="00121A6A">
        <w:rPr>
          <w:sz w:val="24"/>
          <w:szCs w:val="24"/>
        </w:rPr>
        <w:t xml:space="preserve"> </w:t>
      </w:r>
      <w:r w:rsidR="00034BE7">
        <w:rPr>
          <w:sz w:val="24"/>
          <w:szCs w:val="24"/>
        </w:rPr>
        <w:t>‘</w:t>
      </w:r>
      <w:r w:rsidR="00DC046A" w:rsidRPr="00121A6A">
        <w:rPr>
          <w:sz w:val="24"/>
          <w:szCs w:val="24"/>
        </w:rPr>
        <w:t>sociale dumping</w:t>
      </w:r>
      <w:r w:rsidR="00034BE7">
        <w:rPr>
          <w:sz w:val="24"/>
          <w:szCs w:val="24"/>
        </w:rPr>
        <w:t>’</w:t>
      </w:r>
      <w:r w:rsidR="00DC046A" w:rsidRPr="00121A6A">
        <w:rPr>
          <w:sz w:val="24"/>
          <w:szCs w:val="24"/>
        </w:rPr>
        <w:t>: (oneerlijke) concurrentie doordat gebruik</w:t>
      </w:r>
      <w:r w:rsidR="008342E6" w:rsidRPr="00121A6A">
        <w:rPr>
          <w:sz w:val="24"/>
          <w:szCs w:val="24"/>
        </w:rPr>
        <w:t>gemaakt</w:t>
      </w:r>
      <w:r w:rsidR="00DC046A" w:rsidRPr="00121A6A">
        <w:rPr>
          <w:sz w:val="24"/>
          <w:szCs w:val="24"/>
        </w:rPr>
        <w:t xml:space="preserve"> wordt van goedkope arbeid uit lidstaten met lagere lonen en minder arbeidsrechtelijke bescherming.</w:t>
      </w:r>
    </w:p>
    <w:p w14:paraId="45585391" w14:textId="04F7624B" w:rsidR="00D9661E" w:rsidRPr="00121A6A" w:rsidRDefault="002B03B5" w:rsidP="00D9661E">
      <w:pPr>
        <w:spacing w:after="0"/>
        <w:ind w:firstLine="708"/>
        <w:jc w:val="both"/>
        <w:rPr>
          <w:sz w:val="24"/>
          <w:szCs w:val="24"/>
        </w:rPr>
      </w:pPr>
      <w:r>
        <w:rPr>
          <w:sz w:val="24"/>
          <w:szCs w:val="24"/>
        </w:rPr>
        <w:t xml:space="preserve">Het toepasselijke recht (op de arbeidsovereenkomst) moet worden vastgesteld aan de hand van het </w:t>
      </w:r>
      <w:r w:rsidR="00FC1655" w:rsidRPr="00121A6A">
        <w:rPr>
          <w:sz w:val="24"/>
          <w:szCs w:val="24"/>
        </w:rPr>
        <w:t>internationaal privaatrecht</w:t>
      </w:r>
      <w:r w:rsidR="00885829">
        <w:rPr>
          <w:sz w:val="24"/>
          <w:szCs w:val="24"/>
        </w:rPr>
        <w:t>.</w:t>
      </w:r>
      <w:r w:rsidR="00D413B5" w:rsidRPr="00121A6A">
        <w:rPr>
          <w:sz w:val="24"/>
          <w:szCs w:val="24"/>
        </w:rPr>
        <w:t xml:space="preserve"> </w:t>
      </w:r>
      <w:r w:rsidR="003D4C8A" w:rsidRPr="00121A6A">
        <w:rPr>
          <w:sz w:val="24"/>
          <w:szCs w:val="24"/>
        </w:rPr>
        <w:t>Inzake</w:t>
      </w:r>
      <w:r w:rsidR="00D413B5" w:rsidRPr="00121A6A">
        <w:rPr>
          <w:sz w:val="24"/>
          <w:szCs w:val="24"/>
        </w:rPr>
        <w:t xml:space="preserve"> grensoverschrijdende detachering is </w:t>
      </w:r>
      <w:r w:rsidR="00B558E7">
        <w:rPr>
          <w:sz w:val="24"/>
          <w:szCs w:val="24"/>
        </w:rPr>
        <w:t>hiervoor</w:t>
      </w:r>
      <w:r w:rsidR="00D413B5" w:rsidRPr="00121A6A">
        <w:rPr>
          <w:sz w:val="24"/>
          <w:szCs w:val="24"/>
        </w:rPr>
        <w:t xml:space="preserve"> een specifiek rechtsinstrument in het leven geroepen</w:t>
      </w:r>
      <w:r w:rsidR="008547BD">
        <w:rPr>
          <w:sz w:val="24"/>
          <w:szCs w:val="24"/>
        </w:rPr>
        <w:t>: de</w:t>
      </w:r>
      <w:r w:rsidR="008547BD" w:rsidRPr="008547BD">
        <w:rPr>
          <w:sz w:val="24"/>
          <w:szCs w:val="24"/>
        </w:rPr>
        <w:t xml:space="preserve"> </w:t>
      </w:r>
      <w:r w:rsidR="008547BD" w:rsidRPr="00121A6A">
        <w:rPr>
          <w:sz w:val="24"/>
          <w:szCs w:val="24"/>
        </w:rPr>
        <w:t>Detacheringsrichtlijn (herzien)</w:t>
      </w:r>
      <w:r w:rsidR="008547BD">
        <w:rPr>
          <w:sz w:val="24"/>
          <w:szCs w:val="24"/>
        </w:rPr>
        <w:t>.</w:t>
      </w:r>
      <w:r w:rsidR="00914788" w:rsidRPr="00121A6A">
        <w:rPr>
          <w:rStyle w:val="FootnoteReference"/>
          <w:sz w:val="24"/>
          <w:szCs w:val="24"/>
        </w:rPr>
        <w:footnoteReference w:id="37"/>
      </w:r>
      <w:r w:rsidR="00914788" w:rsidRPr="00121A6A">
        <w:rPr>
          <w:sz w:val="24"/>
          <w:szCs w:val="24"/>
        </w:rPr>
        <w:t xml:space="preserve"> </w:t>
      </w:r>
      <w:r w:rsidR="008547BD">
        <w:rPr>
          <w:sz w:val="24"/>
          <w:szCs w:val="24"/>
        </w:rPr>
        <w:t xml:space="preserve">Met deze richtlijn wordt </w:t>
      </w:r>
      <w:r w:rsidR="00971BD4" w:rsidRPr="00121A6A">
        <w:rPr>
          <w:sz w:val="24"/>
          <w:szCs w:val="24"/>
        </w:rPr>
        <w:t>beoog</w:t>
      </w:r>
      <w:r w:rsidR="008547BD">
        <w:rPr>
          <w:sz w:val="24"/>
          <w:szCs w:val="24"/>
        </w:rPr>
        <w:t xml:space="preserve">d </w:t>
      </w:r>
      <w:r w:rsidR="00971BD4" w:rsidRPr="00121A6A">
        <w:rPr>
          <w:sz w:val="24"/>
          <w:szCs w:val="24"/>
        </w:rPr>
        <w:t xml:space="preserve">een juist evenwicht te </w:t>
      </w:r>
      <w:r w:rsidR="00034BE7">
        <w:rPr>
          <w:sz w:val="24"/>
          <w:szCs w:val="24"/>
        </w:rPr>
        <w:t>bewerkstelligen</w:t>
      </w:r>
      <w:r w:rsidR="00971BD4" w:rsidRPr="00121A6A">
        <w:rPr>
          <w:sz w:val="24"/>
          <w:szCs w:val="24"/>
        </w:rPr>
        <w:t xml:space="preserve"> tussen </w:t>
      </w:r>
      <w:r w:rsidR="000D1647" w:rsidRPr="00121A6A">
        <w:rPr>
          <w:sz w:val="24"/>
          <w:szCs w:val="24"/>
        </w:rPr>
        <w:t xml:space="preserve">enerzijds </w:t>
      </w:r>
      <w:r w:rsidR="00971BD4" w:rsidRPr="00121A6A">
        <w:rPr>
          <w:sz w:val="24"/>
          <w:szCs w:val="24"/>
        </w:rPr>
        <w:t xml:space="preserve">het vrije dienstenverkeer </w:t>
      </w:r>
      <w:r w:rsidR="000D1647" w:rsidRPr="00121A6A">
        <w:rPr>
          <w:sz w:val="24"/>
          <w:szCs w:val="24"/>
        </w:rPr>
        <w:t>en anderzijds</w:t>
      </w:r>
      <w:r w:rsidR="00971BD4" w:rsidRPr="00121A6A">
        <w:rPr>
          <w:sz w:val="24"/>
          <w:szCs w:val="24"/>
        </w:rPr>
        <w:t xml:space="preserve"> eerlijke concurrentie </w:t>
      </w:r>
      <w:r w:rsidR="002E34B9" w:rsidRPr="00121A6A">
        <w:rPr>
          <w:sz w:val="24"/>
          <w:szCs w:val="24"/>
        </w:rPr>
        <w:t>en</w:t>
      </w:r>
      <w:r w:rsidR="000D1647" w:rsidRPr="00121A6A">
        <w:rPr>
          <w:sz w:val="24"/>
          <w:szCs w:val="24"/>
        </w:rPr>
        <w:t xml:space="preserve"> </w:t>
      </w:r>
      <w:r w:rsidR="00601F63" w:rsidRPr="00121A6A">
        <w:rPr>
          <w:sz w:val="24"/>
          <w:szCs w:val="24"/>
        </w:rPr>
        <w:t>werknemers</w:t>
      </w:r>
      <w:r w:rsidR="00971BD4" w:rsidRPr="00121A6A">
        <w:rPr>
          <w:sz w:val="24"/>
          <w:szCs w:val="24"/>
        </w:rPr>
        <w:t>bescherming</w:t>
      </w:r>
      <w:r w:rsidR="00752C3F" w:rsidRPr="00121A6A">
        <w:rPr>
          <w:sz w:val="24"/>
          <w:szCs w:val="24"/>
        </w:rPr>
        <w:t>.</w:t>
      </w:r>
      <w:r w:rsidR="00752C3F" w:rsidRPr="00121A6A">
        <w:rPr>
          <w:rStyle w:val="FootnoteReference"/>
          <w:sz w:val="24"/>
          <w:szCs w:val="24"/>
        </w:rPr>
        <w:footnoteReference w:id="38"/>
      </w:r>
      <w:r w:rsidR="00971BD4" w:rsidRPr="00121A6A">
        <w:rPr>
          <w:sz w:val="24"/>
          <w:szCs w:val="24"/>
        </w:rPr>
        <w:t xml:space="preserve"> Daartoe</w:t>
      </w:r>
      <w:r w:rsidR="00D5741A" w:rsidRPr="00121A6A">
        <w:rPr>
          <w:sz w:val="24"/>
          <w:szCs w:val="24"/>
        </w:rPr>
        <w:t xml:space="preserve"> is in</w:t>
      </w:r>
      <w:r w:rsidR="00971BD4" w:rsidRPr="00121A6A">
        <w:rPr>
          <w:sz w:val="24"/>
          <w:szCs w:val="24"/>
        </w:rPr>
        <w:t xml:space="preserve"> artikel 3</w:t>
      </w:r>
      <w:r w:rsidR="0016720B" w:rsidRPr="00121A6A">
        <w:rPr>
          <w:sz w:val="24"/>
          <w:szCs w:val="24"/>
        </w:rPr>
        <w:t xml:space="preserve"> van de richtlijn</w:t>
      </w:r>
      <w:r w:rsidR="00971BD4" w:rsidRPr="00121A6A">
        <w:rPr>
          <w:sz w:val="24"/>
          <w:szCs w:val="24"/>
        </w:rPr>
        <w:t xml:space="preserve"> </w:t>
      </w:r>
      <w:r w:rsidR="00D5741A" w:rsidRPr="00121A6A">
        <w:rPr>
          <w:sz w:val="24"/>
          <w:szCs w:val="24"/>
        </w:rPr>
        <w:t xml:space="preserve">bepaald </w:t>
      </w:r>
      <w:r w:rsidR="00914788" w:rsidRPr="00121A6A">
        <w:rPr>
          <w:sz w:val="24"/>
          <w:szCs w:val="24"/>
        </w:rPr>
        <w:t xml:space="preserve">welke arbeidsvoorwaarden </w:t>
      </w:r>
      <w:r w:rsidR="00867449" w:rsidRPr="00121A6A">
        <w:rPr>
          <w:sz w:val="24"/>
          <w:szCs w:val="24"/>
        </w:rPr>
        <w:t xml:space="preserve">uit </w:t>
      </w:r>
      <w:r w:rsidR="00914788" w:rsidRPr="00121A6A">
        <w:rPr>
          <w:sz w:val="24"/>
          <w:szCs w:val="24"/>
        </w:rPr>
        <w:t xml:space="preserve">de </w:t>
      </w:r>
      <w:r w:rsidR="002E34B9" w:rsidRPr="00121A6A">
        <w:rPr>
          <w:sz w:val="24"/>
          <w:szCs w:val="24"/>
        </w:rPr>
        <w:t>ontvangststaat</w:t>
      </w:r>
      <w:r w:rsidR="00AF4D20" w:rsidRPr="00121A6A">
        <w:rPr>
          <w:sz w:val="24"/>
          <w:szCs w:val="24"/>
        </w:rPr>
        <w:t xml:space="preserve">, vastgesteld in wetgeving of </w:t>
      </w:r>
      <w:r w:rsidR="002E34B9" w:rsidRPr="00121A6A">
        <w:rPr>
          <w:sz w:val="24"/>
          <w:szCs w:val="24"/>
        </w:rPr>
        <w:t>algemene</w:t>
      </w:r>
      <w:r w:rsidR="00AF4D20" w:rsidRPr="00121A6A">
        <w:rPr>
          <w:sz w:val="24"/>
          <w:szCs w:val="24"/>
        </w:rPr>
        <w:t xml:space="preserve"> </w:t>
      </w:r>
      <w:r w:rsidR="00C5044D" w:rsidRPr="00121A6A">
        <w:rPr>
          <w:sz w:val="24"/>
          <w:szCs w:val="24"/>
        </w:rPr>
        <w:t>cao’s</w:t>
      </w:r>
      <w:r w:rsidR="00AF4D20" w:rsidRPr="00121A6A">
        <w:rPr>
          <w:sz w:val="24"/>
          <w:szCs w:val="24"/>
        </w:rPr>
        <w:t>,</w:t>
      </w:r>
      <w:r w:rsidR="00914788" w:rsidRPr="00121A6A">
        <w:rPr>
          <w:sz w:val="24"/>
          <w:szCs w:val="24"/>
        </w:rPr>
        <w:t xml:space="preserve"> </w:t>
      </w:r>
      <w:r w:rsidR="00AF4D20" w:rsidRPr="00121A6A">
        <w:rPr>
          <w:sz w:val="24"/>
          <w:szCs w:val="24"/>
        </w:rPr>
        <w:t xml:space="preserve">ten minste van toepassing zijn op </w:t>
      </w:r>
      <w:r w:rsidR="002E34B9" w:rsidRPr="00121A6A">
        <w:rPr>
          <w:sz w:val="24"/>
          <w:szCs w:val="24"/>
        </w:rPr>
        <w:t xml:space="preserve">transnationaal </w:t>
      </w:r>
      <w:r w:rsidR="00867449" w:rsidRPr="00121A6A">
        <w:rPr>
          <w:sz w:val="24"/>
          <w:szCs w:val="24"/>
        </w:rPr>
        <w:t>gedetacheerde werknemers</w:t>
      </w:r>
      <w:r w:rsidR="00B06626" w:rsidRPr="00121A6A">
        <w:rPr>
          <w:sz w:val="24"/>
          <w:szCs w:val="24"/>
        </w:rPr>
        <w:t>.</w:t>
      </w:r>
      <w:r w:rsidR="00914788" w:rsidRPr="00121A6A">
        <w:rPr>
          <w:sz w:val="24"/>
          <w:szCs w:val="24"/>
        </w:rPr>
        <w:t xml:space="preserve"> </w:t>
      </w:r>
      <w:r w:rsidR="00971BD4" w:rsidRPr="00121A6A">
        <w:rPr>
          <w:sz w:val="24"/>
          <w:szCs w:val="24"/>
        </w:rPr>
        <w:t xml:space="preserve">Hoewel </w:t>
      </w:r>
      <w:r w:rsidR="001401AC" w:rsidRPr="00121A6A">
        <w:rPr>
          <w:sz w:val="24"/>
          <w:szCs w:val="24"/>
        </w:rPr>
        <w:t>krachtens</w:t>
      </w:r>
      <w:r w:rsidR="00971BD4" w:rsidRPr="00121A6A">
        <w:rPr>
          <w:sz w:val="24"/>
          <w:szCs w:val="24"/>
        </w:rPr>
        <w:t xml:space="preserve"> artikel 3 lid 7 </w:t>
      </w:r>
      <w:r w:rsidR="00034BE7">
        <w:rPr>
          <w:sz w:val="24"/>
          <w:szCs w:val="24"/>
        </w:rPr>
        <w:t xml:space="preserve">van de richtlijn </w:t>
      </w:r>
      <w:r w:rsidR="00FE7F96" w:rsidRPr="00121A6A">
        <w:rPr>
          <w:sz w:val="24"/>
          <w:szCs w:val="24"/>
        </w:rPr>
        <w:t xml:space="preserve">gunstigere arbeidsvoorwaarden mogen </w:t>
      </w:r>
      <w:r w:rsidR="00AF4D20" w:rsidRPr="00121A6A">
        <w:rPr>
          <w:sz w:val="24"/>
          <w:szCs w:val="24"/>
        </w:rPr>
        <w:t>worden toegepast</w:t>
      </w:r>
      <w:r w:rsidR="00DA60DD" w:rsidRPr="00121A6A">
        <w:rPr>
          <w:sz w:val="24"/>
          <w:szCs w:val="24"/>
        </w:rPr>
        <w:t>,</w:t>
      </w:r>
      <w:r w:rsidR="00C50E0E" w:rsidRPr="00121A6A">
        <w:rPr>
          <w:rStyle w:val="FootnoteReference"/>
          <w:sz w:val="24"/>
          <w:szCs w:val="24"/>
        </w:rPr>
        <w:footnoteReference w:id="39"/>
      </w:r>
      <w:r w:rsidR="00DA60DD" w:rsidRPr="00121A6A">
        <w:rPr>
          <w:sz w:val="24"/>
          <w:szCs w:val="24"/>
        </w:rPr>
        <w:t xml:space="preserve"> </w:t>
      </w:r>
      <w:r w:rsidR="007851F4" w:rsidRPr="00121A6A">
        <w:rPr>
          <w:sz w:val="24"/>
          <w:szCs w:val="24"/>
        </w:rPr>
        <w:t xml:space="preserve">is het de vraag hoe </w:t>
      </w:r>
      <w:r w:rsidR="00034BE7">
        <w:rPr>
          <w:sz w:val="24"/>
          <w:szCs w:val="24"/>
        </w:rPr>
        <w:t xml:space="preserve">dat </w:t>
      </w:r>
      <w:r w:rsidR="007851F4" w:rsidRPr="00121A6A">
        <w:rPr>
          <w:sz w:val="24"/>
          <w:szCs w:val="24"/>
        </w:rPr>
        <w:t>zich verhoudt tot het vrij</w:t>
      </w:r>
      <w:r w:rsidR="00EC5BD5" w:rsidRPr="00121A6A">
        <w:rPr>
          <w:sz w:val="24"/>
          <w:szCs w:val="24"/>
        </w:rPr>
        <w:t>e</w:t>
      </w:r>
      <w:r w:rsidR="007851F4" w:rsidRPr="00121A6A">
        <w:rPr>
          <w:sz w:val="24"/>
          <w:szCs w:val="24"/>
        </w:rPr>
        <w:t xml:space="preserve"> </w:t>
      </w:r>
      <w:r w:rsidR="00EC5BD5" w:rsidRPr="00121A6A">
        <w:rPr>
          <w:sz w:val="24"/>
          <w:szCs w:val="24"/>
        </w:rPr>
        <w:t>diensten</w:t>
      </w:r>
      <w:r w:rsidR="007851F4" w:rsidRPr="00121A6A">
        <w:rPr>
          <w:sz w:val="24"/>
          <w:szCs w:val="24"/>
        </w:rPr>
        <w:t xml:space="preserve">verkeer. </w:t>
      </w:r>
      <w:r w:rsidR="00330428" w:rsidRPr="00121A6A">
        <w:rPr>
          <w:sz w:val="24"/>
          <w:szCs w:val="24"/>
        </w:rPr>
        <w:t xml:space="preserve">Immers, méér werknemersbescherming betekent </w:t>
      </w:r>
      <w:r w:rsidR="00B06626" w:rsidRPr="00121A6A">
        <w:rPr>
          <w:sz w:val="24"/>
          <w:szCs w:val="24"/>
        </w:rPr>
        <w:t xml:space="preserve">méér arbeidsrechtelijke verplichtingen voor de werkgever </w:t>
      </w:r>
      <w:r w:rsidR="00330428" w:rsidRPr="00121A6A">
        <w:rPr>
          <w:sz w:val="24"/>
          <w:szCs w:val="24"/>
        </w:rPr>
        <w:t>e</w:t>
      </w:r>
      <w:r w:rsidR="00B06626" w:rsidRPr="00121A6A">
        <w:rPr>
          <w:sz w:val="24"/>
          <w:szCs w:val="24"/>
        </w:rPr>
        <w:t>n derhalve een</w:t>
      </w:r>
      <w:r w:rsidR="00330428" w:rsidRPr="00121A6A">
        <w:rPr>
          <w:sz w:val="24"/>
          <w:szCs w:val="24"/>
        </w:rPr>
        <w:t xml:space="preserve"> grotere belemmering voor grensoverschrijdende dienstverlening. </w:t>
      </w:r>
      <w:r w:rsidR="007851F4" w:rsidRPr="00121A6A">
        <w:rPr>
          <w:sz w:val="24"/>
          <w:szCs w:val="24"/>
        </w:rPr>
        <w:t xml:space="preserve">Precies </w:t>
      </w:r>
      <w:r w:rsidR="002F0BEE">
        <w:rPr>
          <w:sz w:val="24"/>
          <w:szCs w:val="24"/>
        </w:rPr>
        <w:t>dit punt</w:t>
      </w:r>
      <w:r w:rsidR="007851F4" w:rsidRPr="00121A6A">
        <w:rPr>
          <w:sz w:val="24"/>
          <w:szCs w:val="24"/>
        </w:rPr>
        <w:t xml:space="preserve"> stond (mede) ter discussie in </w:t>
      </w:r>
      <w:r w:rsidR="007851F4" w:rsidRPr="00121A6A">
        <w:rPr>
          <w:i/>
          <w:iCs/>
          <w:sz w:val="24"/>
          <w:szCs w:val="24"/>
        </w:rPr>
        <w:t>Laval</w:t>
      </w:r>
      <w:r w:rsidR="00913A6E" w:rsidRPr="00121A6A">
        <w:rPr>
          <w:sz w:val="24"/>
          <w:szCs w:val="24"/>
        </w:rPr>
        <w:t>, daar de Zweedse bouw-cao</w:t>
      </w:r>
      <w:r w:rsidR="00F055DD" w:rsidRPr="00121A6A">
        <w:rPr>
          <w:sz w:val="24"/>
          <w:szCs w:val="24"/>
        </w:rPr>
        <w:t xml:space="preserve"> aangaande bepaalde in artikel 3 lid 1 </w:t>
      </w:r>
      <w:r w:rsidR="00A95CF9" w:rsidRPr="00121A6A">
        <w:rPr>
          <w:sz w:val="24"/>
          <w:szCs w:val="24"/>
        </w:rPr>
        <w:t xml:space="preserve">van de richtlijn </w:t>
      </w:r>
      <w:r w:rsidR="00F055DD" w:rsidRPr="00121A6A">
        <w:rPr>
          <w:sz w:val="24"/>
          <w:szCs w:val="24"/>
        </w:rPr>
        <w:t>genoemde onderwerpen (arbeidstijden en vakantiedagen)</w:t>
      </w:r>
      <w:r w:rsidR="008148BA" w:rsidRPr="00121A6A">
        <w:rPr>
          <w:sz w:val="24"/>
          <w:szCs w:val="24"/>
        </w:rPr>
        <w:t xml:space="preserve"> voorzag</w:t>
      </w:r>
      <w:r w:rsidR="00F055DD" w:rsidRPr="00121A6A">
        <w:rPr>
          <w:sz w:val="24"/>
          <w:szCs w:val="24"/>
        </w:rPr>
        <w:t xml:space="preserve"> in gunstigere arbeidsvoorwaarden dan die verankerd in Zweedse wetgeving. Daarnaast omvatte de </w:t>
      </w:r>
      <w:r w:rsidR="002F0BEE">
        <w:rPr>
          <w:sz w:val="24"/>
          <w:szCs w:val="24"/>
        </w:rPr>
        <w:t>bouw-</w:t>
      </w:r>
      <w:r w:rsidR="00F055DD" w:rsidRPr="00121A6A">
        <w:rPr>
          <w:sz w:val="24"/>
          <w:szCs w:val="24"/>
        </w:rPr>
        <w:t xml:space="preserve">cao </w:t>
      </w:r>
      <w:r w:rsidR="00F055DD" w:rsidRPr="00121A6A">
        <w:rPr>
          <w:i/>
          <w:iCs/>
          <w:sz w:val="24"/>
          <w:szCs w:val="24"/>
        </w:rPr>
        <w:t>andere</w:t>
      </w:r>
      <w:r w:rsidR="00F055DD" w:rsidRPr="00121A6A">
        <w:rPr>
          <w:sz w:val="24"/>
          <w:szCs w:val="24"/>
        </w:rPr>
        <w:t xml:space="preserve"> onderwerpen dan die genoemd in artikel 3 lid 1 Detacheringsrichtlijn.</w:t>
      </w:r>
    </w:p>
    <w:p w14:paraId="28C65B7E" w14:textId="6A205BB1" w:rsidR="006A619F" w:rsidRPr="00121A6A" w:rsidRDefault="00A6092F" w:rsidP="00D9661E">
      <w:pPr>
        <w:spacing w:after="0"/>
        <w:ind w:firstLine="708"/>
        <w:jc w:val="both"/>
        <w:rPr>
          <w:sz w:val="24"/>
          <w:szCs w:val="24"/>
        </w:rPr>
      </w:pPr>
      <w:r w:rsidRPr="00121A6A">
        <w:rPr>
          <w:sz w:val="24"/>
          <w:szCs w:val="24"/>
        </w:rPr>
        <w:t>Voor wat betreft die andere onderwerpen oordeelde het Hof dat blijkens artikel 3 lid 10 Detacheringsrichtlijn enkel de</w:t>
      </w:r>
      <w:r w:rsidRPr="00121A6A">
        <w:rPr>
          <w:i/>
          <w:iCs/>
          <w:sz w:val="24"/>
          <w:szCs w:val="24"/>
        </w:rPr>
        <w:t xml:space="preserve"> </w:t>
      </w:r>
      <w:r w:rsidR="00FA141D" w:rsidRPr="00121A6A">
        <w:rPr>
          <w:sz w:val="24"/>
          <w:szCs w:val="24"/>
        </w:rPr>
        <w:t>ontvangststaat</w:t>
      </w:r>
      <w:r w:rsidRPr="00121A6A">
        <w:rPr>
          <w:sz w:val="24"/>
          <w:szCs w:val="24"/>
        </w:rPr>
        <w:t xml:space="preserve"> (en niet de vakbond) onder omstandigheden arbeidsvoorwaarden kan voorschrijven die betrekking hebben op andere aangelegenheden. </w:t>
      </w:r>
      <w:r w:rsidR="008148BA" w:rsidRPr="00121A6A">
        <w:rPr>
          <w:sz w:val="24"/>
          <w:szCs w:val="24"/>
        </w:rPr>
        <w:t xml:space="preserve">Inzake arbeidstijden en vakantiedagen </w:t>
      </w:r>
      <w:r w:rsidR="00FD7EC1" w:rsidRPr="00121A6A">
        <w:rPr>
          <w:sz w:val="24"/>
          <w:szCs w:val="24"/>
        </w:rPr>
        <w:t>overwoog</w:t>
      </w:r>
      <w:r w:rsidR="008148BA" w:rsidRPr="00121A6A">
        <w:rPr>
          <w:sz w:val="24"/>
          <w:szCs w:val="24"/>
        </w:rPr>
        <w:t xml:space="preserve"> het Hof</w:t>
      </w:r>
      <w:r w:rsidR="007851F4" w:rsidRPr="00121A6A">
        <w:rPr>
          <w:sz w:val="24"/>
          <w:szCs w:val="24"/>
        </w:rPr>
        <w:t xml:space="preserve"> dat de </w:t>
      </w:r>
      <w:r w:rsidR="00913A6E" w:rsidRPr="00121A6A">
        <w:rPr>
          <w:sz w:val="24"/>
          <w:szCs w:val="24"/>
        </w:rPr>
        <w:t>staking</w:t>
      </w:r>
      <w:r w:rsidR="00D167E4" w:rsidRPr="00121A6A">
        <w:rPr>
          <w:sz w:val="24"/>
          <w:szCs w:val="24"/>
        </w:rPr>
        <w:t>sactie</w:t>
      </w:r>
      <w:r w:rsidR="00913A6E" w:rsidRPr="00121A6A">
        <w:rPr>
          <w:sz w:val="24"/>
          <w:szCs w:val="24"/>
        </w:rPr>
        <w:t xml:space="preserve"> van de </w:t>
      </w:r>
      <w:r w:rsidR="007851F4" w:rsidRPr="00121A6A">
        <w:rPr>
          <w:sz w:val="24"/>
          <w:szCs w:val="24"/>
        </w:rPr>
        <w:t>Zweedse vakbond</w:t>
      </w:r>
      <w:r w:rsidR="00FE2478" w:rsidRPr="00121A6A">
        <w:rPr>
          <w:sz w:val="24"/>
          <w:szCs w:val="24"/>
        </w:rPr>
        <w:t xml:space="preserve"> de effectiviteit van het vrije dienstenverkeer in gevaar </w:t>
      </w:r>
      <w:r w:rsidR="00295132">
        <w:rPr>
          <w:sz w:val="24"/>
          <w:szCs w:val="24"/>
        </w:rPr>
        <w:t>bracht</w:t>
      </w:r>
      <w:r w:rsidR="00FE2478" w:rsidRPr="00121A6A">
        <w:rPr>
          <w:sz w:val="24"/>
          <w:szCs w:val="24"/>
        </w:rPr>
        <w:t xml:space="preserve">. </w:t>
      </w:r>
      <w:r w:rsidR="0009267D">
        <w:rPr>
          <w:sz w:val="24"/>
          <w:szCs w:val="24"/>
        </w:rPr>
        <w:t>D</w:t>
      </w:r>
      <w:r w:rsidR="00913A6E" w:rsidRPr="00121A6A">
        <w:rPr>
          <w:sz w:val="24"/>
          <w:szCs w:val="24"/>
        </w:rPr>
        <w:t xml:space="preserve">e </w:t>
      </w:r>
      <w:r w:rsidR="0009267D">
        <w:rPr>
          <w:sz w:val="24"/>
          <w:szCs w:val="24"/>
        </w:rPr>
        <w:t>actie verstoorde</w:t>
      </w:r>
      <w:r w:rsidR="00980E9A">
        <w:rPr>
          <w:sz w:val="24"/>
          <w:szCs w:val="24"/>
        </w:rPr>
        <w:t xml:space="preserve"> </w:t>
      </w:r>
      <w:r w:rsidR="0009267D">
        <w:rPr>
          <w:sz w:val="24"/>
          <w:szCs w:val="24"/>
        </w:rPr>
        <w:t xml:space="preserve">de </w:t>
      </w:r>
      <w:r w:rsidR="00313539" w:rsidRPr="00121A6A">
        <w:rPr>
          <w:sz w:val="24"/>
          <w:szCs w:val="24"/>
        </w:rPr>
        <w:t>in de Detacheringsrichtlijn gevonden balans</w:t>
      </w:r>
      <w:r w:rsidR="0009267D">
        <w:rPr>
          <w:sz w:val="24"/>
          <w:szCs w:val="24"/>
        </w:rPr>
        <w:t xml:space="preserve"> en ging daardoor verder</w:t>
      </w:r>
      <w:r w:rsidR="00313539" w:rsidRPr="00121A6A">
        <w:rPr>
          <w:sz w:val="24"/>
          <w:szCs w:val="24"/>
        </w:rPr>
        <w:t xml:space="preserve"> </w:t>
      </w:r>
      <w:r w:rsidR="00FE2478" w:rsidRPr="00121A6A">
        <w:rPr>
          <w:sz w:val="24"/>
          <w:szCs w:val="24"/>
        </w:rPr>
        <w:t xml:space="preserve">dan noodzakelijk in het licht van </w:t>
      </w:r>
      <w:r w:rsidR="00FA141D" w:rsidRPr="00121A6A">
        <w:rPr>
          <w:sz w:val="24"/>
          <w:szCs w:val="24"/>
        </w:rPr>
        <w:lastRenderedPageBreak/>
        <w:t>werknemersbescherming</w:t>
      </w:r>
      <w:r w:rsidR="00FE2478" w:rsidRPr="00121A6A">
        <w:rPr>
          <w:sz w:val="24"/>
          <w:szCs w:val="24"/>
        </w:rPr>
        <w:t>.</w:t>
      </w:r>
      <w:r w:rsidR="00BE0CCD" w:rsidRPr="00121A6A">
        <w:rPr>
          <w:rStyle w:val="FootnoteReference"/>
          <w:sz w:val="24"/>
          <w:szCs w:val="24"/>
        </w:rPr>
        <w:footnoteReference w:id="40"/>
      </w:r>
      <w:r w:rsidR="009C7165" w:rsidRPr="00121A6A">
        <w:rPr>
          <w:sz w:val="24"/>
          <w:szCs w:val="24"/>
        </w:rPr>
        <w:t xml:space="preserve"> </w:t>
      </w:r>
      <w:r w:rsidR="008600C1" w:rsidRPr="00121A6A">
        <w:rPr>
          <w:sz w:val="24"/>
          <w:szCs w:val="24"/>
        </w:rPr>
        <w:t xml:space="preserve">Zodoende gebruikte het Hof artikel 3 lid 1 </w:t>
      </w:r>
      <w:r w:rsidR="00ED4E66" w:rsidRPr="00121A6A">
        <w:rPr>
          <w:sz w:val="24"/>
          <w:szCs w:val="24"/>
        </w:rPr>
        <w:t xml:space="preserve">Detacheringsrichtlijn </w:t>
      </w:r>
      <w:r w:rsidR="008600C1" w:rsidRPr="00121A6A">
        <w:rPr>
          <w:sz w:val="24"/>
          <w:szCs w:val="24"/>
        </w:rPr>
        <w:t xml:space="preserve">voor een strikte invulling van de proportionaliteitstoets. </w:t>
      </w:r>
      <w:r w:rsidR="00842032" w:rsidRPr="00121A6A">
        <w:rPr>
          <w:sz w:val="24"/>
          <w:szCs w:val="24"/>
        </w:rPr>
        <w:t>Deze benadering toon</w:t>
      </w:r>
      <w:r w:rsidR="00B11DBB">
        <w:rPr>
          <w:sz w:val="24"/>
          <w:szCs w:val="24"/>
        </w:rPr>
        <w:t>t</w:t>
      </w:r>
      <w:r w:rsidR="00842032" w:rsidRPr="00121A6A">
        <w:rPr>
          <w:sz w:val="24"/>
          <w:szCs w:val="24"/>
        </w:rPr>
        <w:t xml:space="preserve"> </w:t>
      </w:r>
      <w:r w:rsidR="00657577" w:rsidRPr="00121A6A">
        <w:rPr>
          <w:sz w:val="24"/>
          <w:szCs w:val="24"/>
        </w:rPr>
        <w:t xml:space="preserve">de macht van </w:t>
      </w:r>
      <w:r w:rsidR="00D63961">
        <w:rPr>
          <w:sz w:val="24"/>
          <w:szCs w:val="24"/>
        </w:rPr>
        <w:t>het vrije dienstenverkeer</w:t>
      </w:r>
      <w:r w:rsidR="00842032" w:rsidRPr="00121A6A">
        <w:rPr>
          <w:sz w:val="24"/>
          <w:szCs w:val="24"/>
        </w:rPr>
        <w:t>, d</w:t>
      </w:r>
      <w:r w:rsidR="00D63961">
        <w:rPr>
          <w:sz w:val="24"/>
          <w:szCs w:val="24"/>
        </w:rPr>
        <w:t>at</w:t>
      </w:r>
      <w:r w:rsidR="00842032" w:rsidRPr="00121A6A">
        <w:rPr>
          <w:sz w:val="24"/>
          <w:szCs w:val="24"/>
        </w:rPr>
        <w:t xml:space="preserve"> </w:t>
      </w:r>
      <w:r w:rsidR="00842032" w:rsidRPr="00121A6A">
        <w:rPr>
          <w:i/>
          <w:iCs/>
          <w:sz w:val="24"/>
          <w:szCs w:val="24"/>
        </w:rPr>
        <w:t xml:space="preserve">de facto </w:t>
      </w:r>
      <w:r w:rsidR="00842032" w:rsidRPr="00121A6A">
        <w:rPr>
          <w:sz w:val="24"/>
          <w:szCs w:val="24"/>
        </w:rPr>
        <w:t>prevale</w:t>
      </w:r>
      <w:r w:rsidR="00E1721F" w:rsidRPr="00121A6A">
        <w:rPr>
          <w:sz w:val="24"/>
          <w:szCs w:val="24"/>
        </w:rPr>
        <w:t>erde</w:t>
      </w:r>
      <w:r w:rsidR="00657577" w:rsidRPr="00121A6A">
        <w:rPr>
          <w:sz w:val="24"/>
          <w:szCs w:val="24"/>
        </w:rPr>
        <w:t xml:space="preserve"> boven sociale doelen</w:t>
      </w:r>
      <w:r w:rsidR="00842032" w:rsidRPr="00121A6A">
        <w:rPr>
          <w:sz w:val="24"/>
          <w:szCs w:val="24"/>
        </w:rPr>
        <w:t>.</w:t>
      </w:r>
    </w:p>
    <w:p w14:paraId="04DAAA48" w14:textId="77777777" w:rsidR="00EB72BB" w:rsidRPr="00121A6A" w:rsidRDefault="00EB72BB" w:rsidP="00EB72BB">
      <w:pPr>
        <w:spacing w:after="0"/>
        <w:ind w:firstLine="708"/>
        <w:jc w:val="both"/>
        <w:rPr>
          <w:sz w:val="24"/>
          <w:szCs w:val="24"/>
        </w:rPr>
      </w:pPr>
    </w:p>
    <w:p w14:paraId="63BE6CCC" w14:textId="4A96AF64" w:rsidR="00040A9C" w:rsidRPr="00121A6A" w:rsidRDefault="00040A9C" w:rsidP="00040A9C">
      <w:pPr>
        <w:pStyle w:val="Heading3"/>
        <w:jc w:val="both"/>
        <w:rPr>
          <w:sz w:val="24"/>
          <w:szCs w:val="24"/>
        </w:rPr>
      </w:pPr>
      <w:bookmarkStart w:id="21" w:name="_Toc169963047"/>
      <w:r w:rsidRPr="00121A6A">
        <w:rPr>
          <w:sz w:val="24"/>
          <w:szCs w:val="24"/>
        </w:rPr>
        <w:t>Bevestiging van de uitgezette lijn</w:t>
      </w:r>
      <w:bookmarkEnd w:id="21"/>
    </w:p>
    <w:p w14:paraId="6847ADF8" w14:textId="4DDFA004" w:rsidR="00EE5FBE" w:rsidRPr="00121A6A" w:rsidRDefault="00040A9C" w:rsidP="00040A9C">
      <w:pPr>
        <w:spacing w:after="0"/>
        <w:jc w:val="both"/>
        <w:rPr>
          <w:sz w:val="24"/>
          <w:szCs w:val="24"/>
        </w:rPr>
      </w:pPr>
      <w:r w:rsidRPr="00121A6A">
        <w:rPr>
          <w:sz w:val="24"/>
          <w:szCs w:val="24"/>
        </w:rPr>
        <w:t xml:space="preserve">Na </w:t>
      </w:r>
      <w:r w:rsidRPr="00121A6A">
        <w:rPr>
          <w:i/>
          <w:iCs/>
          <w:sz w:val="24"/>
          <w:szCs w:val="24"/>
        </w:rPr>
        <w:t xml:space="preserve">Viking </w:t>
      </w:r>
      <w:r w:rsidRPr="00121A6A">
        <w:rPr>
          <w:sz w:val="24"/>
          <w:szCs w:val="24"/>
        </w:rPr>
        <w:t xml:space="preserve">en </w:t>
      </w:r>
      <w:r w:rsidRPr="00121A6A">
        <w:rPr>
          <w:i/>
          <w:iCs/>
          <w:sz w:val="24"/>
          <w:szCs w:val="24"/>
        </w:rPr>
        <w:t xml:space="preserve">Laval </w:t>
      </w:r>
      <w:r w:rsidRPr="00121A6A">
        <w:rPr>
          <w:sz w:val="24"/>
          <w:szCs w:val="24"/>
        </w:rPr>
        <w:t xml:space="preserve">heeft het Hof zich niet meer </w:t>
      </w:r>
      <w:r w:rsidR="00484539">
        <w:rPr>
          <w:sz w:val="24"/>
          <w:szCs w:val="24"/>
        </w:rPr>
        <w:t>(</w:t>
      </w:r>
      <w:r w:rsidRPr="00121A6A">
        <w:rPr>
          <w:sz w:val="24"/>
          <w:szCs w:val="24"/>
        </w:rPr>
        <w:t>expliciet</w:t>
      </w:r>
      <w:r w:rsidR="00484539">
        <w:rPr>
          <w:sz w:val="24"/>
          <w:szCs w:val="24"/>
        </w:rPr>
        <w:t>)</w:t>
      </w:r>
      <w:r w:rsidRPr="00121A6A">
        <w:rPr>
          <w:sz w:val="24"/>
          <w:szCs w:val="24"/>
        </w:rPr>
        <w:t xml:space="preserve"> hoeven uitlaten over de verhouding tussen het grondrecht op collectieve actie en </w:t>
      </w:r>
      <w:r w:rsidR="00484539">
        <w:rPr>
          <w:sz w:val="24"/>
          <w:szCs w:val="24"/>
        </w:rPr>
        <w:t xml:space="preserve">de fundamentele vrijheden van de interne </w:t>
      </w:r>
      <w:r w:rsidRPr="00121A6A">
        <w:rPr>
          <w:sz w:val="24"/>
          <w:szCs w:val="24"/>
        </w:rPr>
        <w:t>markt. Wel volgde</w:t>
      </w:r>
      <w:r w:rsidR="00484539">
        <w:rPr>
          <w:sz w:val="24"/>
          <w:szCs w:val="24"/>
        </w:rPr>
        <w:t>n</w:t>
      </w:r>
      <w:r w:rsidRPr="00121A6A">
        <w:rPr>
          <w:sz w:val="24"/>
          <w:szCs w:val="24"/>
        </w:rPr>
        <w:t xml:space="preserve"> een aantal andere arresten die logisch passen in de uitgezette lijn. </w:t>
      </w:r>
      <w:r w:rsidR="004A7F82" w:rsidRPr="00121A6A">
        <w:rPr>
          <w:sz w:val="24"/>
          <w:szCs w:val="24"/>
        </w:rPr>
        <w:t xml:space="preserve">In </w:t>
      </w:r>
      <w:proofErr w:type="spellStart"/>
      <w:r w:rsidRPr="00121A6A">
        <w:rPr>
          <w:i/>
          <w:iCs/>
          <w:sz w:val="24"/>
          <w:szCs w:val="24"/>
        </w:rPr>
        <w:t>Rüffert</w:t>
      </w:r>
      <w:proofErr w:type="spellEnd"/>
      <w:r w:rsidRPr="00121A6A">
        <w:rPr>
          <w:sz w:val="24"/>
          <w:szCs w:val="24"/>
        </w:rPr>
        <w:t xml:space="preserve"> en </w:t>
      </w:r>
      <w:r w:rsidRPr="00121A6A">
        <w:rPr>
          <w:i/>
          <w:iCs/>
          <w:sz w:val="24"/>
          <w:szCs w:val="24"/>
        </w:rPr>
        <w:t>Commissie/Luxemburg</w:t>
      </w:r>
      <w:r w:rsidR="009C7165" w:rsidRPr="00121A6A">
        <w:rPr>
          <w:sz w:val="24"/>
          <w:szCs w:val="24"/>
        </w:rPr>
        <w:t xml:space="preserve"> bevestigde</w:t>
      </w:r>
      <w:r w:rsidRPr="00121A6A">
        <w:rPr>
          <w:sz w:val="24"/>
          <w:szCs w:val="24"/>
        </w:rPr>
        <w:t xml:space="preserve"> </w:t>
      </w:r>
      <w:r w:rsidR="004A7F82" w:rsidRPr="00121A6A">
        <w:rPr>
          <w:sz w:val="24"/>
          <w:szCs w:val="24"/>
        </w:rPr>
        <w:t xml:space="preserve">het Hof </w:t>
      </w:r>
      <w:r w:rsidRPr="00121A6A">
        <w:rPr>
          <w:sz w:val="24"/>
          <w:szCs w:val="24"/>
        </w:rPr>
        <w:t>dat het vrij</w:t>
      </w:r>
      <w:r w:rsidR="008620C5" w:rsidRPr="00121A6A">
        <w:rPr>
          <w:sz w:val="24"/>
          <w:szCs w:val="24"/>
        </w:rPr>
        <w:t>e</w:t>
      </w:r>
      <w:r w:rsidRPr="00121A6A">
        <w:rPr>
          <w:sz w:val="24"/>
          <w:szCs w:val="24"/>
        </w:rPr>
        <w:t xml:space="preserve"> </w:t>
      </w:r>
      <w:r w:rsidR="008620C5" w:rsidRPr="00121A6A">
        <w:rPr>
          <w:sz w:val="24"/>
          <w:szCs w:val="24"/>
        </w:rPr>
        <w:t>diensten</w:t>
      </w:r>
      <w:r w:rsidRPr="00121A6A">
        <w:rPr>
          <w:sz w:val="24"/>
          <w:szCs w:val="24"/>
        </w:rPr>
        <w:t xml:space="preserve">verkeer </w:t>
      </w:r>
      <w:r w:rsidR="00274A62" w:rsidRPr="00121A6A">
        <w:rPr>
          <w:sz w:val="24"/>
          <w:szCs w:val="24"/>
        </w:rPr>
        <w:t>niet alleen</w:t>
      </w:r>
      <w:r w:rsidRPr="00121A6A">
        <w:rPr>
          <w:sz w:val="24"/>
          <w:szCs w:val="24"/>
        </w:rPr>
        <w:t xml:space="preserve"> </w:t>
      </w:r>
      <w:r w:rsidR="007D7043" w:rsidRPr="00121A6A">
        <w:rPr>
          <w:sz w:val="24"/>
          <w:szCs w:val="24"/>
        </w:rPr>
        <w:t>in de weg staat aan het afdwingen van</w:t>
      </w:r>
      <w:r w:rsidR="00274A62" w:rsidRPr="00121A6A">
        <w:rPr>
          <w:sz w:val="24"/>
          <w:szCs w:val="24"/>
        </w:rPr>
        <w:t xml:space="preserve"> </w:t>
      </w:r>
      <w:r w:rsidR="00EF6A8C">
        <w:rPr>
          <w:sz w:val="24"/>
          <w:szCs w:val="24"/>
        </w:rPr>
        <w:t>gunstigere</w:t>
      </w:r>
      <w:r w:rsidR="009C7165" w:rsidRPr="00121A6A">
        <w:rPr>
          <w:sz w:val="24"/>
          <w:szCs w:val="24"/>
        </w:rPr>
        <w:t xml:space="preserve"> arbeidsvoorwaarden </w:t>
      </w:r>
      <w:r w:rsidR="00274A62" w:rsidRPr="00121A6A">
        <w:rPr>
          <w:sz w:val="24"/>
          <w:szCs w:val="24"/>
        </w:rPr>
        <w:t xml:space="preserve">via stakingen, maar ook </w:t>
      </w:r>
      <w:r w:rsidR="005B2F97" w:rsidRPr="00121A6A">
        <w:rPr>
          <w:sz w:val="24"/>
          <w:szCs w:val="24"/>
        </w:rPr>
        <w:t>via</w:t>
      </w:r>
      <w:r w:rsidR="00274A62" w:rsidRPr="00121A6A">
        <w:rPr>
          <w:sz w:val="24"/>
          <w:szCs w:val="24"/>
        </w:rPr>
        <w:t xml:space="preserve"> wetgevend optreden.</w:t>
      </w:r>
      <w:r w:rsidR="00851BBC" w:rsidRPr="00121A6A">
        <w:rPr>
          <w:rStyle w:val="FootnoteReference"/>
          <w:sz w:val="24"/>
          <w:szCs w:val="24"/>
        </w:rPr>
        <w:footnoteReference w:id="41"/>
      </w:r>
      <w:r w:rsidRPr="00121A6A">
        <w:rPr>
          <w:sz w:val="24"/>
          <w:szCs w:val="24"/>
        </w:rPr>
        <w:t xml:space="preserve"> In </w:t>
      </w:r>
      <w:r w:rsidRPr="00121A6A">
        <w:rPr>
          <w:i/>
          <w:iCs/>
          <w:sz w:val="24"/>
          <w:szCs w:val="24"/>
        </w:rPr>
        <w:t>Commissie/Duitsland</w:t>
      </w:r>
      <w:r w:rsidRPr="00121A6A">
        <w:rPr>
          <w:sz w:val="24"/>
          <w:szCs w:val="24"/>
        </w:rPr>
        <w:t xml:space="preserve"> greep het Hof evenmin de kans om </w:t>
      </w:r>
      <w:r w:rsidR="00F054DF" w:rsidRPr="00121A6A">
        <w:rPr>
          <w:sz w:val="24"/>
          <w:szCs w:val="24"/>
        </w:rPr>
        <w:t>eerdere rechtspraak</w:t>
      </w:r>
      <w:r w:rsidR="00D708B8" w:rsidRPr="00121A6A">
        <w:rPr>
          <w:i/>
          <w:iCs/>
          <w:sz w:val="24"/>
          <w:szCs w:val="24"/>
        </w:rPr>
        <w:t xml:space="preserve"> </w:t>
      </w:r>
      <w:r w:rsidR="00D708B8" w:rsidRPr="00121A6A">
        <w:rPr>
          <w:sz w:val="24"/>
          <w:szCs w:val="24"/>
        </w:rPr>
        <w:t>te nuanceren</w:t>
      </w:r>
      <w:r w:rsidRPr="00121A6A">
        <w:rPr>
          <w:sz w:val="24"/>
          <w:szCs w:val="24"/>
        </w:rPr>
        <w:t>.</w:t>
      </w:r>
      <w:r w:rsidRPr="00121A6A">
        <w:rPr>
          <w:rStyle w:val="FootnoteReference"/>
          <w:sz w:val="24"/>
          <w:szCs w:val="24"/>
        </w:rPr>
        <w:footnoteReference w:id="42"/>
      </w:r>
      <w:r w:rsidRPr="00121A6A">
        <w:rPr>
          <w:sz w:val="24"/>
          <w:szCs w:val="24"/>
        </w:rPr>
        <w:t xml:space="preserve"> De juridische kwestie</w:t>
      </w:r>
      <w:r w:rsidR="00D708B8" w:rsidRPr="00121A6A">
        <w:rPr>
          <w:sz w:val="24"/>
          <w:szCs w:val="24"/>
        </w:rPr>
        <w:t xml:space="preserve"> </w:t>
      </w:r>
      <w:r w:rsidR="005B39BA" w:rsidRPr="00121A6A">
        <w:rPr>
          <w:sz w:val="24"/>
          <w:szCs w:val="24"/>
        </w:rPr>
        <w:t>in deze zaak</w:t>
      </w:r>
      <w:r w:rsidRPr="00121A6A">
        <w:rPr>
          <w:sz w:val="24"/>
          <w:szCs w:val="24"/>
        </w:rPr>
        <w:t xml:space="preserve"> </w:t>
      </w:r>
      <w:r w:rsidR="005B39BA" w:rsidRPr="00121A6A">
        <w:rPr>
          <w:sz w:val="24"/>
          <w:szCs w:val="24"/>
        </w:rPr>
        <w:t xml:space="preserve">betrof </w:t>
      </w:r>
      <w:r w:rsidRPr="00121A6A">
        <w:rPr>
          <w:sz w:val="24"/>
          <w:szCs w:val="24"/>
        </w:rPr>
        <w:t xml:space="preserve">de spanning tussen de </w:t>
      </w:r>
      <w:r w:rsidR="00230104" w:rsidRPr="00121A6A">
        <w:rPr>
          <w:sz w:val="24"/>
          <w:szCs w:val="24"/>
        </w:rPr>
        <w:t>collectieve onderhandelingsvrijheid</w:t>
      </w:r>
      <w:r w:rsidR="000C7401" w:rsidRPr="00121A6A">
        <w:rPr>
          <w:sz w:val="24"/>
          <w:szCs w:val="24"/>
        </w:rPr>
        <w:t xml:space="preserve"> </w:t>
      </w:r>
      <w:r w:rsidRPr="00121A6A">
        <w:rPr>
          <w:sz w:val="24"/>
          <w:szCs w:val="24"/>
        </w:rPr>
        <w:t xml:space="preserve">en de vrijheid van dienstverrichting. Ondanks het door A-G </w:t>
      </w:r>
      <w:proofErr w:type="spellStart"/>
      <w:r w:rsidRPr="00121A6A">
        <w:rPr>
          <w:sz w:val="24"/>
          <w:szCs w:val="24"/>
        </w:rPr>
        <w:t>Trstenjak</w:t>
      </w:r>
      <w:proofErr w:type="spellEnd"/>
      <w:r w:rsidRPr="00121A6A">
        <w:rPr>
          <w:sz w:val="24"/>
          <w:szCs w:val="24"/>
        </w:rPr>
        <w:t xml:space="preserve"> voorgestelde alternatieve toetsingskader,</w:t>
      </w:r>
      <w:r w:rsidRPr="00121A6A">
        <w:rPr>
          <w:rStyle w:val="FootnoteReference"/>
          <w:sz w:val="24"/>
          <w:szCs w:val="24"/>
        </w:rPr>
        <w:footnoteReference w:id="43"/>
      </w:r>
      <w:r w:rsidRPr="00121A6A">
        <w:rPr>
          <w:sz w:val="24"/>
          <w:szCs w:val="24"/>
        </w:rPr>
        <w:t xml:space="preserve"> koos het Hof voor eenzelfde benadering als in </w:t>
      </w:r>
      <w:r w:rsidRPr="00121A6A">
        <w:rPr>
          <w:i/>
          <w:iCs/>
          <w:sz w:val="24"/>
          <w:szCs w:val="24"/>
        </w:rPr>
        <w:t xml:space="preserve">Viking </w:t>
      </w:r>
      <w:r w:rsidRPr="00121A6A">
        <w:rPr>
          <w:sz w:val="24"/>
          <w:szCs w:val="24"/>
        </w:rPr>
        <w:t xml:space="preserve">en </w:t>
      </w:r>
      <w:r w:rsidRPr="00121A6A">
        <w:rPr>
          <w:i/>
          <w:iCs/>
          <w:sz w:val="24"/>
          <w:szCs w:val="24"/>
        </w:rPr>
        <w:t>Laval</w:t>
      </w:r>
      <w:r w:rsidRPr="00121A6A">
        <w:rPr>
          <w:sz w:val="24"/>
          <w:szCs w:val="24"/>
        </w:rPr>
        <w:t>. De A-G had een ‘dubbele proportionaliteitstoets’ voorgesteld, met het oog op een gelijkwaardige</w:t>
      </w:r>
      <w:r w:rsidR="00F054DF" w:rsidRPr="00121A6A">
        <w:rPr>
          <w:sz w:val="24"/>
          <w:szCs w:val="24"/>
        </w:rPr>
        <w:t>(re)</w:t>
      </w:r>
      <w:r w:rsidRPr="00121A6A">
        <w:rPr>
          <w:sz w:val="24"/>
          <w:szCs w:val="24"/>
        </w:rPr>
        <w:t xml:space="preserve"> afweging tussen grondrechten en marktvrijheden.</w:t>
      </w:r>
      <w:r w:rsidR="00413481" w:rsidRPr="00121A6A">
        <w:rPr>
          <w:sz w:val="24"/>
          <w:szCs w:val="24"/>
        </w:rPr>
        <w:t xml:space="preserve"> Deze toets gaat uit van wederkerigheid, waarbij </w:t>
      </w:r>
      <w:r w:rsidR="006A0FF7" w:rsidRPr="00121A6A">
        <w:rPr>
          <w:sz w:val="24"/>
          <w:szCs w:val="24"/>
        </w:rPr>
        <w:t>moet worden nagegaan</w:t>
      </w:r>
      <w:r w:rsidRPr="00121A6A">
        <w:rPr>
          <w:sz w:val="24"/>
          <w:szCs w:val="24"/>
        </w:rPr>
        <w:t xml:space="preserve"> of </w:t>
      </w:r>
      <w:r w:rsidR="00EF6A8C">
        <w:rPr>
          <w:sz w:val="24"/>
          <w:szCs w:val="24"/>
        </w:rPr>
        <w:t xml:space="preserve">het </w:t>
      </w:r>
      <w:r w:rsidR="006F3DB3" w:rsidRPr="00121A6A">
        <w:rPr>
          <w:sz w:val="24"/>
          <w:szCs w:val="24"/>
        </w:rPr>
        <w:t xml:space="preserve">grondrecht en </w:t>
      </w:r>
      <w:r w:rsidR="00EF6A8C">
        <w:rPr>
          <w:sz w:val="24"/>
          <w:szCs w:val="24"/>
        </w:rPr>
        <w:t xml:space="preserve">de </w:t>
      </w:r>
      <w:r w:rsidR="006F3DB3" w:rsidRPr="00121A6A">
        <w:rPr>
          <w:sz w:val="24"/>
          <w:szCs w:val="24"/>
        </w:rPr>
        <w:t>fundamentele vrijhe</w:t>
      </w:r>
      <w:r w:rsidR="00EF6A8C">
        <w:rPr>
          <w:sz w:val="24"/>
          <w:szCs w:val="24"/>
        </w:rPr>
        <w:t>id</w:t>
      </w:r>
      <w:r w:rsidR="004B2B8A" w:rsidRPr="00121A6A">
        <w:rPr>
          <w:sz w:val="24"/>
          <w:szCs w:val="24"/>
        </w:rPr>
        <w:t xml:space="preserve"> </w:t>
      </w:r>
      <w:r w:rsidR="004B2B8A" w:rsidRPr="00121A6A">
        <w:rPr>
          <w:i/>
          <w:iCs/>
          <w:sz w:val="24"/>
          <w:szCs w:val="24"/>
        </w:rPr>
        <w:t>elkaar</w:t>
      </w:r>
      <w:r w:rsidR="004B2B8A" w:rsidRPr="00121A6A">
        <w:rPr>
          <w:sz w:val="24"/>
          <w:szCs w:val="24"/>
        </w:rPr>
        <w:t xml:space="preserve"> niet disproportioneel beperken. </w:t>
      </w:r>
      <w:r w:rsidRPr="00121A6A">
        <w:rPr>
          <w:sz w:val="24"/>
          <w:szCs w:val="24"/>
        </w:rPr>
        <w:t xml:space="preserve">Dit tweezijdige balansmodel werd door het Hof echter impliciet verworpen, daar het slechts eenzijdig naging of </w:t>
      </w:r>
      <w:r w:rsidR="000C7401" w:rsidRPr="00121A6A">
        <w:rPr>
          <w:sz w:val="24"/>
          <w:szCs w:val="24"/>
        </w:rPr>
        <w:t xml:space="preserve">de vrijheid van dienstverrichting </w:t>
      </w:r>
      <w:r w:rsidR="00256406" w:rsidRPr="00121A6A">
        <w:rPr>
          <w:sz w:val="24"/>
          <w:szCs w:val="24"/>
        </w:rPr>
        <w:t xml:space="preserve">(niet) </w:t>
      </w:r>
      <w:r w:rsidRPr="00121A6A">
        <w:rPr>
          <w:sz w:val="24"/>
          <w:szCs w:val="24"/>
        </w:rPr>
        <w:t>disproportioneel</w:t>
      </w:r>
      <w:r w:rsidR="00BA60DF">
        <w:rPr>
          <w:sz w:val="24"/>
          <w:szCs w:val="24"/>
        </w:rPr>
        <w:t xml:space="preserve"> werd</w:t>
      </w:r>
      <w:r w:rsidR="000C7401" w:rsidRPr="00121A6A">
        <w:rPr>
          <w:sz w:val="24"/>
          <w:szCs w:val="24"/>
        </w:rPr>
        <w:t xml:space="preserve"> in</w:t>
      </w:r>
      <w:r w:rsidR="00BA60DF">
        <w:rPr>
          <w:sz w:val="24"/>
          <w:szCs w:val="24"/>
        </w:rPr>
        <w:t>ge</w:t>
      </w:r>
      <w:r w:rsidR="000C7401" w:rsidRPr="00121A6A">
        <w:rPr>
          <w:sz w:val="24"/>
          <w:szCs w:val="24"/>
        </w:rPr>
        <w:t>perkt</w:t>
      </w:r>
      <w:r w:rsidR="00BA60DF">
        <w:rPr>
          <w:sz w:val="24"/>
          <w:szCs w:val="24"/>
        </w:rPr>
        <w:t xml:space="preserve"> door de </w:t>
      </w:r>
      <w:r w:rsidR="00BA60DF" w:rsidRPr="00121A6A">
        <w:rPr>
          <w:sz w:val="24"/>
          <w:szCs w:val="24"/>
        </w:rPr>
        <w:t>collectieve onderhandelingsvrijheid</w:t>
      </w:r>
      <w:r w:rsidR="000C7401" w:rsidRPr="00121A6A">
        <w:rPr>
          <w:sz w:val="24"/>
          <w:szCs w:val="24"/>
        </w:rPr>
        <w:t>.</w:t>
      </w:r>
      <w:r w:rsidRPr="00121A6A">
        <w:rPr>
          <w:sz w:val="24"/>
          <w:szCs w:val="24"/>
        </w:rPr>
        <w:t xml:space="preserve"> Hieruit </w:t>
      </w:r>
      <w:r w:rsidR="004578BA" w:rsidRPr="00121A6A">
        <w:rPr>
          <w:sz w:val="24"/>
          <w:szCs w:val="24"/>
        </w:rPr>
        <w:t>blijkt</w:t>
      </w:r>
      <w:r w:rsidRPr="00121A6A">
        <w:rPr>
          <w:sz w:val="24"/>
          <w:szCs w:val="24"/>
        </w:rPr>
        <w:t xml:space="preserve"> dat voor het Hof leidend bleef de vraag hoe </w:t>
      </w:r>
      <w:r w:rsidR="00413481" w:rsidRPr="00121A6A">
        <w:rPr>
          <w:sz w:val="24"/>
          <w:szCs w:val="24"/>
        </w:rPr>
        <w:t>sociale grondrechten</w:t>
      </w:r>
      <w:r w:rsidRPr="00121A6A">
        <w:rPr>
          <w:sz w:val="24"/>
          <w:szCs w:val="24"/>
        </w:rPr>
        <w:t xml:space="preserve"> te verenigen met </w:t>
      </w:r>
      <w:r w:rsidR="00413481" w:rsidRPr="00121A6A">
        <w:rPr>
          <w:sz w:val="24"/>
          <w:szCs w:val="24"/>
        </w:rPr>
        <w:t>marktvrijheden</w:t>
      </w:r>
      <w:r w:rsidRPr="00121A6A">
        <w:rPr>
          <w:sz w:val="24"/>
          <w:szCs w:val="24"/>
        </w:rPr>
        <w:t xml:space="preserve"> – en niet andersom.</w:t>
      </w:r>
      <w:r w:rsidRPr="00121A6A">
        <w:rPr>
          <w:rStyle w:val="FootnoteReference"/>
          <w:sz w:val="24"/>
          <w:szCs w:val="24"/>
        </w:rPr>
        <w:footnoteReference w:id="44"/>
      </w:r>
      <w:r w:rsidRPr="00121A6A">
        <w:rPr>
          <w:sz w:val="24"/>
          <w:szCs w:val="24"/>
        </w:rPr>
        <w:t xml:space="preserve"> </w:t>
      </w:r>
      <w:r w:rsidR="0056484F" w:rsidRPr="00121A6A">
        <w:rPr>
          <w:sz w:val="24"/>
          <w:szCs w:val="24"/>
        </w:rPr>
        <w:t xml:space="preserve">Dit stramien is nogmaals bevestigd in het </w:t>
      </w:r>
      <w:proofErr w:type="spellStart"/>
      <w:r w:rsidR="0056484F" w:rsidRPr="00121A6A">
        <w:rPr>
          <w:i/>
          <w:iCs/>
          <w:sz w:val="24"/>
          <w:szCs w:val="24"/>
        </w:rPr>
        <w:t>Fonnship</w:t>
      </w:r>
      <w:proofErr w:type="spellEnd"/>
      <w:r w:rsidR="00230104" w:rsidRPr="00121A6A">
        <w:rPr>
          <w:sz w:val="24"/>
          <w:szCs w:val="24"/>
        </w:rPr>
        <w:t>-arrest</w:t>
      </w:r>
      <w:r w:rsidR="0056484F" w:rsidRPr="00121A6A">
        <w:rPr>
          <w:sz w:val="24"/>
          <w:szCs w:val="24"/>
        </w:rPr>
        <w:t>.</w:t>
      </w:r>
      <w:r w:rsidR="0056484F" w:rsidRPr="00121A6A">
        <w:rPr>
          <w:rStyle w:val="FootnoteReference"/>
          <w:sz w:val="24"/>
          <w:szCs w:val="24"/>
        </w:rPr>
        <w:footnoteReference w:id="45"/>
      </w:r>
    </w:p>
    <w:p w14:paraId="281686AA" w14:textId="77777777" w:rsidR="00040A9C" w:rsidRPr="00121A6A" w:rsidRDefault="00040A9C" w:rsidP="007F724F">
      <w:pPr>
        <w:spacing w:after="0"/>
        <w:jc w:val="both"/>
        <w:rPr>
          <w:sz w:val="24"/>
          <w:szCs w:val="24"/>
        </w:rPr>
      </w:pPr>
    </w:p>
    <w:p w14:paraId="19E1D000" w14:textId="0DBF4ACD" w:rsidR="00040A9C" w:rsidRPr="00121A6A" w:rsidRDefault="00040A9C" w:rsidP="00D33B14">
      <w:pPr>
        <w:pStyle w:val="Heading2"/>
        <w:rPr>
          <w:sz w:val="24"/>
          <w:szCs w:val="24"/>
        </w:rPr>
      </w:pPr>
      <w:bookmarkStart w:id="22" w:name="_Toc169963048"/>
      <w:r w:rsidRPr="00121A6A">
        <w:rPr>
          <w:sz w:val="24"/>
          <w:szCs w:val="24"/>
        </w:rPr>
        <w:t>2.3 Wetgeving na Viking en Laval</w:t>
      </w:r>
      <w:bookmarkEnd w:id="22"/>
    </w:p>
    <w:p w14:paraId="0A6BEE0C" w14:textId="0BBA6AB3" w:rsidR="006D038A" w:rsidRPr="00121A6A" w:rsidRDefault="00CC643D" w:rsidP="006D038A">
      <w:pPr>
        <w:spacing w:after="0"/>
        <w:jc w:val="both"/>
        <w:rPr>
          <w:sz w:val="24"/>
          <w:szCs w:val="24"/>
        </w:rPr>
      </w:pPr>
      <w:r>
        <w:rPr>
          <w:sz w:val="24"/>
          <w:szCs w:val="24"/>
        </w:rPr>
        <w:t>D</w:t>
      </w:r>
      <w:r w:rsidR="006D038A" w:rsidRPr="00121A6A">
        <w:rPr>
          <w:sz w:val="24"/>
          <w:szCs w:val="24"/>
        </w:rPr>
        <w:t>e economische dimensie van de Unie</w:t>
      </w:r>
      <w:r w:rsidR="005B39BA" w:rsidRPr="00121A6A">
        <w:rPr>
          <w:sz w:val="24"/>
          <w:szCs w:val="24"/>
        </w:rPr>
        <w:t xml:space="preserve"> </w:t>
      </w:r>
      <w:r>
        <w:rPr>
          <w:sz w:val="24"/>
          <w:szCs w:val="24"/>
        </w:rPr>
        <w:t xml:space="preserve">zit dus </w:t>
      </w:r>
      <w:r w:rsidR="006D038A" w:rsidRPr="00121A6A">
        <w:rPr>
          <w:sz w:val="24"/>
          <w:szCs w:val="24"/>
        </w:rPr>
        <w:t>stevig in het zadel</w:t>
      </w:r>
      <w:r w:rsidR="002003A4" w:rsidRPr="00121A6A">
        <w:rPr>
          <w:sz w:val="24"/>
          <w:szCs w:val="24"/>
        </w:rPr>
        <w:t>.</w:t>
      </w:r>
      <w:r w:rsidR="00F21D3B" w:rsidRPr="00121A6A">
        <w:rPr>
          <w:sz w:val="24"/>
          <w:szCs w:val="24"/>
        </w:rPr>
        <w:t xml:space="preserve"> </w:t>
      </w:r>
      <w:r w:rsidR="006D038A" w:rsidRPr="00121A6A">
        <w:rPr>
          <w:sz w:val="24"/>
          <w:szCs w:val="24"/>
        </w:rPr>
        <w:t>De vraag is of</w:t>
      </w:r>
      <w:r w:rsidR="005B39BA" w:rsidRPr="00121A6A">
        <w:rPr>
          <w:sz w:val="24"/>
          <w:szCs w:val="24"/>
        </w:rPr>
        <w:t xml:space="preserve"> </w:t>
      </w:r>
      <w:r w:rsidR="00CD58CE" w:rsidRPr="00121A6A">
        <w:rPr>
          <w:sz w:val="24"/>
          <w:szCs w:val="24"/>
        </w:rPr>
        <w:t xml:space="preserve">het Hof </w:t>
      </w:r>
      <w:r w:rsidR="006D038A" w:rsidRPr="00121A6A">
        <w:rPr>
          <w:sz w:val="24"/>
          <w:szCs w:val="24"/>
        </w:rPr>
        <w:t>anno 202</w:t>
      </w:r>
      <w:r w:rsidR="0002498B" w:rsidRPr="00121A6A">
        <w:rPr>
          <w:sz w:val="24"/>
          <w:szCs w:val="24"/>
        </w:rPr>
        <w:t>4</w:t>
      </w:r>
      <w:r w:rsidR="005B39BA" w:rsidRPr="00121A6A">
        <w:rPr>
          <w:sz w:val="24"/>
          <w:szCs w:val="24"/>
        </w:rPr>
        <w:t xml:space="preserve">, gelet op Unierechtelijke rechtsontwikkelingen sinds </w:t>
      </w:r>
      <w:r w:rsidR="005B39BA" w:rsidRPr="00121A6A">
        <w:rPr>
          <w:i/>
          <w:iCs/>
          <w:sz w:val="24"/>
          <w:szCs w:val="24"/>
        </w:rPr>
        <w:t>Viking</w:t>
      </w:r>
      <w:r w:rsidR="005B39BA" w:rsidRPr="00121A6A">
        <w:rPr>
          <w:sz w:val="24"/>
          <w:szCs w:val="24"/>
        </w:rPr>
        <w:t xml:space="preserve"> en </w:t>
      </w:r>
      <w:r w:rsidR="005B39BA" w:rsidRPr="00121A6A">
        <w:rPr>
          <w:i/>
          <w:iCs/>
          <w:sz w:val="24"/>
          <w:szCs w:val="24"/>
        </w:rPr>
        <w:t>Laval</w:t>
      </w:r>
      <w:r w:rsidR="005B39BA" w:rsidRPr="00121A6A">
        <w:rPr>
          <w:sz w:val="24"/>
          <w:szCs w:val="24"/>
        </w:rPr>
        <w:t>,</w:t>
      </w:r>
      <w:r w:rsidR="006D038A" w:rsidRPr="00121A6A">
        <w:rPr>
          <w:sz w:val="24"/>
          <w:szCs w:val="24"/>
        </w:rPr>
        <w:t xml:space="preserve"> </w:t>
      </w:r>
      <w:r w:rsidR="00C01F1A">
        <w:rPr>
          <w:sz w:val="24"/>
          <w:szCs w:val="24"/>
        </w:rPr>
        <w:t xml:space="preserve">aan het grondrecht op collectieve actie </w:t>
      </w:r>
      <w:r w:rsidR="005B39BA" w:rsidRPr="00121A6A">
        <w:rPr>
          <w:sz w:val="24"/>
          <w:szCs w:val="24"/>
        </w:rPr>
        <w:t xml:space="preserve">meer ruimte </w:t>
      </w:r>
      <w:r w:rsidR="006D038A" w:rsidRPr="00121A6A">
        <w:rPr>
          <w:sz w:val="24"/>
          <w:szCs w:val="24"/>
        </w:rPr>
        <w:t>zou</w:t>
      </w:r>
      <w:r w:rsidR="00DA0C17" w:rsidRPr="00121A6A">
        <w:rPr>
          <w:sz w:val="24"/>
          <w:szCs w:val="24"/>
        </w:rPr>
        <w:t xml:space="preserve"> (moeten)</w:t>
      </w:r>
      <w:r w:rsidR="00CD58CE" w:rsidRPr="00121A6A">
        <w:rPr>
          <w:sz w:val="24"/>
          <w:szCs w:val="24"/>
        </w:rPr>
        <w:t xml:space="preserve"> </w:t>
      </w:r>
      <w:r w:rsidR="005B39BA" w:rsidRPr="00121A6A">
        <w:rPr>
          <w:sz w:val="24"/>
          <w:szCs w:val="24"/>
        </w:rPr>
        <w:t>bieden</w:t>
      </w:r>
      <w:r w:rsidR="006D038A" w:rsidRPr="00121A6A">
        <w:rPr>
          <w:sz w:val="24"/>
          <w:szCs w:val="24"/>
        </w:rPr>
        <w:t>.</w:t>
      </w:r>
      <w:r w:rsidR="00C925BC" w:rsidRPr="00121A6A">
        <w:rPr>
          <w:sz w:val="24"/>
          <w:szCs w:val="24"/>
        </w:rPr>
        <w:t xml:space="preserve"> In deze paragraaf worden relevante </w:t>
      </w:r>
      <w:r w:rsidR="002003A4" w:rsidRPr="00121A6A">
        <w:rPr>
          <w:sz w:val="24"/>
          <w:szCs w:val="24"/>
        </w:rPr>
        <w:t>wets</w:t>
      </w:r>
      <w:r w:rsidR="00C925BC" w:rsidRPr="00121A6A">
        <w:rPr>
          <w:sz w:val="24"/>
          <w:szCs w:val="24"/>
        </w:rPr>
        <w:t xml:space="preserve">ontwikkelingen besproken. </w:t>
      </w:r>
      <w:r w:rsidR="007E3FD7">
        <w:rPr>
          <w:sz w:val="24"/>
          <w:szCs w:val="24"/>
        </w:rPr>
        <w:t>In d</w:t>
      </w:r>
      <w:r w:rsidR="006D038A" w:rsidRPr="00121A6A">
        <w:rPr>
          <w:sz w:val="24"/>
          <w:szCs w:val="24"/>
        </w:rPr>
        <w:t xml:space="preserve">e volgende paragraaf </w:t>
      </w:r>
      <w:r w:rsidR="007E3FD7">
        <w:rPr>
          <w:sz w:val="24"/>
          <w:szCs w:val="24"/>
        </w:rPr>
        <w:t xml:space="preserve">wordt </w:t>
      </w:r>
      <w:r w:rsidR="001B7907" w:rsidRPr="00121A6A">
        <w:rPr>
          <w:sz w:val="24"/>
          <w:szCs w:val="24"/>
        </w:rPr>
        <w:t>in</w:t>
      </w:r>
      <w:r w:rsidR="007E3FD7">
        <w:rPr>
          <w:sz w:val="24"/>
          <w:szCs w:val="24"/>
        </w:rPr>
        <w:t>gegaan</w:t>
      </w:r>
      <w:r w:rsidR="001B7907" w:rsidRPr="00121A6A">
        <w:rPr>
          <w:sz w:val="24"/>
          <w:szCs w:val="24"/>
        </w:rPr>
        <w:t xml:space="preserve"> op </w:t>
      </w:r>
      <w:r w:rsidR="00F33FD8" w:rsidRPr="00121A6A">
        <w:rPr>
          <w:sz w:val="24"/>
          <w:szCs w:val="24"/>
        </w:rPr>
        <w:t>relevante</w:t>
      </w:r>
      <w:r w:rsidR="006D038A" w:rsidRPr="00121A6A">
        <w:rPr>
          <w:sz w:val="24"/>
          <w:szCs w:val="24"/>
        </w:rPr>
        <w:t xml:space="preserve"> rechtspraak.</w:t>
      </w:r>
    </w:p>
    <w:p w14:paraId="6F885CBA" w14:textId="77777777" w:rsidR="006D038A" w:rsidRPr="00121A6A" w:rsidRDefault="006D038A" w:rsidP="006D038A">
      <w:pPr>
        <w:spacing w:after="0"/>
        <w:jc w:val="both"/>
        <w:rPr>
          <w:sz w:val="24"/>
          <w:szCs w:val="24"/>
        </w:rPr>
      </w:pPr>
    </w:p>
    <w:p w14:paraId="70FE803F" w14:textId="02E28B1E" w:rsidR="00040A9C" w:rsidRPr="00121A6A" w:rsidRDefault="007E2CAF" w:rsidP="00D33B14">
      <w:pPr>
        <w:pStyle w:val="Heading3"/>
        <w:jc w:val="both"/>
        <w:rPr>
          <w:sz w:val="24"/>
          <w:szCs w:val="24"/>
        </w:rPr>
      </w:pPr>
      <w:bookmarkStart w:id="23" w:name="_Toc169963049"/>
      <w:r>
        <w:rPr>
          <w:sz w:val="24"/>
          <w:szCs w:val="24"/>
        </w:rPr>
        <w:t>Het V</w:t>
      </w:r>
      <w:r w:rsidR="00040A9C" w:rsidRPr="00121A6A">
        <w:rPr>
          <w:sz w:val="24"/>
          <w:szCs w:val="24"/>
        </w:rPr>
        <w:t>erdrag van Lissabon</w:t>
      </w:r>
      <w:bookmarkEnd w:id="23"/>
    </w:p>
    <w:p w14:paraId="607DD965" w14:textId="3A3AE809" w:rsidR="00247CBA" w:rsidRPr="00121A6A" w:rsidRDefault="00040A9C" w:rsidP="007F724F">
      <w:pPr>
        <w:spacing w:after="0"/>
        <w:jc w:val="both"/>
        <w:rPr>
          <w:sz w:val="24"/>
          <w:szCs w:val="24"/>
        </w:rPr>
      </w:pPr>
      <w:r w:rsidRPr="00121A6A">
        <w:rPr>
          <w:sz w:val="24"/>
          <w:szCs w:val="24"/>
        </w:rPr>
        <w:t xml:space="preserve">Het </w:t>
      </w:r>
      <w:r w:rsidR="00EF015A" w:rsidRPr="00121A6A">
        <w:rPr>
          <w:sz w:val="24"/>
          <w:szCs w:val="24"/>
        </w:rPr>
        <w:t>Lissabonverdrag</w:t>
      </w:r>
      <w:r w:rsidRPr="00121A6A">
        <w:rPr>
          <w:sz w:val="24"/>
          <w:szCs w:val="24"/>
        </w:rPr>
        <w:t xml:space="preserve"> (ondertekening 13 december 2007</w:t>
      </w:r>
      <w:r w:rsidR="00BE34D9" w:rsidRPr="00121A6A">
        <w:rPr>
          <w:sz w:val="24"/>
          <w:szCs w:val="24"/>
        </w:rPr>
        <w:t>;</w:t>
      </w:r>
      <w:r w:rsidRPr="00121A6A">
        <w:rPr>
          <w:sz w:val="24"/>
          <w:szCs w:val="24"/>
        </w:rPr>
        <w:t xml:space="preserve"> inwerkingtreding 1 december 2009) had het Hof aanleiding kunnen geven </w:t>
      </w:r>
      <w:r w:rsidR="00166DC7">
        <w:rPr>
          <w:sz w:val="24"/>
          <w:szCs w:val="24"/>
        </w:rPr>
        <w:t xml:space="preserve">om </w:t>
      </w:r>
      <w:r w:rsidRPr="00121A6A">
        <w:rPr>
          <w:sz w:val="24"/>
          <w:szCs w:val="24"/>
        </w:rPr>
        <w:t>een ‘sociale</w:t>
      </w:r>
      <w:r w:rsidR="00347690" w:rsidRPr="00121A6A">
        <w:rPr>
          <w:sz w:val="24"/>
          <w:szCs w:val="24"/>
        </w:rPr>
        <w:t>(</w:t>
      </w:r>
      <w:r w:rsidRPr="00121A6A">
        <w:rPr>
          <w:sz w:val="24"/>
          <w:szCs w:val="24"/>
        </w:rPr>
        <w:t>re</w:t>
      </w:r>
      <w:r w:rsidR="00347690" w:rsidRPr="00121A6A">
        <w:rPr>
          <w:sz w:val="24"/>
          <w:szCs w:val="24"/>
        </w:rPr>
        <w:t>)</w:t>
      </w:r>
      <w:r w:rsidR="008865EF">
        <w:rPr>
          <w:sz w:val="24"/>
          <w:szCs w:val="24"/>
        </w:rPr>
        <w:t>’</w:t>
      </w:r>
      <w:r w:rsidRPr="00121A6A">
        <w:rPr>
          <w:sz w:val="24"/>
          <w:szCs w:val="24"/>
        </w:rPr>
        <w:t xml:space="preserve"> koers te</w:t>
      </w:r>
      <w:r w:rsidR="00D911A9" w:rsidRPr="00121A6A">
        <w:rPr>
          <w:sz w:val="24"/>
          <w:szCs w:val="24"/>
        </w:rPr>
        <w:t xml:space="preserve"> (gaan)</w:t>
      </w:r>
      <w:r w:rsidRPr="00121A6A">
        <w:rPr>
          <w:sz w:val="24"/>
          <w:szCs w:val="24"/>
        </w:rPr>
        <w:t xml:space="preserve"> varen. </w:t>
      </w:r>
      <w:r w:rsidR="00166DC7">
        <w:rPr>
          <w:sz w:val="24"/>
          <w:szCs w:val="24"/>
        </w:rPr>
        <w:t>Met dit verdrag</w:t>
      </w:r>
      <w:r w:rsidR="00D911A9" w:rsidRPr="00121A6A">
        <w:rPr>
          <w:sz w:val="24"/>
          <w:szCs w:val="24"/>
        </w:rPr>
        <w:t xml:space="preserve"> </w:t>
      </w:r>
      <w:r w:rsidR="00166DC7">
        <w:rPr>
          <w:sz w:val="24"/>
          <w:szCs w:val="24"/>
        </w:rPr>
        <w:t xml:space="preserve">zijn </w:t>
      </w:r>
      <w:r w:rsidRPr="00121A6A">
        <w:rPr>
          <w:sz w:val="24"/>
          <w:szCs w:val="24"/>
        </w:rPr>
        <w:t>sociale doelstellingen stevig</w:t>
      </w:r>
      <w:r w:rsidR="00816856" w:rsidRPr="00121A6A">
        <w:rPr>
          <w:sz w:val="24"/>
          <w:szCs w:val="24"/>
        </w:rPr>
        <w:t>(</w:t>
      </w:r>
      <w:r w:rsidRPr="00121A6A">
        <w:rPr>
          <w:sz w:val="24"/>
          <w:szCs w:val="24"/>
        </w:rPr>
        <w:t>er</w:t>
      </w:r>
      <w:r w:rsidR="00816856" w:rsidRPr="00121A6A">
        <w:rPr>
          <w:sz w:val="24"/>
          <w:szCs w:val="24"/>
        </w:rPr>
        <w:t>)</w:t>
      </w:r>
      <w:r w:rsidRPr="00121A6A">
        <w:rPr>
          <w:sz w:val="24"/>
          <w:szCs w:val="24"/>
        </w:rPr>
        <w:t xml:space="preserve"> verankerd in </w:t>
      </w:r>
      <w:r w:rsidR="00B8635D">
        <w:rPr>
          <w:sz w:val="24"/>
          <w:szCs w:val="24"/>
        </w:rPr>
        <w:t xml:space="preserve">het </w:t>
      </w:r>
      <w:r w:rsidRPr="00121A6A">
        <w:rPr>
          <w:sz w:val="24"/>
          <w:szCs w:val="24"/>
        </w:rPr>
        <w:t>primair</w:t>
      </w:r>
      <w:r w:rsidR="00B8635D">
        <w:rPr>
          <w:sz w:val="24"/>
          <w:szCs w:val="24"/>
        </w:rPr>
        <w:t>e</w:t>
      </w:r>
      <w:r w:rsidRPr="00121A6A">
        <w:rPr>
          <w:sz w:val="24"/>
          <w:szCs w:val="24"/>
        </w:rPr>
        <w:t xml:space="preserve"> Unierecht. Zo wijst </w:t>
      </w:r>
      <w:proofErr w:type="spellStart"/>
      <w:r w:rsidRPr="00121A6A">
        <w:rPr>
          <w:sz w:val="24"/>
          <w:szCs w:val="24"/>
        </w:rPr>
        <w:t>Dorssemont</w:t>
      </w:r>
      <w:proofErr w:type="spellEnd"/>
      <w:r w:rsidRPr="00121A6A">
        <w:rPr>
          <w:sz w:val="24"/>
          <w:szCs w:val="24"/>
        </w:rPr>
        <w:t xml:space="preserve"> erop dat het bevorderen van haar waarden als eerste doelstelling van de Unie is gesteld.</w:t>
      </w:r>
      <w:r w:rsidRPr="00121A6A">
        <w:rPr>
          <w:rStyle w:val="FootnoteReference"/>
          <w:sz w:val="24"/>
          <w:szCs w:val="24"/>
        </w:rPr>
        <w:footnoteReference w:id="46"/>
      </w:r>
      <w:r w:rsidRPr="00121A6A">
        <w:rPr>
          <w:sz w:val="24"/>
          <w:szCs w:val="24"/>
        </w:rPr>
        <w:t xml:space="preserve"> </w:t>
      </w:r>
      <w:bookmarkStart w:id="24" w:name="_Hlk163650786"/>
      <w:r w:rsidRPr="00121A6A">
        <w:rPr>
          <w:sz w:val="24"/>
          <w:szCs w:val="24"/>
        </w:rPr>
        <w:t xml:space="preserve">Onder de </w:t>
      </w:r>
      <w:r w:rsidR="008F1F2D" w:rsidRPr="00121A6A">
        <w:rPr>
          <w:sz w:val="24"/>
          <w:szCs w:val="24"/>
        </w:rPr>
        <w:t xml:space="preserve">in </w:t>
      </w:r>
      <w:r w:rsidR="008F1F2D" w:rsidRPr="00121A6A">
        <w:rPr>
          <w:sz w:val="24"/>
          <w:szCs w:val="24"/>
        </w:rPr>
        <w:lastRenderedPageBreak/>
        <w:t xml:space="preserve">artikel 2 </w:t>
      </w:r>
      <w:r w:rsidR="00491F7B">
        <w:rPr>
          <w:sz w:val="24"/>
          <w:szCs w:val="24"/>
        </w:rPr>
        <w:t>EU-Verdrag (</w:t>
      </w:r>
      <w:r w:rsidR="008F1F2D" w:rsidRPr="00121A6A">
        <w:rPr>
          <w:sz w:val="24"/>
          <w:szCs w:val="24"/>
        </w:rPr>
        <w:t>VEU</w:t>
      </w:r>
      <w:r w:rsidR="00491F7B">
        <w:rPr>
          <w:sz w:val="24"/>
          <w:szCs w:val="24"/>
        </w:rPr>
        <w:t>)</w:t>
      </w:r>
      <w:r w:rsidR="008F1F2D" w:rsidRPr="00121A6A">
        <w:rPr>
          <w:sz w:val="24"/>
          <w:szCs w:val="24"/>
        </w:rPr>
        <w:t xml:space="preserve"> </w:t>
      </w:r>
      <w:r w:rsidRPr="00121A6A">
        <w:rPr>
          <w:sz w:val="24"/>
          <w:szCs w:val="24"/>
        </w:rPr>
        <w:t xml:space="preserve">genoemde waarden staan mensenrechten voorop; waarden gerelateerd aan de vrije markt komen überhaupt niet voor. </w:t>
      </w:r>
      <w:bookmarkEnd w:id="24"/>
      <w:r w:rsidRPr="00121A6A">
        <w:rPr>
          <w:sz w:val="24"/>
          <w:szCs w:val="24"/>
        </w:rPr>
        <w:t xml:space="preserve">Dit biedt </w:t>
      </w:r>
      <w:r w:rsidR="0077774F" w:rsidRPr="00121A6A">
        <w:rPr>
          <w:sz w:val="24"/>
          <w:szCs w:val="24"/>
        </w:rPr>
        <w:t xml:space="preserve">zijns inziens </w:t>
      </w:r>
      <w:r w:rsidRPr="00121A6A">
        <w:rPr>
          <w:sz w:val="24"/>
          <w:szCs w:val="24"/>
        </w:rPr>
        <w:t>perspectie</w:t>
      </w:r>
      <w:r w:rsidR="003B5293" w:rsidRPr="00121A6A">
        <w:rPr>
          <w:sz w:val="24"/>
          <w:szCs w:val="24"/>
        </w:rPr>
        <w:t>f</w:t>
      </w:r>
      <w:r w:rsidRPr="00121A6A">
        <w:rPr>
          <w:sz w:val="24"/>
          <w:szCs w:val="24"/>
        </w:rPr>
        <w:t xml:space="preserve"> voor </w:t>
      </w:r>
      <w:r w:rsidR="002A62B5">
        <w:rPr>
          <w:sz w:val="24"/>
          <w:szCs w:val="24"/>
        </w:rPr>
        <w:t xml:space="preserve">een </w:t>
      </w:r>
      <w:r w:rsidRPr="00121A6A">
        <w:rPr>
          <w:sz w:val="24"/>
          <w:szCs w:val="24"/>
        </w:rPr>
        <w:t xml:space="preserve">‘opwaardering’ van </w:t>
      </w:r>
      <w:r w:rsidR="00BD6AE5" w:rsidRPr="00121A6A">
        <w:rPr>
          <w:sz w:val="24"/>
          <w:szCs w:val="24"/>
        </w:rPr>
        <w:t>sociale grondrechten</w:t>
      </w:r>
      <w:r w:rsidRPr="00121A6A">
        <w:rPr>
          <w:sz w:val="24"/>
          <w:szCs w:val="24"/>
        </w:rPr>
        <w:t xml:space="preserve"> ten </w:t>
      </w:r>
      <w:r w:rsidR="002A62B5">
        <w:rPr>
          <w:sz w:val="24"/>
          <w:szCs w:val="24"/>
        </w:rPr>
        <w:t>opzichte</w:t>
      </w:r>
      <w:r w:rsidRPr="00121A6A">
        <w:rPr>
          <w:sz w:val="24"/>
          <w:szCs w:val="24"/>
        </w:rPr>
        <w:t xml:space="preserve"> van </w:t>
      </w:r>
      <w:r w:rsidR="00BD6AE5" w:rsidRPr="00121A6A">
        <w:rPr>
          <w:sz w:val="24"/>
          <w:szCs w:val="24"/>
        </w:rPr>
        <w:t xml:space="preserve">economische </w:t>
      </w:r>
      <w:r w:rsidRPr="00121A6A">
        <w:rPr>
          <w:sz w:val="24"/>
          <w:szCs w:val="24"/>
        </w:rPr>
        <w:t xml:space="preserve">vrijheden. Daarnaast zou volgens </w:t>
      </w:r>
      <w:proofErr w:type="spellStart"/>
      <w:r w:rsidRPr="00121A6A">
        <w:rPr>
          <w:sz w:val="24"/>
          <w:szCs w:val="24"/>
        </w:rPr>
        <w:t>Dorssemont</w:t>
      </w:r>
      <w:proofErr w:type="spellEnd"/>
      <w:r w:rsidRPr="00121A6A">
        <w:rPr>
          <w:sz w:val="24"/>
          <w:szCs w:val="24"/>
        </w:rPr>
        <w:t xml:space="preserve"> </w:t>
      </w:r>
      <w:r w:rsidR="00D911A9" w:rsidRPr="00121A6A">
        <w:rPr>
          <w:sz w:val="24"/>
          <w:szCs w:val="24"/>
        </w:rPr>
        <w:t xml:space="preserve">de </w:t>
      </w:r>
      <w:r w:rsidRPr="00121A6A">
        <w:rPr>
          <w:sz w:val="24"/>
          <w:szCs w:val="24"/>
        </w:rPr>
        <w:t xml:space="preserve">introductie van het begrip ‘sociale markteconomie’ </w:t>
      </w:r>
      <w:r w:rsidR="003668EB" w:rsidRPr="00121A6A">
        <w:rPr>
          <w:sz w:val="24"/>
          <w:szCs w:val="24"/>
        </w:rPr>
        <w:t xml:space="preserve">in artikel 3 VEU </w:t>
      </w:r>
      <w:r w:rsidRPr="00121A6A">
        <w:rPr>
          <w:sz w:val="24"/>
          <w:szCs w:val="24"/>
        </w:rPr>
        <w:t>tot het besef moeten leiden dat een regel die sociale bescherming beoogt</w:t>
      </w:r>
      <w:r w:rsidR="002A62B5">
        <w:rPr>
          <w:sz w:val="24"/>
          <w:szCs w:val="24"/>
        </w:rPr>
        <w:t>,</w:t>
      </w:r>
      <w:r w:rsidRPr="00121A6A">
        <w:rPr>
          <w:sz w:val="24"/>
          <w:szCs w:val="24"/>
        </w:rPr>
        <w:t xml:space="preserve"> niet per se de </w:t>
      </w:r>
      <w:r w:rsidR="003B5293" w:rsidRPr="00121A6A">
        <w:rPr>
          <w:sz w:val="24"/>
          <w:szCs w:val="24"/>
        </w:rPr>
        <w:t xml:space="preserve">vrije </w:t>
      </w:r>
      <w:r w:rsidRPr="00121A6A">
        <w:rPr>
          <w:sz w:val="24"/>
          <w:szCs w:val="24"/>
        </w:rPr>
        <w:t>markt</w:t>
      </w:r>
      <w:r w:rsidR="00705EE8" w:rsidRPr="00121A6A">
        <w:rPr>
          <w:sz w:val="24"/>
          <w:szCs w:val="24"/>
        </w:rPr>
        <w:t xml:space="preserve"> </w:t>
      </w:r>
      <w:r w:rsidR="003B5293" w:rsidRPr="00121A6A">
        <w:rPr>
          <w:sz w:val="24"/>
          <w:szCs w:val="24"/>
        </w:rPr>
        <w:t>verstoort</w:t>
      </w:r>
      <w:r w:rsidRPr="00121A6A">
        <w:rPr>
          <w:sz w:val="24"/>
          <w:szCs w:val="24"/>
        </w:rPr>
        <w:t xml:space="preserve">. Ook volgens </w:t>
      </w:r>
      <w:proofErr w:type="spellStart"/>
      <w:r w:rsidRPr="00121A6A">
        <w:rPr>
          <w:sz w:val="24"/>
          <w:szCs w:val="24"/>
        </w:rPr>
        <w:t>Azoulai</w:t>
      </w:r>
      <w:proofErr w:type="spellEnd"/>
      <w:r w:rsidRPr="00121A6A">
        <w:rPr>
          <w:sz w:val="24"/>
          <w:szCs w:val="24"/>
        </w:rPr>
        <w:t xml:space="preserve"> onderstreept dit concept dat een (nieuw) evenwicht tussen </w:t>
      </w:r>
      <w:r w:rsidR="002A62B5">
        <w:rPr>
          <w:sz w:val="24"/>
          <w:szCs w:val="24"/>
        </w:rPr>
        <w:t xml:space="preserve">de </w:t>
      </w:r>
      <w:r w:rsidRPr="00121A6A">
        <w:rPr>
          <w:sz w:val="24"/>
          <w:szCs w:val="24"/>
        </w:rPr>
        <w:t>interne markt en sociale belangen moet worden gevonden</w:t>
      </w:r>
      <w:r w:rsidR="009117F7" w:rsidRPr="00121A6A">
        <w:rPr>
          <w:sz w:val="24"/>
          <w:szCs w:val="24"/>
        </w:rPr>
        <w:t>.</w:t>
      </w:r>
      <w:r w:rsidRPr="00121A6A">
        <w:rPr>
          <w:rStyle w:val="FootnoteReference"/>
          <w:sz w:val="24"/>
          <w:szCs w:val="24"/>
        </w:rPr>
        <w:footnoteReference w:id="47"/>
      </w:r>
      <w:r w:rsidRPr="00121A6A">
        <w:rPr>
          <w:sz w:val="24"/>
          <w:szCs w:val="24"/>
        </w:rPr>
        <w:t xml:space="preserve"> </w:t>
      </w:r>
      <w:r w:rsidR="00493E34" w:rsidRPr="00121A6A">
        <w:rPr>
          <w:sz w:val="24"/>
          <w:szCs w:val="24"/>
        </w:rPr>
        <w:t xml:space="preserve">Hoewel ik begrip heb voor deze gedachten, </w:t>
      </w:r>
      <w:r w:rsidR="009C44F3" w:rsidRPr="00121A6A">
        <w:rPr>
          <w:sz w:val="24"/>
          <w:szCs w:val="24"/>
        </w:rPr>
        <w:t>zijn</w:t>
      </w:r>
      <w:r w:rsidR="00493E34" w:rsidRPr="00121A6A">
        <w:rPr>
          <w:sz w:val="24"/>
          <w:szCs w:val="24"/>
        </w:rPr>
        <w:t xml:space="preserve"> </w:t>
      </w:r>
      <w:r w:rsidR="009C44F3" w:rsidRPr="00121A6A">
        <w:rPr>
          <w:sz w:val="24"/>
          <w:szCs w:val="24"/>
        </w:rPr>
        <w:t xml:space="preserve">verwijzingen naar algemene waarden en doelstellingen van </w:t>
      </w:r>
      <w:r w:rsidR="0059771D">
        <w:rPr>
          <w:sz w:val="24"/>
          <w:szCs w:val="24"/>
        </w:rPr>
        <w:t xml:space="preserve">de </w:t>
      </w:r>
      <w:r w:rsidR="009C44F3" w:rsidRPr="00121A6A">
        <w:rPr>
          <w:sz w:val="24"/>
          <w:szCs w:val="24"/>
        </w:rPr>
        <w:t xml:space="preserve">Unie </w:t>
      </w:r>
      <w:r w:rsidR="00493E34" w:rsidRPr="00121A6A">
        <w:rPr>
          <w:sz w:val="24"/>
          <w:szCs w:val="24"/>
        </w:rPr>
        <w:t>wellicht wat weinig voor een</w:t>
      </w:r>
      <w:r w:rsidR="009117F7" w:rsidRPr="00121A6A">
        <w:rPr>
          <w:sz w:val="24"/>
          <w:szCs w:val="24"/>
        </w:rPr>
        <w:t xml:space="preserve"> </w:t>
      </w:r>
      <w:r w:rsidR="0059771D">
        <w:rPr>
          <w:sz w:val="24"/>
          <w:szCs w:val="24"/>
        </w:rPr>
        <w:t>f</w:t>
      </w:r>
      <w:r w:rsidR="00493E34" w:rsidRPr="00121A6A">
        <w:rPr>
          <w:sz w:val="24"/>
          <w:szCs w:val="24"/>
        </w:rPr>
        <w:t xml:space="preserve">undamenteel ander afwegingskader. </w:t>
      </w:r>
      <w:bookmarkStart w:id="25" w:name="_Hlk163650843"/>
      <w:r w:rsidR="009C44F3" w:rsidRPr="00121A6A">
        <w:rPr>
          <w:sz w:val="24"/>
          <w:szCs w:val="24"/>
        </w:rPr>
        <w:t>De bepalingen hebben immers</w:t>
      </w:r>
      <w:r w:rsidR="00493E34" w:rsidRPr="00121A6A">
        <w:rPr>
          <w:sz w:val="24"/>
          <w:szCs w:val="24"/>
        </w:rPr>
        <w:t xml:space="preserve"> </w:t>
      </w:r>
      <w:r w:rsidR="00017913" w:rsidRPr="00121A6A">
        <w:rPr>
          <w:sz w:val="24"/>
          <w:szCs w:val="24"/>
        </w:rPr>
        <w:t xml:space="preserve">geenszins </w:t>
      </w:r>
      <w:r w:rsidR="00790B33" w:rsidRPr="00121A6A">
        <w:rPr>
          <w:sz w:val="24"/>
          <w:szCs w:val="24"/>
        </w:rPr>
        <w:t>specifiek</w:t>
      </w:r>
      <w:r w:rsidR="00017913" w:rsidRPr="00121A6A">
        <w:rPr>
          <w:sz w:val="24"/>
          <w:szCs w:val="24"/>
        </w:rPr>
        <w:t xml:space="preserve"> betrekking op de verhouding tussen marktvrijheden en grondrechten</w:t>
      </w:r>
      <w:r w:rsidR="002A62B5">
        <w:rPr>
          <w:sz w:val="24"/>
          <w:szCs w:val="24"/>
        </w:rPr>
        <w:t>.</w:t>
      </w:r>
      <w:r w:rsidR="00E51D1F" w:rsidRPr="00121A6A">
        <w:rPr>
          <w:sz w:val="24"/>
          <w:szCs w:val="24"/>
        </w:rPr>
        <w:t xml:space="preserve"> </w:t>
      </w:r>
      <w:r w:rsidR="001F68C0">
        <w:rPr>
          <w:sz w:val="24"/>
          <w:szCs w:val="24"/>
        </w:rPr>
        <w:t>D</w:t>
      </w:r>
      <w:r w:rsidR="00FE6EF9">
        <w:rPr>
          <w:sz w:val="24"/>
          <w:szCs w:val="24"/>
        </w:rPr>
        <w:t xml:space="preserve">e </w:t>
      </w:r>
      <w:r w:rsidR="00E51D1F" w:rsidRPr="00121A6A">
        <w:rPr>
          <w:sz w:val="24"/>
          <w:szCs w:val="24"/>
        </w:rPr>
        <w:t xml:space="preserve">inhoud </w:t>
      </w:r>
      <w:r w:rsidR="00BA48B4">
        <w:rPr>
          <w:sz w:val="24"/>
          <w:szCs w:val="24"/>
        </w:rPr>
        <w:t>en</w:t>
      </w:r>
      <w:r w:rsidR="001F68C0">
        <w:rPr>
          <w:sz w:val="24"/>
          <w:szCs w:val="24"/>
        </w:rPr>
        <w:t xml:space="preserve"> </w:t>
      </w:r>
      <w:r w:rsidR="00E51D1F" w:rsidRPr="00121A6A">
        <w:rPr>
          <w:sz w:val="24"/>
          <w:szCs w:val="24"/>
        </w:rPr>
        <w:t xml:space="preserve">reikwijdte van de verkeersvrijheden </w:t>
      </w:r>
      <w:r w:rsidR="001F68C0">
        <w:rPr>
          <w:sz w:val="24"/>
          <w:szCs w:val="24"/>
        </w:rPr>
        <w:t xml:space="preserve">wordt </w:t>
      </w:r>
      <w:r w:rsidR="00E51D1F" w:rsidRPr="00121A6A">
        <w:rPr>
          <w:sz w:val="24"/>
          <w:szCs w:val="24"/>
        </w:rPr>
        <w:t xml:space="preserve">in het Lissabonverdrag </w:t>
      </w:r>
      <w:r w:rsidR="001F68C0">
        <w:rPr>
          <w:sz w:val="24"/>
          <w:szCs w:val="24"/>
        </w:rPr>
        <w:t xml:space="preserve">niet </w:t>
      </w:r>
      <w:r w:rsidR="00E51D1F" w:rsidRPr="00121A6A">
        <w:rPr>
          <w:sz w:val="24"/>
          <w:szCs w:val="24"/>
        </w:rPr>
        <w:t>afgezwakt</w:t>
      </w:r>
      <w:bookmarkEnd w:id="25"/>
      <w:r w:rsidR="00E51D1F" w:rsidRPr="00121A6A">
        <w:rPr>
          <w:sz w:val="24"/>
          <w:szCs w:val="24"/>
        </w:rPr>
        <w:t>.</w:t>
      </w:r>
    </w:p>
    <w:p w14:paraId="1766928F" w14:textId="7858D2D3" w:rsidR="00183847" w:rsidRDefault="00C67C6E" w:rsidP="00183847">
      <w:pPr>
        <w:spacing w:after="0"/>
        <w:ind w:firstLine="708"/>
        <w:jc w:val="both"/>
        <w:rPr>
          <w:sz w:val="24"/>
          <w:szCs w:val="24"/>
        </w:rPr>
      </w:pPr>
      <w:r w:rsidRPr="00121A6A">
        <w:rPr>
          <w:sz w:val="24"/>
          <w:szCs w:val="24"/>
        </w:rPr>
        <w:t>Lissabon heeft echter nog meer wijzigingen met zich gebracht</w:t>
      </w:r>
      <w:r w:rsidR="00BF679E" w:rsidRPr="00121A6A">
        <w:rPr>
          <w:sz w:val="24"/>
          <w:szCs w:val="24"/>
        </w:rPr>
        <w:t>: via artikel 6</w:t>
      </w:r>
      <w:r w:rsidR="00B51707" w:rsidRPr="00121A6A">
        <w:rPr>
          <w:sz w:val="24"/>
          <w:szCs w:val="24"/>
        </w:rPr>
        <w:t xml:space="preserve"> </w:t>
      </w:r>
      <w:r w:rsidR="00BF679E" w:rsidRPr="00121A6A">
        <w:rPr>
          <w:sz w:val="24"/>
          <w:szCs w:val="24"/>
        </w:rPr>
        <w:t xml:space="preserve">VEU hebben </w:t>
      </w:r>
      <w:r w:rsidR="001B6E80" w:rsidRPr="00121A6A">
        <w:rPr>
          <w:sz w:val="24"/>
          <w:szCs w:val="24"/>
        </w:rPr>
        <w:t xml:space="preserve">grondrechten een </w:t>
      </w:r>
      <w:r w:rsidR="00901BB1" w:rsidRPr="00121A6A">
        <w:rPr>
          <w:sz w:val="24"/>
          <w:szCs w:val="24"/>
        </w:rPr>
        <w:t>(</w:t>
      </w:r>
      <w:r w:rsidR="001B6E80" w:rsidRPr="00121A6A">
        <w:rPr>
          <w:sz w:val="24"/>
          <w:szCs w:val="24"/>
        </w:rPr>
        <w:t>prominente</w:t>
      </w:r>
      <w:r w:rsidR="00901BB1" w:rsidRPr="00121A6A">
        <w:rPr>
          <w:sz w:val="24"/>
          <w:szCs w:val="24"/>
        </w:rPr>
        <w:t>)</w:t>
      </w:r>
      <w:r w:rsidR="001B6E80" w:rsidRPr="00121A6A">
        <w:rPr>
          <w:sz w:val="24"/>
          <w:szCs w:val="24"/>
        </w:rPr>
        <w:t xml:space="preserve"> plaats in de Europese constitutie</w:t>
      </w:r>
      <w:r w:rsidR="00BF679E" w:rsidRPr="00121A6A">
        <w:rPr>
          <w:sz w:val="24"/>
          <w:szCs w:val="24"/>
        </w:rPr>
        <w:t xml:space="preserve"> verworven</w:t>
      </w:r>
      <w:r w:rsidR="001B6E80" w:rsidRPr="00121A6A">
        <w:rPr>
          <w:sz w:val="24"/>
          <w:szCs w:val="24"/>
        </w:rPr>
        <w:t>.</w:t>
      </w:r>
      <w:r w:rsidR="009F7F80" w:rsidRPr="00121A6A">
        <w:rPr>
          <w:sz w:val="24"/>
          <w:szCs w:val="24"/>
        </w:rPr>
        <w:t xml:space="preserve"> Allereerst is in artikel 6 lid 2 VEU opgenomen dat de EU moet toetreden tot het EVRM. Over de impact van deze toekomstige toetreding later meer (par. 3.4).</w:t>
      </w:r>
      <w:r w:rsidR="001B6E80" w:rsidRPr="00121A6A">
        <w:rPr>
          <w:sz w:val="24"/>
          <w:szCs w:val="24"/>
        </w:rPr>
        <w:t xml:space="preserve"> </w:t>
      </w:r>
      <w:r w:rsidR="009F7F80" w:rsidRPr="00121A6A">
        <w:rPr>
          <w:sz w:val="24"/>
          <w:szCs w:val="24"/>
        </w:rPr>
        <w:t xml:space="preserve">Op deze plaats is van belang dat overeenkomstig artikel 6 lid 1 VEU het Handvest juridisch bindend is geworden en dezelfde status </w:t>
      </w:r>
      <w:r w:rsidR="00F05760" w:rsidRPr="00121A6A">
        <w:rPr>
          <w:sz w:val="24"/>
          <w:szCs w:val="24"/>
        </w:rPr>
        <w:t xml:space="preserve">heeft verworven </w:t>
      </w:r>
      <w:r w:rsidR="00247CBA" w:rsidRPr="00121A6A">
        <w:rPr>
          <w:sz w:val="24"/>
          <w:szCs w:val="24"/>
        </w:rPr>
        <w:t xml:space="preserve">als </w:t>
      </w:r>
      <w:r w:rsidR="005B17C0" w:rsidRPr="00121A6A">
        <w:rPr>
          <w:sz w:val="24"/>
          <w:szCs w:val="24"/>
        </w:rPr>
        <w:t>het V(w)EU</w:t>
      </w:r>
      <w:r w:rsidR="009F7F80" w:rsidRPr="00121A6A">
        <w:rPr>
          <w:sz w:val="24"/>
          <w:szCs w:val="24"/>
        </w:rPr>
        <w:t>.</w:t>
      </w:r>
      <w:r w:rsidR="00F35A14" w:rsidRPr="00121A6A">
        <w:rPr>
          <w:rStyle w:val="FootnoteReference"/>
          <w:sz w:val="24"/>
          <w:szCs w:val="24"/>
        </w:rPr>
        <w:footnoteReference w:id="48"/>
      </w:r>
      <w:r w:rsidR="00247CBA" w:rsidRPr="00121A6A">
        <w:rPr>
          <w:sz w:val="24"/>
          <w:szCs w:val="24"/>
        </w:rPr>
        <w:t xml:space="preserve"> </w:t>
      </w:r>
      <w:r w:rsidR="009F7F80" w:rsidRPr="00121A6A">
        <w:rPr>
          <w:sz w:val="24"/>
          <w:szCs w:val="24"/>
        </w:rPr>
        <w:t xml:space="preserve">Hierdoor </w:t>
      </w:r>
      <w:r w:rsidR="00247CBA" w:rsidRPr="00121A6A">
        <w:rPr>
          <w:sz w:val="24"/>
          <w:szCs w:val="24"/>
        </w:rPr>
        <w:t xml:space="preserve">is artikel 28 </w:t>
      </w:r>
      <w:r w:rsidR="00453DF0" w:rsidRPr="00121A6A">
        <w:rPr>
          <w:sz w:val="24"/>
          <w:szCs w:val="24"/>
        </w:rPr>
        <w:t>Hv</w:t>
      </w:r>
      <w:r w:rsidR="00247CBA" w:rsidRPr="00121A6A">
        <w:rPr>
          <w:sz w:val="24"/>
          <w:szCs w:val="24"/>
        </w:rPr>
        <w:t xml:space="preserve"> </w:t>
      </w:r>
      <w:r w:rsidR="00DA2C4D" w:rsidRPr="00121A6A">
        <w:rPr>
          <w:sz w:val="24"/>
          <w:szCs w:val="24"/>
        </w:rPr>
        <w:t>(</w:t>
      </w:r>
      <w:r w:rsidR="00247CBA" w:rsidRPr="00121A6A">
        <w:rPr>
          <w:sz w:val="24"/>
          <w:szCs w:val="24"/>
        </w:rPr>
        <w:t xml:space="preserve">meer expliciet) op één lijn komen te staan met </w:t>
      </w:r>
      <w:r w:rsidR="002A62B5">
        <w:rPr>
          <w:sz w:val="24"/>
          <w:szCs w:val="24"/>
        </w:rPr>
        <w:t xml:space="preserve">de </w:t>
      </w:r>
      <w:r w:rsidR="00247CBA" w:rsidRPr="00121A6A">
        <w:rPr>
          <w:sz w:val="24"/>
          <w:szCs w:val="24"/>
        </w:rPr>
        <w:t>verkeersvrijheden.</w:t>
      </w:r>
      <w:r w:rsidR="00DA2C4D" w:rsidRPr="00121A6A">
        <w:rPr>
          <w:rStyle w:val="FootnoteReference"/>
          <w:sz w:val="24"/>
          <w:szCs w:val="24"/>
        </w:rPr>
        <w:footnoteReference w:id="49"/>
      </w:r>
      <w:r w:rsidR="00247CBA" w:rsidRPr="00121A6A">
        <w:rPr>
          <w:sz w:val="24"/>
          <w:szCs w:val="24"/>
        </w:rPr>
        <w:t xml:space="preserve"> </w:t>
      </w:r>
      <w:r w:rsidR="009F7F80" w:rsidRPr="00121A6A">
        <w:rPr>
          <w:sz w:val="24"/>
          <w:szCs w:val="24"/>
        </w:rPr>
        <w:t>Volgens</w:t>
      </w:r>
      <w:r w:rsidR="00C340E7" w:rsidRPr="00121A6A">
        <w:rPr>
          <w:sz w:val="24"/>
          <w:szCs w:val="24"/>
        </w:rPr>
        <w:t xml:space="preserve"> </w:t>
      </w:r>
      <w:r w:rsidR="00CB751D" w:rsidRPr="00121A6A">
        <w:rPr>
          <w:sz w:val="24"/>
          <w:szCs w:val="24"/>
        </w:rPr>
        <w:t>Papa</w:t>
      </w:r>
      <w:r w:rsidR="00332D1D" w:rsidRPr="00121A6A">
        <w:rPr>
          <w:sz w:val="24"/>
          <w:szCs w:val="24"/>
        </w:rPr>
        <w:t xml:space="preserve"> </w:t>
      </w:r>
      <w:r w:rsidR="009F7F80" w:rsidRPr="00121A6A">
        <w:rPr>
          <w:sz w:val="24"/>
          <w:szCs w:val="24"/>
        </w:rPr>
        <w:t xml:space="preserve">opereert </w:t>
      </w:r>
      <w:r w:rsidR="00CB751D" w:rsidRPr="00121A6A">
        <w:rPr>
          <w:sz w:val="24"/>
          <w:szCs w:val="24"/>
        </w:rPr>
        <w:t xml:space="preserve">het Hof </w:t>
      </w:r>
      <w:r w:rsidR="00BF679E" w:rsidRPr="00121A6A">
        <w:rPr>
          <w:sz w:val="24"/>
          <w:szCs w:val="24"/>
        </w:rPr>
        <w:t>sedertdien</w:t>
      </w:r>
      <w:r w:rsidR="00CB751D" w:rsidRPr="00121A6A">
        <w:rPr>
          <w:sz w:val="24"/>
          <w:szCs w:val="24"/>
        </w:rPr>
        <w:t xml:space="preserve"> met een versterkt mandaat om in de </w:t>
      </w:r>
      <w:r w:rsidR="0082316D" w:rsidRPr="00121A6A">
        <w:rPr>
          <w:sz w:val="24"/>
          <w:szCs w:val="24"/>
        </w:rPr>
        <w:t>proportionaliteits</w:t>
      </w:r>
      <w:r w:rsidR="00CB751D" w:rsidRPr="00121A6A">
        <w:rPr>
          <w:sz w:val="24"/>
          <w:szCs w:val="24"/>
        </w:rPr>
        <w:t xml:space="preserve">toets </w:t>
      </w:r>
      <w:r w:rsidR="0082316D" w:rsidRPr="00121A6A">
        <w:rPr>
          <w:sz w:val="24"/>
          <w:szCs w:val="24"/>
        </w:rPr>
        <w:t>een andere afweging te maken</w:t>
      </w:r>
      <w:r w:rsidR="00CB751D" w:rsidRPr="00121A6A">
        <w:rPr>
          <w:sz w:val="24"/>
          <w:szCs w:val="24"/>
        </w:rPr>
        <w:t>.</w:t>
      </w:r>
      <w:r w:rsidR="00CB751D" w:rsidRPr="00121A6A">
        <w:rPr>
          <w:rStyle w:val="FootnoteReference"/>
          <w:sz w:val="24"/>
          <w:szCs w:val="24"/>
        </w:rPr>
        <w:footnoteReference w:id="50"/>
      </w:r>
      <w:r w:rsidR="00B55D92" w:rsidRPr="00121A6A">
        <w:rPr>
          <w:sz w:val="24"/>
          <w:szCs w:val="24"/>
        </w:rPr>
        <w:t xml:space="preserve"> </w:t>
      </w:r>
      <w:r w:rsidR="00D72167" w:rsidRPr="00121A6A">
        <w:rPr>
          <w:sz w:val="24"/>
          <w:szCs w:val="24"/>
        </w:rPr>
        <w:t xml:space="preserve">Ook De Vries </w:t>
      </w:r>
      <w:r w:rsidR="00DA2C4D" w:rsidRPr="00121A6A">
        <w:rPr>
          <w:sz w:val="24"/>
          <w:szCs w:val="24"/>
        </w:rPr>
        <w:t>vindt</w:t>
      </w:r>
      <w:r w:rsidR="00D72167" w:rsidRPr="00121A6A">
        <w:rPr>
          <w:sz w:val="24"/>
          <w:szCs w:val="24"/>
        </w:rPr>
        <w:t xml:space="preserve"> dat grondrechten </w:t>
      </w:r>
      <w:r w:rsidR="00196FDD" w:rsidRPr="00121A6A">
        <w:rPr>
          <w:sz w:val="24"/>
          <w:szCs w:val="24"/>
        </w:rPr>
        <w:t xml:space="preserve">mede </w:t>
      </w:r>
      <w:r w:rsidR="009F6FC5" w:rsidRPr="00121A6A">
        <w:rPr>
          <w:sz w:val="24"/>
          <w:szCs w:val="24"/>
        </w:rPr>
        <w:t>hier</w:t>
      </w:r>
      <w:r w:rsidR="00695F6C">
        <w:rPr>
          <w:sz w:val="24"/>
          <w:szCs w:val="24"/>
        </w:rPr>
        <w:t>om</w:t>
      </w:r>
      <w:r w:rsidR="009F6FC5" w:rsidRPr="00121A6A">
        <w:rPr>
          <w:sz w:val="24"/>
          <w:szCs w:val="24"/>
        </w:rPr>
        <w:t xml:space="preserve"> </w:t>
      </w:r>
      <w:r w:rsidR="00D72167" w:rsidRPr="00121A6A">
        <w:rPr>
          <w:sz w:val="24"/>
          <w:szCs w:val="24"/>
        </w:rPr>
        <w:t xml:space="preserve">een bijzondere </w:t>
      </w:r>
      <w:r w:rsidR="00C32DAC">
        <w:rPr>
          <w:sz w:val="24"/>
          <w:szCs w:val="24"/>
        </w:rPr>
        <w:t>positie</w:t>
      </w:r>
      <w:r w:rsidR="00D72167" w:rsidRPr="00121A6A">
        <w:rPr>
          <w:sz w:val="24"/>
          <w:szCs w:val="24"/>
        </w:rPr>
        <w:t xml:space="preserve"> </w:t>
      </w:r>
      <w:r w:rsidR="003C69B1">
        <w:rPr>
          <w:sz w:val="24"/>
          <w:szCs w:val="24"/>
        </w:rPr>
        <w:t xml:space="preserve">(moeten) </w:t>
      </w:r>
      <w:r w:rsidR="00C32DAC">
        <w:rPr>
          <w:sz w:val="24"/>
          <w:szCs w:val="24"/>
        </w:rPr>
        <w:t>innemen</w:t>
      </w:r>
      <w:r w:rsidR="00D72167" w:rsidRPr="00121A6A">
        <w:rPr>
          <w:sz w:val="24"/>
          <w:szCs w:val="24"/>
        </w:rPr>
        <w:t xml:space="preserve"> bij de interpretatie van </w:t>
      </w:r>
      <w:r w:rsidR="00446924">
        <w:rPr>
          <w:sz w:val="24"/>
          <w:szCs w:val="24"/>
        </w:rPr>
        <w:t>markt</w:t>
      </w:r>
      <w:r w:rsidR="005D6E83" w:rsidRPr="00121A6A">
        <w:rPr>
          <w:sz w:val="24"/>
          <w:szCs w:val="24"/>
        </w:rPr>
        <w:t>vrijheden</w:t>
      </w:r>
      <w:r w:rsidR="00D72167" w:rsidRPr="00121A6A">
        <w:rPr>
          <w:sz w:val="24"/>
          <w:szCs w:val="24"/>
        </w:rPr>
        <w:t>.</w:t>
      </w:r>
      <w:r w:rsidR="00D72167" w:rsidRPr="00121A6A">
        <w:rPr>
          <w:rStyle w:val="FootnoteReference"/>
          <w:sz w:val="24"/>
          <w:szCs w:val="24"/>
        </w:rPr>
        <w:footnoteReference w:id="51"/>
      </w:r>
      <w:r w:rsidR="00D72167" w:rsidRPr="00121A6A">
        <w:rPr>
          <w:sz w:val="24"/>
          <w:szCs w:val="24"/>
        </w:rPr>
        <w:t xml:space="preserve"> </w:t>
      </w:r>
      <w:r w:rsidR="005D6E83" w:rsidRPr="00121A6A">
        <w:rPr>
          <w:sz w:val="24"/>
          <w:szCs w:val="24"/>
        </w:rPr>
        <w:t>Een kanttekening is echter op zijn plaats</w:t>
      </w:r>
      <w:r w:rsidR="00247CBA" w:rsidRPr="00121A6A">
        <w:rPr>
          <w:sz w:val="24"/>
          <w:szCs w:val="24"/>
        </w:rPr>
        <w:t>.</w:t>
      </w:r>
      <w:r w:rsidR="00E20C9E" w:rsidRPr="00121A6A">
        <w:rPr>
          <w:sz w:val="24"/>
          <w:szCs w:val="24"/>
        </w:rPr>
        <w:t xml:space="preserve"> Volgens</w:t>
      </w:r>
      <w:r w:rsidR="00247CBA" w:rsidRPr="00121A6A">
        <w:rPr>
          <w:sz w:val="24"/>
          <w:szCs w:val="24"/>
        </w:rPr>
        <w:t xml:space="preserve"> </w:t>
      </w:r>
      <w:proofErr w:type="spellStart"/>
      <w:r w:rsidR="00247CBA" w:rsidRPr="00121A6A">
        <w:rPr>
          <w:sz w:val="24"/>
          <w:szCs w:val="24"/>
        </w:rPr>
        <w:t>Dorssemont</w:t>
      </w:r>
      <w:proofErr w:type="spellEnd"/>
      <w:r w:rsidR="00247CBA" w:rsidRPr="00121A6A">
        <w:rPr>
          <w:sz w:val="24"/>
          <w:szCs w:val="24"/>
        </w:rPr>
        <w:t xml:space="preserve"> </w:t>
      </w:r>
      <w:r w:rsidR="00E20C9E" w:rsidRPr="00121A6A">
        <w:rPr>
          <w:sz w:val="24"/>
          <w:szCs w:val="24"/>
        </w:rPr>
        <w:t xml:space="preserve">heeft </w:t>
      </w:r>
      <w:r w:rsidR="003C69B1">
        <w:rPr>
          <w:sz w:val="24"/>
          <w:szCs w:val="24"/>
        </w:rPr>
        <w:t>de</w:t>
      </w:r>
      <w:r w:rsidR="00247CBA" w:rsidRPr="00121A6A">
        <w:rPr>
          <w:sz w:val="24"/>
          <w:szCs w:val="24"/>
        </w:rPr>
        <w:t xml:space="preserve"> verdragsrechtelijke status </w:t>
      </w:r>
      <w:r w:rsidR="003C69B1">
        <w:rPr>
          <w:sz w:val="24"/>
          <w:szCs w:val="24"/>
        </w:rPr>
        <w:t>van</w:t>
      </w:r>
      <w:r w:rsidR="00247CBA" w:rsidRPr="00121A6A">
        <w:rPr>
          <w:sz w:val="24"/>
          <w:szCs w:val="24"/>
        </w:rPr>
        <w:t xml:space="preserve"> het Handvest</w:t>
      </w:r>
      <w:r w:rsidR="00E20C9E" w:rsidRPr="00121A6A">
        <w:rPr>
          <w:sz w:val="24"/>
          <w:szCs w:val="24"/>
        </w:rPr>
        <w:t xml:space="preserve"> </w:t>
      </w:r>
      <w:r w:rsidR="00247CBA" w:rsidRPr="00121A6A">
        <w:rPr>
          <w:sz w:val="24"/>
          <w:szCs w:val="24"/>
        </w:rPr>
        <w:t xml:space="preserve">weliswaar de status van sociale grondrechten in absolute zin versterkt, maar dit geldt niet voor de relatieve status van grondrechten ten opzichte van </w:t>
      </w:r>
      <w:r w:rsidR="00B14307" w:rsidRPr="00121A6A">
        <w:rPr>
          <w:sz w:val="24"/>
          <w:szCs w:val="24"/>
        </w:rPr>
        <w:t>markt</w:t>
      </w:r>
      <w:r w:rsidR="00247CBA" w:rsidRPr="00121A6A">
        <w:rPr>
          <w:sz w:val="24"/>
          <w:szCs w:val="24"/>
        </w:rPr>
        <w:t>vrijheden.</w:t>
      </w:r>
      <w:r w:rsidR="00E20C9E" w:rsidRPr="00121A6A">
        <w:rPr>
          <w:rStyle w:val="FootnoteReference"/>
          <w:sz w:val="24"/>
          <w:szCs w:val="24"/>
        </w:rPr>
        <w:footnoteReference w:id="52"/>
      </w:r>
      <w:r w:rsidR="00247CBA" w:rsidRPr="00121A6A">
        <w:rPr>
          <w:sz w:val="24"/>
          <w:szCs w:val="24"/>
        </w:rPr>
        <w:t xml:space="preserve"> </w:t>
      </w:r>
      <w:r w:rsidR="0059771D">
        <w:rPr>
          <w:sz w:val="24"/>
          <w:szCs w:val="24"/>
        </w:rPr>
        <w:t>Economische vrijheden</w:t>
      </w:r>
      <w:r w:rsidR="00247CBA" w:rsidRPr="00121A6A">
        <w:rPr>
          <w:sz w:val="24"/>
          <w:szCs w:val="24"/>
        </w:rPr>
        <w:t xml:space="preserve"> zijn namelijk eveneens </w:t>
      </w:r>
      <w:r w:rsidR="00DD4A7E" w:rsidRPr="00121A6A">
        <w:rPr>
          <w:sz w:val="24"/>
          <w:szCs w:val="24"/>
        </w:rPr>
        <w:t xml:space="preserve">formeel </w:t>
      </w:r>
      <w:r w:rsidR="00247CBA" w:rsidRPr="00121A6A">
        <w:rPr>
          <w:sz w:val="24"/>
          <w:szCs w:val="24"/>
        </w:rPr>
        <w:t>tot grondrechten opgewaardeerd (artikel</w:t>
      </w:r>
      <w:r w:rsidR="00DD4A7E" w:rsidRPr="00121A6A">
        <w:rPr>
          <w:sz w:val="24"/>
          <w:szCs w:val="24"/>
        </w:rPr>
        <w:t>en</w:t>
      </w:r>
      <w:r w:rsidR="00247CBA" w:rsidRPr="00121A6A">
        <w:rPr>
          <w:sz w:val="24"/>
          <w:szCs w:val="24"/>
        </w:rPr>
        <w:t xml:space="preserve"> 15 lid 2</w:t>
      </w:r>
      <w:r w:rsidR="005D6E83" w:rsidRPr="00121A6A">
        <w:rPr>
          <w:sz w:val="24"/>
          <w:szCs w:val="24"/>
        </w:rPr>
        <w:t xml:space="preserve"> en 16</w:t>
      </w:r>
      <w:r w:rsidR="00247CBA" w:rsidRPr="00121A6A">
        <w:rPr>
          <w:sz w:val="24"/>
          <w:szCs w:val="24"/>
        </w:rPr>
        <w:t xml:space="preserve"> </w:t>
      </w:r>
      <w:r w:rsidR="00453DF0" w:rsidRPr="00121A6A">
        <w:rPr>
          <w:sz w:val="24"/>
          <w:szCs w:val="24"/>
        </w:rPr>
        <w:t>Hv</w:t>
      </w:r>
      <w:r w:rsidR="00247CBA" w:rsidRPr="00121A6A">
        <w:rPr>
          <w:sz w:val="24"/>
          <w:szCs w:val="24"/>
        </w:rPr>
        <w:t>)</w:t>
      </w:r>
      <w:r w:rsidR="00700856" w:rsidRPr="00121A6A">
        <w:rPr>
          <w:sz w:val="24"/>
          <w:szCs w:val="24"/>
        </w:rPr>
        <w:t>, waar</w:t>
      </w:r>
      <w:r w:rsidR="00247CBA" w:rsidRPr="00121A6A">
        <w:rPr>
          <w:sz w:val="24"/>
          <w:szCs w:val="24"/>
        </w:rPr>
        <w:t xml:space="preserve">door de onduidelijke verhouding tussen </w:t>
      </w:r>
      <w:r w:rsidR="00DD4A7E" w:rsidRPr="00121A6A">
        <w:rPr>
          <w:sz w:val="24"/>
          <w:szCs w:val="24"/>
        </w:rPr>
        <w:t xml:space="preserve">de </w:t>
      </w:r>
      <w:r w:rsidR="00247CBA" w:rsidRPr="00121A6A">
        <w:rPr>
          <w:sz w:val="24"/>
          <w:szCs w:val="24"/>
        </w:rPr>
        <w:t xml:space="preserve">economische en sociale </w:t>
      </w:r>
      <w:r w:rsidR="00DD4A7E" w:rsidRPr="00121A6A">
        <w:rPr>
          <w:sz w:val="24"/>
          <w:szCs w:val="24"/>
        </w:rPr>
        <w:t>dimensie</w:t>
      </w:r>
      <w:r w:rsidR="006A7284" w:rsidRPr="00121A6A">
        <w:rPr>
          <w:sz w:val="24"/>
          <w:szCs w:val="24"/>
        </w:rPr>
        <w:t xml:space="preserve"> van de </w:t>
      </w:r>
      <w:r w:rsidR="00695F6C">
        <w:rPr>
          <w:sz w:val="24"/>
          <w:szCs w:val="24"/>
        </w:rPr>
        <w:t>Unie</w:t>
      </w:r>
      <w:r w:rsidR="00247CBA" w:rsidRPr="00121A6A">
        <w:rPr>
          <w:sz w:val="24"/>
          <w:szCs w:val="24"/>
        </w:rPr>
        <w:t xml:space="preserve"> in stand </w:t>
      </w:r>
      <w:r w:rsidR="00700856" w:rsidRPr="00121A6A">
        <w:rPr>
          <w:sz w:val="24"/>
          <w:szCs w:val="24"/>
        </w:rPr>
        <w:t xml:space="preserve">is </w:t>
      </w:r>
      <w:r w:rsidR="00247CBA" w:rsidRPr="00121A6A">
        <w:rPr>
          <w:sz w:val="24"/>
          <w:szCs w:val="24"/>
        </w:rPr>
        <w:t>gebleven.</w:t>
      </w:r>
      <w:r w:rsidR="004822AE" w:rsidRPr="00121A6A">
        <w:rPr>
          <w:rStyle w:val="FootnoteReference"/>
          <w:sz w:val="24"/>
          <w:szCs w:val="24"/>
        </w:rPr>
        <w:footnoteReference w:id="53"/>
      </w:r>
      <w:r w:rsidR="00247CBA" w:rsidRPr="00121A6A">
        <w:rPr>
          <w:sz w:val="24"/>
          <w:szCs w:val="24"/>
        </w:rPr>
        <w:t xml:space="preserve"> </w:t>
      </w:r>
      <w:r w:rsidR="003552E2" w:rsidRPr="00121A6A">
        <w:rPr>
          <w:sz w:val="24"/>
          <w:szCs w:val="24"/>
        </w:rPr>
        <w:t xml:space="preserve">Daarin ligt misschien ook wel een reden </w:t>
      </w:r>
      <w:r w:rsidR="000D0A00" w:rsidRPr="00121A6A">
        <w:rPr>
          <w:sz w:val="24"/>
          <w:szCs w:val="24"/>
        </w:rPr>
        <w:t xml:space="preserve">waarom </w:t>
      </w:r>
      <w:r w:rsidR="00040A9C" w:rsidRPr="00121A6A">
        <w:rPr>
          <w:sz w:val="24"/>
          <w:szCs w:val="24"/>
        </w:rPr>
        <w:t xml:space="preserve">het Hof zich </w:t>
      </w:r>
      <w:r w:rsidR="000D0A00" w:rsidRPr="00121A6A">
        <w:rPr>
          <w:sz w:val="24"/>
          <w:szCs w:val="24"/>
        </w:rPr>
        <w:t xml:space="preserve">in </w:t>
      </w:r>
      <w:r w:rsidR="000D0A00" w:rsidRPr="00121A6A">
        <w:rPr>
          <w:i/>
          <w:iCs/>
          <w:sz w:val="24"/>
          <w:szCs w:val="24"/>
        </w:rPr>
        <w:t xml:space="preserve">Viking </w:t>
      </w:r>
      <w:r w:rsidR="000D0A00" w:rsidRPr="00121A6A">
        <w:rPr>
          <w:sz w:val="24"/>
          <w:szCs w:val="24"/>
        </w:rPr>
        <w:t xml:space="preserve">en </w:t>
      </w:r>
      <w:r w:rsidR="000D0A00" w:rsidRPr="00121A6A">
        <w:rPr>
          <w:i/>
          <w:iCs/>
          <w:sz w:val="24"/>
          <w:szCs w:val="24"/>
        </w:rPr>
        <w:t>Laval</w:t>
      </w:r>
      <w:r w:rsidR="000D0A00" w:rsidRPr="00121A6A">
        <w:rPr>
          <w:sz w:val="24"/>
          <w:szCs w:val="24"/>
        </w:rPr>
        <w:t xml:space="preserve"> geen rekenschap heeft gegeven van de destijds aanstaande versterking van de sociale dimensie van de Unie. </w:t>
      </w:r>
      <w:r w:rsidR="00040A9C" w:rsidRPr="00121A6A">
        <w:rPr>
          <w:sz w:val="24"/>
          <w:szCs w:val="24"/>
        </w:rPr>
        <w:t>Ook n</w:t>
      </w:r>
      <w:r w:rsidR="00271D26" w:rsidRPr="00121A6A">
        <w:rPr>
          <w:sz w:val="24"/>
          <w:szCs w:val="24"/>
        </w:rPr>
        <w:t>á</w:t>
      </w:r>
      <w:r w:rsidR="00040A9C" w:rsidRPr="00121A6A">
        <w:rPr>
          <w:sz w:val="24"/>
          <w:szCs w:val="24"/>
        </w:rPr>
        <w:t xml:space="preserve"> </w:t>
      </w:r>
      <w:r w:rsidR="00AF5896">
        <w:rPr>
          <w:sz w:val="24"/>
          <w:szCs w:val="24"/>
        </w:rPr>
        <w:t xml:space="preserve">de </w:t>
      </w:r>
      <w:r w:rsidR="00040A9C" w:rsidRPr="00121A6A">
        <w:rPr>
          <w:sz w:val="24"/>
          <w:szCs w:val="24"/>
        </w:rPr>
        <w:t xml:space="preserve">inwerkingtreding </w:t>
      </w:r>
      <w:r w:rsidR="003D5872" w:rsidRPr="00121A6A">
        <w:rPr>
          <w:sz w:val="24"/>
          <w:szCs w:val="24"/>
        </w:rPr>
        <w:t xml:space="preserve">van het Lissabonverdrag </w:t>
      </w:r>
      <w:r w:rsidR="00040A9C" w:rsidRPr="00121A6A">
        <w:rPr>
          <w:sz w:val="24"/>
          <w:szCs w:val="24"/>
        </w:rPr>
        <w:t>hield het Hof</w:t>
      </w:r>
      <w:r w:rsidR="0073660E">
        <w:rPr>
          <w:sz w:val="24"/>
          <w:szCs w:val="24"/>
        </w:rPr>
        <w:t xml:space="preserve"> </w:t>
      </w:r>
      <w:r w:rsidR="00315572">
        <w:rPr>
          <w:sz w:val="24"/>
          <w:szCs w:val="24"/>
        </w:rPr>
        <w:t xml:space="preserve">blijkens de arresten </w:t>
      </w:r>
      <w:r w:rsidR="00315572">
        <w:rPr>
          <w:i/>
          <w:iCs/>
          <w:sz w:val="24"/>
          <w:szCs w:val="24"/>
        </w:rPr>
        <w:t>Commissie/Duitsland</w:t>
      </w:r>
      <w:r w:rsidR="00315572">
        <w:rPr>
          <w:sz w:val="24"/>
          <w:szCs w:val="24"/>
        </w:rPr>
        <w:t xml:space="preserve"> en </w:t>
      </w:r>
      <w:proofErr w:type="spellStart"/>
      <w:r w:rsidR="00315572">
        <w:rPr>
          <w:i/>
          <w:iCs/>
          <w:sz w:val="24"/>
          <w:szCs w:val="24"/>
        </w:rPr>
        <w:t>Fonnship</w:t>
      </w:r>
      <w:proofErr w:type="spellEnd"/>
      <w:r w:rsidR="00005D39">
        <w:rPr>
          <w:sz w:val="24"/>
          <w:szCs w:val="24"/>
        </w:rPr>
        <w:t xml:space="preserve"> </w:t>
      </w:r>
      <w:r w:rsidR="00040A9C" w:rsidRPr="00121A6A">
        <w:rPr>
          <w:sz w:val="24"/>
          <w:szCs w:val="24"/>
        </w:rPr>
        <w:t xml:space="preserve">vast aan het </w:t>
      </w:r>
      <w:r w:rsidR="004171C2" w:rsidRPr="00121A6A">
        <w:rPr>
          <w:sz w:val="24"/>
          <w:szCs w:val="24"/>
        </w:rPr>
        <w:t xml:space="preserve">bestaande </w:t>
      </w:r>
      <w:r w:rsidR="00040A9C" w:rsidRPr="00121A6A">
        <w:rPr>
          <w:sz w:val="24"/>
          <w:szCs w:val="24"/>
        </w:rPr>
        <w:t xml:space="preserve">toetsingskader. </w:t>
      </w:r>
      <w:r w:rsidR="00B55D92" w:rsidRPr="00121A6A">
        <w:rPr>
          <w:sz w:val="24"/>
          <w:szCs w:val="24"/>
        </w:rPr>
        <w:t xml:space="preserve">Daaruit </w:t>
      </w:r>
      <w:r w:rsidR="003D5872" w:rsidRPr="00121A6A">
        <w:rPr>
          <w:sz w:val="24"/>
          <w:szCs w:val="24"/>
        </w:rPr>
        <w:t xml:space="preserve">kan </w:t>
      </w:r>
      <w:r w:rsidR="00315572">
        <w:rPr>
          <w:sz w:val="24"/>
          <w:szCs w:val="24"/>
        </w:rPr>
        <w:t xml:space="preserve">impliciet </w:t>
      </w:r>
      <w:r w:rsidR="003D5872" w:rsidRPr="00121A6A">
        <w:rPr>
          <w:sz w:val="24"/>
          <w:szCs w:val="24"/>
        </w:rPr>
        <w:t>worden afgeleid</w:t>
      </w:r>
      <w:r w:rsidR="00B55D92" w:rsidRPr="00121A6A">
        <w:rPr>
          <w:sz w:val="24"/>
          <w:szCs w:val="24"/>
        </w:rPr>
        <w:t xml:space="preserve"> dat het </w:t>
      </w:r>
      <w:r w:rsidR="00E1394A">
        <w:rPr>
          <w:sz w:val="24"/>
          <w:szCs w:val="24"/>
        </w:rPr>
        <w:t>rechts</w:t>
      </w:r>
      <w:r w:rsidR="001552B0">
        <w:rPr>
          <w:sz w:val="24"/>
          <w:szCs w:val="24"/>
        </w:rPr>
        <w:t xml:space="preserve">kader uit </w:t>
      </w:r>
      <w:r w:rsidR="00DB1F99" w:rsidRPr="00121A6A">
        <w:rPr>
          <w:i/>
          <w:iCs/>
          <w:sz w:val="24"/>
          <w:szCs w:val="24"/>
        </w:rPr>
        <w:t>Viking</w:t>
      </w:r>
      <w:r w:rsidR="00DB1F99" w:rsidRPr="00121A6A">
        <w:rPr>
          <w:sz w:val="24"/>
          <w:szCs w:val="24"/>
        </w:rPr>
        <w:t xml:space="preserve"> en </w:t>
      </w:r>
      <w:r w:rsidR="00DB1F99" w:rsidRPr="00121A6A">
        <w:rPr>
          <w:i/>
          <w:iCs/>
          <w:sz w:val="24"/>
          <w:szCs w:val="24"/>
        </w:rPr>
        <w:t>Laval</w:t>
      </w:r>
      <w:r w:rsidR="00B55D92" w:rsidRPr="00121A6A">
        <w:rPr>
          <w:sz w:val="24"/>
          <w:szCs w:val="24"/>
        </w:rPr>
        <w:t xml:space="preserve"> </w:t>
      </w:r>
      <w:r w:rsidR="00DA12F1">
        <w:rPr>
          <w:sz w:val="24"/>
          <w:szCs w:val="24"/>
        </w:rPr>
        <w:t>door</w:t>
      </w:r>
      <w:r w:rsidR="00E619D7">
        <w:rPr>
          <w:sz w:val="24"/>
          <w:szCs w:val="24"/>
        </w:rPr>
        <w:t xml:space="preserve"> het </w:t>
      </w:r>
      <w:r w:rsidR="00B81436">
        <w:rPr>
          <w:sz w:val="24"/>
          <w:szCs w:val="24"/>
        </w:rPr>
        <w:t xml:space="preserve">juridisch bindend worden van artikel 28 Hv </w:t>
      </w:r>
      <w:r w:rsidR="00695F6C">
        <w:rPr>
          <w:sz w:val="24"/>
          <w:szCs w:val="24"/>
        </w:rPr>
        <w:t xml:space="preserve">niet </w:t>
      </w:r>
      <w:r w:rsidR="0063626E">
        <w:rPr>
          <w:sz w:val="24"/>
          <w:szCs w:val="24"/>
        </w:rPr>
        <w:t>(</w:t>
      </w:r>
      <w:r w:rsidR="00695F6C">
        <w:rPr>
          <w:sz w:val="24"/>
          <w:szCs w:val="24"/>
        </w:rPr>
        <w:t>fundamenteel</w:t>
      </w:r>
      <w:r w:rsidR="0063626E">
        <w:rPr>
          <w:sz w:val="24"/>
          <w:szCs w:val="24"/>
        </w:rPr>
        <w:t>)</w:t>
      </w:r>
      <w:r w:rsidR="00695F6C">
        <w:rPr>
          <w:sz w:val="24"/>
          <w:szCs w:val="24"/>
        </w:rPr>
        <w:t xml:space="preserve"> </w:t>
      </w:r>
      <w:r w:rsidR="00285B52">
        <w:rPr>
          <w:sz w:val="24"/>
          <w:szCs w:val="24"/>
        </w:rPr>
        <w:t>is</w:t>
      </w:r>
      <w:r w:rsidR="00695F6C">
        <w:rPr>
          <w:sz w:val="24"/>
          <w:szCs w:val="24"/>
        </w:rPr>
        <w:t xml:space="preserve"> gewijzigd</w:t>
      </w:r>
      <w:r w:rsidR="00B81436">
        <w:rPr>
          <w:sz w:val="24"/>
          <w:szCs w:val="24"/>
        </w:rPr>
        <w:t>.</w:t>
      </w:r>
      <w:r w:rsidR="00BB4758" w:rsidRPr="00121A6A">
        <w:rPr>
          <w:rStyle w:val="FootnoteReference"/>
          <w:sz w:val="24"/>
          <w:szCs w:val="24"/>
        </w:rPr>
        <w:footnoteReference w:id="54"/>
      </w:r>
    </w:p>
    <w:p w14:paraId="03EBFA62" w14:textId="77777777" w:rsidR="00183847" w:rsidRPr="00121A6A" w:rsidRDefault="00183847" w:rsidP="00183847">
      <w:pPr>
        <w:spacing w:after="0"/>
        <w:ind w:firstLine="708"/>
        <w:jc w:val="both"/>
        <w:rPr>
          <w:sz w:val="24"/>
          <w:szCs w:val="24"/>
        </w:rPr>
      </w:pPr>
    </w:p>
    <w:p w14:paraId="0F06D00A" w14:textId="69DE5D30" w:rsidR="00F012BE" w:rsidRPr="00121A6A" w:rsidRDefault="007E2CAF" w:rsidP="00D33B14">
      <w:pPr>
        <w:pStyle w:val="Heading3"/>
        <w:jc w:val="both"/>
        <w:rPr>
          <w:sz w:val="24"/>
          <w:szCs w:val="24"/>
        </w:rPr>
      </w:pPr>
      <w:bookmarkStart w:id="27" w:name="_Toc169963050"/>
      <w:r>
        <w:rPr>
          <w:sz w:val="24"/>
          <w:szCs w:val="24"/>
        </w:rPr>
        <w:lastRenderedPageBreak/>
        <w:t xml:space="preserve">De </w:t>
      </w:r>
      <w:r w:rsidR="00EE5FBE" w:rsidRPr="00121A6A">
        <w:rPr>
          <w:sz w:val="24"/>
          <w:szCs w:val="24"/>
        </w:rPr>
        <w:t>Monti II-verordening</w:t>
      </w:r>
      <w:bookmarkEnd w:id="27"/>
    </w:p>
    <w:p w14:paraId="753DA8D7" w14:textId="38AF3DD1" w:rsidR="00DC50B4" w:rsidRPr="00121A6A" w:rsidRDefault="0018678D" w:rsidP="006C4C92">
      <w:pPr>
        <w:spacing w:after="0"/>
        <w:jc w:val="both"/>
        <w:rPr>
          <w:sz w:val="24"/>
          <w:szCs w:val="24"/>
        </w:rPr>
      </w:pPr>
      <w:r w:rsidRPr="00121A6A">
        <w:rPr>
          <w:sz w:val="24"/>
          <w:szCs w:val="24"/>
        </w:rPr>
        <w:t>Een</w:t>
      </w:r>
      <w:r w:rsidR="00693332" w:rsidRPr="00121A6A">
        <w:rPr>
          <w:sz w:val="24"/>
          <w:szCs w:val="24"/>
        </w:rPr>
        <w:t xml:space="preserve"> </w:t>
      </w:r>
      <w:r w:rsidRPr="00121A6A">
        <w:rPr>
          <w:sz w:val="24"/>
          <w:szCs w:val="24"/>
        </w:rPr>
        <w:t>ve</w:t>
      </w:r>
      <w:r w:rsidR="00693332" w:rsidRPr="00121A6A">
        <w:rPr>
          <w:sz w:val="24"/>
          <w:szCs w:val="24"/>
        </w:rPr>
        <w:t xml:space="preserve">rdragswijziging leidde </w:t>
      </w:r>
      <w:r w:rsidR="00BA0CE0">
        <w:rPr>
          <w:sz w:val="24"/>
          <w:szCs w:val="24"/>
        </w:rPr>
        <w:t xml:space="preserve">in zoverre </w:t>
      </w:r>
      <w:r w:rsidR="00693332" w:rsidRPr="00121A6A">
        <w:rPr>
          <w:sz w:val="24"/>
          <w:szCs w:val="24"/>
        </w:rPr>
        <w:t>dus niet tot een evenwichtige</w:t>
      </w:r>
      <w:r w:rsidR="002E3CC0" w:rsidRPr="00121A6A">
        <w:rPr>
          <w:sz w:val="24"/>
          <w:szCs w:val="24"/>
        </w:rPr>
        <w:t>(</w:t>
      </w:r>
      <w:r w:rsidR="00693332" w:rsidRPr="00121A6A">
        <w:rPr>
          <w:sz w:val="24"/>
          <w:szCs w:val="24"/>
        </w:rPr>
        <w:t>re</w:t>
      </w:r>
      <w:r w:rsidR="002E3CC0" w:rsidRPr="00121A6A">
        <w:rPr>
          <w:sz w:val="24"/>
          <w:szCs w:val="24"/>
        </w:rPr>
        <w:t>)</w:t>
      </w:r>
      <w:r w:rsidR="00693332" w:rsidRPr="00121A6A">
        <w:rPr>
          <w:sz w:val="24"/>
          <w:szCs w:val="24"/>
        </w:rPr>
        <w:t xml:space="preserve"> afweging tussen sociale grondrechten en economische vrijheden. Een specifiek wetgevingsvoorstel</w:t>
      </w:r>
      <w:r w:rsidR="00977915" w:rsidRPr="00121A6A">
        <w:rPr>
          <w:sz w:val="24"/>
          <w:szCs w:val="24"/>
        </w:rPr>
        <w:t xml:space="preserve"> dat moest voorzien in een </w:t>
      </w:r>
      <w:r w:rsidR="00EC1F6B" w:rsidRPr="00121A6A">
        <w:rPr>
          <w:sz w:val="24"/>
          <w:szCs w:val="24"/>
        </w:rPr>
        <w:t>politiek antwoord op de controverse</w:t>
      </w:r>
      <w:r w:rsidR="00363446" w:rsidRPr="00121A6A">
        <w:rPr>
          <w:sz w:val="24"/>
          <w:szCs w:val="24"/>
        </w:rPr>
        <w:t xml:space="preserve">, </w:t>
      </w:r>
      <w:r w:rsidR="003D51D3" w:rsidRPr="00121A6A">
        <w:rPr>
          <w:sz w:val="24"/>
          <w:szCs w:val="24"/>
        </w:rPr>
        <w:t>de Monti II-verordening</w:t>
      </w:r>
      <w:r w:rsidR="00693332" w:rsidRPr="00121A6A">
        <w:rPr>
          <w:sz w:val="24"/>
          <w:szCs w:val="24"/>
        </w:rPr>
        <w:t xml:space="preserve"> (2012</w:t>
      </w:r>
      <w:r w:rsidR="00A30748" w:rsidRPr="00121A6A">
        <w:rPr>
          <w:sz w:val="24"/>
          <w:szCs w:val="24"/>
        </w:rPr>
        <w:t>)</w:t>
      </w:r>
      <w:r w:rsidR="00977915" w:rsidRPr="00121A6A">
        <w:rPr>
          <w:sz w:val="24"/>
          <w:szCs w:val="24"/>
        </w:rPr>
        <w:t>,</w:t>
      </w:r>
      <w:r w:rsidR="00EC1F6B" w:rsidRPr="00121A6A">
        <w:rPr>
          <w:rStyle w:val="FootnoteReference"/>
          <w:sz w:val="24"/>
          <w:szCs w:val="24"/>
        </w:rPr>
        <w:footnoteReference w:id="55"/>
      </w:r>
      <w:r w:rsidR="00977915" w:rsidRPr="00121A6A">
        <w:rPr>
          <w:sz w:val="24"/>
          <w:szCs w:val="24"/>
        </w:rPr>
        <w:t xml:space="preserve"> </w:t>
      </w:r>
      <w:r w:rsidR="00693332" w:rsidRPr="00121A6A">
        <w:rPr>
          <w:sz w:val="24"/>
          <w:szCs w:val="24"/>
        </w:rPr>
        <w:t>kon evenmin verandering brengen in de door het Hof uitgezette lijn</w:t>
      </w:r>
      <w:r w:rsidR="00696684" w:rsidRPr="00121A6A">
        <w:rPr>
          <w:sz w:val="24"/>
          <w:szCs w:val="24"/>
        </w:rPr>
        <w:t>.</w:t>
      </w:r>
      <w:r w:rsidR="00977915" w:rsidRPr="00121A6A">
        <w:rPr>
          <w:sz w:val="24"/>
          <w:szCs w:val="24"/>
        </w:rPr>
        <w:t xml:space="preserve"> </w:t>
      </w:r>
      <w:r w:rsidR="000A44FB" w:rsidRPr="00121A6A">
        <w:rPr>
          <w:sz w:val="24"/>
          <w:szCs w:val="24"/>
        </w:rPr>
        <w:t>Ten eerste kon geen overeenstemming worden bereikt over het soort wetgevingsinstrument</w:t>
      </w:r>
      <w:r w:rsidR="00A02264" w:rsidRPr="00121A6A">
        <w:rPr>
          <w:sz w:val="24"/>
          <w:szCs w:val="24"/>
        </w:rPr>
        <w:t xml:space="preserve"> dat moest worden aangewend</w:t>
      </w:r>
      <w:r w:rsidR="000A44FB" w:rsidRPr="00121A6A">
        <w:rPr>
          <w:sz w:val="24"/>
          <w:szCs w:val="24"/>
        </w:rPr>
        <w:t xml:space="preserve">. Hoewel uiteindelijk is gekozen voor een verordening, lijkt secundaire wetgeving ongeschikt </w:t>
      </w:r>
      <w:r w:rsidR="00A30748" w:rsidRPr="00121A6A">
        <w:rPr>
          <w:sz w:val="24"/>
          <w:szCs w:val="24"/>
        </w:rPr>
        <w:t xml:space="preserve">om tot een </w:t>
      </w:r>
      <w:r w:rsidR="00681C08" w:rsidRPr="00121A6A">
        <w:rPr>
          <w:sz w:val="24"/>
          <w:szCs w:val="24"/>
        </w:rPr>
        <w:t>ander toetsingskader</w:t>
      </w:r>
      <w:r w:rsidR="00A30748" w:rsidRPr="00121A6A">
        <w:rPr>
          <w:sz w:val="24"/>
          <w:szCs w:val="24"/>
        </w:rPr>
        <w:t xml:space="preserve"> te </w:t>
      </w:r>
      <w:r w:rsidR="00681C08" w:rsidRPr="00121A6A">
        <w:rPr>
          <w:sz w:val="24"/>
          <w:szCs w:val="24"/>
        </w:rPr>
        <w:t>komen</w:t>
      </w:r>
      <w:r w:rsidR="000A44FB" w:rsidRPr="00121A6A">
        <w:rPr>
          <w:sz w:val="24"/>
          <w:szCs w:val="24"/>
        </w:rPr>
        <w:t>.</w:t>
      </w:r>
      <w:r w:rsidR="0053128F" w:rsidRPr="00121A6A">
        <w:rPr>
          <w:sz w:val="24"/>
          <w:szCs w:val="24"/>
        </w:rPr>
        <w:t xml:space="preserve"> Secundair Unierecht moet immers in overeenstemming zijn met primair Unierecht</w:t>
      </w:r>
      <w:r w:rsidR="00E33CCF">
        <w:rPr>
          <w:sz w:val="24"/>
          <w:szCs w:val="24"/>
        </w:rPr>
        <w:t xml:space="preserve"> –</w:t>
      </w:r>
      <w:r w:rsidR="0053128F" w:rsidRPr="00121A6A">
        <w:rPr>
          <w:sz w:val="24"/>
          <w:szCs w:val="24"/>
        </w:rPr>
        <w:t xml:space="preserve"> waaronder </w:t>
      </w:r>
      <w:r w:rsidR="005C45D9" w:rsidRPr="00121A6A">
        <w:rPr>
          <w:sz w:val="24"/>
          <w:szCs w:val="24"/>
        </w:rPr>
        <w:t xml:space="preserve">de </w:t>
      </w:r>
      <w:r w:rsidR="0053128F" w:rsidRPr="00121A6A">
        <w:rPr>
          <w:sz w:val="24"/>
          <w:szCs w:val="24"/>
        </w:rPr>
        <w:t>verdragsvrijheden</w:t>
      </w:r>
      <w:r w:rsidR="00E33CCF">
        <w:rPr>
          <w:sz w:val="24"/>
          <w:szCs w:val="24"/>
        </w:rPr>
        <w:t xml:space="preserve"> –</w:t>
      </w:r>
      <w:r w:rsidR="002E194E" w:rsidRPr="00121A6A">
        <w:rPr>
          <w:sz w:val="24"/>
          <w:szCs w:val="24"/>
        </w:rPr>
        <w:t xml:space="preserve"> en het is aan het Hof om daarop toe te zien.</w:t>
      </w:r>
      <w:r w:rsidR="00A30748" w:rsidRPr="00121A6A">
        <w:rPr>
          <w:sz w:val="24"/>
          <w:szCs w:val="24"/>
        </w:rPr>
        <w:t xml:space="preserve"> </w:t>
      </w:r>
      <w:r w:rsidR="00681C08" w:rsidRPr="00121A6A">
        <w:rPr>
          <w:sz w:val="24"/>
          <w:szCs w:val="24"/>
        </w:rPr>
        <w:t>H</w:t>
      </w:r>
      <w:r w:rsidR="00837111" w:rsidRPr="00121A6A">
        <w:rPr>
          <w:sz w:val="24"/>
          <w:szCs w:val="24"/>
        </w:rPr>
        <w:t>et Europe</w:t>
      </w:r>
      <w:r w:rsidR="008E29A0" w:rsidRPr="00121A6A">
        <w:rPr>
          <w:sz w:val="24"/>
          <w:szCs w:val="24"/>
        </w:rPr>
        <w:t>es</w:t>
      </w:r>
      <w:r w:rsidR="00837111" w:rsidRPr="00121A6A">
        <w:rPr>
          <w:sz w:val="24"/>
          <w:szCs w:val="24"/>
        </w:rPr>
        <w:t xml:space="preserve"> </w:t>
      </w:r>
      <w:r w:rsidR="008E29A0" w:rsidRPr="00121A6A">
        <w:rPr>
          <w:sz w:val="24"/>
          <w:szCs w:val="24"/>
        </w:rPr>
        <w:t>V</w:t>
      </w:r>
      <w:r w:rsidR="00837111" w:rsidRPr="00121A6A">
        <w:rPr>
          <w:sz w:val="24"/>
          <w:szCs w:val="24"/>
        </w:rPr>
        <w:t xml:space="preserve">akverbond </w:t>
      </w:r>
      <w:r w:rsidR="00587B03" w:rsidRPr="00121A6A">
        <w:rPr>
          <w:sz w:val="24"/>
          <w:szCs w:val="24"/>
        </w:rPr>
        <w:t>had</w:t>
      </w:r>
      <w:r w:rsidR="00681C08" w:rsidRPr="00121A6A">
        <w:rPr>
          <w:sz w:val="24"/>
          <w:szCs w:val="24"/>
        </w:rPr>
        <w:t xml:space="preserve"> </w:t>
      </w:r>
      <w:r w:rsidR="006E0BAE" w:rsidRPr="00121A6A">
        <w:rPr>
          <w:sz w:val="24"/>
          <w:szCs w:val="24"/>
        </w:rPr>
        <w:t>daarom</w:t>
      </w:r>
      <w:r w:rsidR="00837111" w:rsidRPr="00121A6A">
        <w:rPr>
          <w:sz w:val="24"/>
          <w:szCs w:val="24"/>
        </w:rPr>
        <w:t xml:space="preserve"> </w:t>
      </w:r>
      <w:r w:rsidR="00681C08" w:rsidRPr="00121A6A">
        <w:rPr>
          <w:sz w:val="24"/>
          <w:szCs w:val="24"/>
        </w:rPr>
        <w:t>een ‘</w:t>
      </w:r>
      <w:proofErr w:type="spellStart"/>
      <w:r w:rsidR="00681C08" w:rsidRPr="0080665C">
        <w:rPr>
          <w:sz w:val="24"/>
          <w:szCs w:val="24"/>
        </w:rPr>
        <w:t>Social</w:t>
      </w:r>
      <w:proofErr w:type="spellEnd"/>
      <w:r w:rsidR="00681C08" w:rsidRPr="0080665C">
        <w:rPr>
          <w:sz w:val="24"/>
          <w:szCs w:val="24"/>
        </w:rPr>
        <w:t xml:space="preserve"> </w:t>
      </w:r>
      <w:proofErr w:type="spellStart"/>
      <w:r w:rsidR="00681C08" w:rsidRPr="0080665C">
        <w:rPr>
          <w:sz w:val="24"/>
          <w:szCs w:val="24"/>
        </w:rPr>
        <w:t>Progress</w:t>
      </w:r>
      <w:proofErr w:type="spellEnd"/>
      <w:r w:rsidR="00681C08" w:rsidRPr="0080665C">
        <w:rPr>
          <w:sz w:val="24"/>
          <w:szCs w:val="24"/>
        </w:rPr>
        <w:t xml:space="preserve"> </w:t>
      </w:r>
      <w:r w:rsidR="00256E6C">
        <w:rPr>
          <w:sz w:val="24"/>
          <w:szCs w:val="24"/>
        </w:rPr>
        <w:t>Protocol</w:t>
      </w:r>
      <w:r w:rsidR="00681C08" w:rsidRPr="0080665C">
        <w:rPr>
          <w:sz w:val="24"/>
          <w:szCs w:val="24"/>
        </w:rPr>
        <w:t>’</w:t>
      </w:r>
      <w:r w:rsidR="00681C08" w:rsidRPr="00121A6A">
        <w:rPr>
          <w:sz w:val="24"/>
          <w:szCs w:val="24"/>
        </w:rPr>
        <w:t xml:space="preserve"> met een verdragsrechtelijke status</w:t>
      </w:r>
      <w:r w:rsidR="00D6592B" w:rsidRPr="00121A6A">
        <w:rPr>
          <w:sz w:val="24"/>
          <w:szCs w:val="24"/>
        </w:rPr>
        <w:t xml:space="preserve"> voorgesteld</w:t>
      </w:r>
      <w:r w:rsidR="00681C08" w:rsidRPr="00121A6A">
        <w:rPr>
          <w:sz w:val="24"/>
          <w:szCs w:val="24"/>
        </w:rPr>
        <w:t>, teneinde</w:t>
      </w:r>
      <w:r w:rsidR="001B403E" w:rsidRPr="00121A6A">
        <w:rPr>
          <w:sz w:val="24"/>
          <w:szCs w:val="24"/>
        </w:rPr>
        <w:t xml:space="preserve"> het stakingsrecht</w:t>
      </w:r>
      <w:r w:rsidR="00F00C56" w:rsidRPr="00121A6A">
        <w:rPr>
          <w:sz w:val="24"/>
          <w:szCs w:val="24"/>
        </w:rPr>
        <w:t xml:space="preserve"> </w:t>
      </w:r>
      <w:r w:rsidR="001B403E" w:rsidRPr="00121A6A">
        <w:rPr>
          <w:sz w:val="24"/>
          <w:szCs w:val="24"/>
        </w:rPr>
        <w:t xml:space="preserve">te ‘immuniseren’ </w:t>
      </w:r>
      <w:r w:rsidR="00681C08" w:rsidRPr="00121A6A">
        <w:rPr>
          <w:sz w:val="24"/>
          <w:szCs w:val="24"/>
        </w:rPr>
        <w:t>tegen</w:t>
      </w:r>
      <w:r w:rsidR="00F00C56" w:rsidRPr="00121A6A">
        <w:rPr>
          <w:sz w:val="24"/>
          <w:szCs w:val="24"/>
        </w:rPr>
        <w:t xml:space="preserve"> de werking van </w:t>
      </w:r>
      <w:r w:rsidR="00FF20DC">
        <w:rPr>
          <w:sz w:val="24"/>
          <w:szCs w:val="24"/>
        </w:rPr>
        <w:t>het vrij verkeer</w:t>
      </w:r>
      <w:r w:rsidR="00681C08" w:rsidRPr="00121A6A">
        <w:rPr>
          <w:sz w:val="24"/>
          <w:szCs w:val="24"/>
        </w:rPr>
        <w:t>.</w:t>
      </w:r>
      <w:r w:rsidR="00F00C56" w:rsidRPr="00121A6A">
        <w:rPr>
          <w:rStyle w:val="FootnoteReference"/>
          <w:sz w:val="24"/>
          <w:szCs w:val="24"/>
        </w:rPr>
        <w:footnoteReference w:id="56"/>
      </w:r>
      <w:r w:rsidR="00512EE6" w:rsidRPr="00121A6A">
        <w:rPr>
          <w:sz w:val="24"/>
          <w:szCs w:val="24"/>
        </w:rPr>
        <w:t xml:space="preserve"> Over dit voorstel was echter (bij voorbaat) geen unanimiteit. Ten tweede</w:t>
      </w:r>
      <w:r w:rsidR="000A44FB" w:rsidRPr="00121A6A">
        <w:rPr>
          <w:sz w:val="24"/>
          <w:szCs w:val="24"/>
        </w:rPr>
        <w:t xml:space="preserve"> </w:t>
      </w:r>
      <w:r w:rsidR="00426B8E" w:rsidRPr="00121A6A">
        <w:rPr>
          <w:sz w:val="24"/>
          <w:szCs w:val="24"/>
        </w:rPr>
        <w:t xml:space="preserve">kon geen consensus worden bereikt over de inhoud van </w:t>
      </w:r>
      <w:r w:rsidR="00C45876" w:rsidRPr="00121A6A">
        <w:rPr>
          <w:sz w:val="24"/>
          <w:szCs w:val="24"/>
        </w:rPr>
        <w:t>de verordening</w:t>
      </w:r>
      <w:r w:rsidR="00426B8E" w:rsidRPr="00121A6A">
        <w:rPr>
          <w:sz w:val="24"/>
          <w:szCs w:val="24"/>
        </w:rPr>
        <w:t>.</w:t>
      </w:r>
      <w:r w:rsidR="00A03CDF" w:rsidRPr="00121A6A">
        <w:rPr>
          <w:sz w:val="24"/>
          <w:szCs w:val="24"/>
        </w:rPr>
        <w:t xml:space="preserve"> Hoewel </w:t>
      </w:r>
      <w:r w:rsidR="008738BF" w:rsidRPr="00121A6A">
        <w:rPr>
          <w:sz w:val="24"/>
          <w:szCs w:val="24"/>
        </w:rPr>
        <w:t xml:space="preserve">de </w:t>
      </w:r>
      <w:r w:rsidR="00A03CDF" w:rsidRPr="00121A6A">
        <w:rPr>
          <w:sz w:val="24"/>
          <w:szCs w:val="24"/>
        </w:rPr>
        <w:t>Monti II</w:t>
      </w:r>
      <w:r w:rsidR="008738BF" w:rsidRPr="00121A6A">
        <w:rPr>
          <w:sz w:val="24"/>
          <w:szCs w:val="24"/>
        </w:rPr>
        <w:t>-verordening</w:t>
      </w:r>
      <w:r w:rsidR="00A03CDF" w:rsidRPr="00121A6A">
        <w:rPr>
          <w:sz w:val="24"/>
          <w:szCs w:val="24"/>
        </w:rPr>
        <w:t xml:space="preserve"> in artikel 352 VwEU een ‘neutrale’ rechtsbasis had</w:t>
      </w:r>
      <w:r w:rsidR="008738BF" w:rsidRPr="00121A6A">
        <w:rPr>
          <w:sz w:val="24"/>
          <w:szCs w:val="24"/>
        </w:rPr>
        <w:t xml:space="preserve">, waardoor deze niet op voorhand door marktvrijheden werd gekleurd, </w:t>
      </w:r>
      <w:r w:rsidR="00851C9A" w:rsidRPr="00121A6A">
        <w:rPr>
          <w:sz w:val="24"/>
          <w:szCs w:val="24"/>
        </w:rPr>
        <w:t xml:space="preserve">en in artikel 2 </w:t>
      </w:r>
      <w:r w:rsidR="008738BF" w:rsidRPr="00121A6A">
        <w:rPr>
          <w:sz w:val="24"/>
          <w:szCs w:val="24"/>
        </w:rPr>
        <w:t xml:space="preserve">van de verordening </w:t>
      </w:r>
      <w:r w:rsidR="00851C9A" w:rsidRPr="00121A6A">
        <w:rPr>
          <w:sz w:val="24"/>
          <w:szCs w:val="24"/>
        </w:rPr>
        <w:t xml:space="preserve">werd gepleit voor een ‘dubbele proportionaliteitstoets’, </w:t>
      </w:r>
      <w:r w:rsidR="001673B7" w:rsidRPr="00121A6A">
        <w:rPr>
          <w:sz w:val="24"/>
          <w:szCs w:val="24"/>
        </w:rPr>
        <w:t xml:space="preserve">werd de </w:t>
      </w:r>
      <w:r w:rsidR="00A30748" w:rsidRPr="00121A6A">
        <w:rPr>
          <w:i/>
          <w:iCs/>
          <w:sz w:val="24"/>
          <w:szCs w:val="24"/>
        </w:rPr>
        <w:t>Viking</w:t>
      </w:r>
      <w:r w:rsidR="00FF20DC">
        <w:rPr>
          <w:sz w:val="24"/>
          <w:szCs w:val="24"/>
        </w:rPr>
        <w:t>-</w:t>
      </w:r>
      <w:r w:rsidR="00A30748" w:rsidRPr="00121A6A">
        <w:rPr>
          <w:sz w:val="24"/>
          <w:szCs w:val="24"/>
        </w:rPr>
        <w:t xml:space="preserve"> en </w:t>
      </w:r>
      <w:r w:rsidR="00A30748" w:rsidRPr="00121A6A">
        <w:rPr>
          <w:i/>
          <w:iCs/>
          <w:sz w:val="24"/>
          <w:szCs w:val="24"/>
        </w:rPr>
        <w:t>Laval</w:t>
      </w:r>
      <w:r w:rsidR="00851C9A" w:rsidRPr="00121A6A">
        <w:rPr>
          <w:sz w:val="24"/>
          <w:szCs w:val="24"/>
        </w:rPr>
        <w:t xml:space="preserve">-doctrine </w:t>
      </w:r>
      <w:r w:rsidR="006F1ACA" w:rsidRPr="00121A6A">
        <w:rPr>
          <w:sz w:val="24"/>
          <w:szCs w:val="24"/>
        </w:rPr>
        <w:t xml:space="preserve">uiteindelijk </w:t>
      </w:r>
      <w:r w:rsidR="00851C9A" w:rsidRPr="00121A6A">
        <w:rPr>
          <w:sz w:val="24"/>
          <w:szCs w:val="24"/>
        </w:rPr>
        <w:t>niet (evident)</w:t>
      </w:r>
      <w:r w:rsidR="00A30748" w:rsidRPr="00121A6A">
        <w:rPr>
          <w:sz w:val="24"/>
          <w:szCs w:val="24"/>
        </w:rPr>
        <w:t xml:space="preserve"> </w:t>
      </w:r>
      <w:r w:rsidR="001673B7" w:rsidRPr="00121A6A">
        <w:rPr>
          <w:sz w:val="24"/>
          <w:szCs w:val="24"/>
        </w:rPr>
        <w:t>begrensd.</w:t>
      </w:r>
      <w:r w:rsidR="00A30748" w:rsidRPr="00121A6A">
        <w:rPr>
          <w:rStyle w:val="FootnoteReference"/>
          <w:sz w:val="24"/>
          <w:szCs w:val="24"/>
        </w:rPr>
        <w:footnoteReference w:id="57"/>
      </w:r>
      <w:r w:rsidR="00A30748" w:rsidRPr="00121A6A">
        <w:rPr>
          <w:sz w:val="24"/>
          <w:szCs w:val="24"/>
        </w:rPr>
        <w:t xml:space="preserve"> </w:t>
      </w:r>
      <w:r w:rsidR="008738BF" w:rsidRPr="00121A6A">
        <w:rPr>
          <w:sz w:val="24"/>
          <w:szCs w:val="24"/>
        </w:rPr>
        <w:t>Nadat nationale parlementen een ‘gele kaart’ hadden getrokken,</w:t>
      </w:r>
      <w:r w:rsidR="008738BF" w:rsidRPr="00121A6A">
        <w:rPr>
          <w:rStyle w:val="FootnoteReference"/>
          <w:sz w:val="24"/>
          <w:szCs w:val="24"/>
        </w:rPr>
        <w:footnoteReference w:id="58"/>
      </w:r>
      <w:r w:rsidR="008738BF" w:rsidRPr="00121A6A">
        <w:rPr>
          <w:sz w:val="24"/>
          <w:szCs w:val="24"/>
        </w:rPr>
        <w:t xml:space="preserve"> was d</w:t>
      </w:r>
      <w:r w:rsidR="00246AE6" w:rsidRPr="00121A6A">
        <w:rPr>
          <w:sz w:val="24"/>
          <w:szCs w:val="24"/>
        </w:rPr>
        <w:t>e</w:t>
      </w:r>
      <w:r w:rsidR="00EB7D97" w:rsidRPr="00121A6A">
        <w:rPr>
          <w:sz w:val="24"/>
          <w:szCs w:val="24"/>
        </w:rPr>
        <w:t xml:space="preserve"> Commissie</w:t>
      </w:r>
      <w:r w:rsidR="00A30748" w:rsidRPr="00121A6A">
        <w:rPr>
          <w:sz w:val="24"/>
          <w:szCs w:val="24"/>
        </w:rPr>
        <w:t xml:space="preserve"> </w:t>
      </w:r>
      <w:r w:rsidR="00EB7D97" w:rsidRPr="00121A6A">
        <w:rPr>
          <w:sz w:val="24"/>
          <w:szCs w:val="24"/>
        </w:rPr>
        <w:t xml:space="preserve">genoodzaakt </w:t>
      </w:r>
      <w:r w:rsidR="00321D3C">
        <w:rPr>
          <w:sz w:val="24"/>
          <w:szCs w:val="24"/>
        </w:rPr>
        <w:t xml:space="preserve">om </w:t>
      </w:r>
      <w:r w:rsidR="00EB7D97" w:rsidRPr="00121A6A">
        <w:rPr>
          <w:sz w:val="24"/>
          <w:szCs w:val="24"/>
        </w:rPr>
        <w:t>het voorstel in te trekken</w:t>
      </w:r>
      <w:r w:rsidR="00A30748" w:rsidRPr="00121A6A">
        <w:rPr>
          <w:sz w:val="24"/>
          <w:szCs w:val="24"/>
        </w:rPr>
        <w:t>.</w:t>
      </w:r>
    </w:p>
    <w:p w14:paraId="3CE7721F" w14:textId="77777777" w:rsidR="00A30748" w:rsidRPr="00121A6A" w:rsidRDefault="00A30748" w:rsidP="006C4C92">
      <w:pPr>
        <w:spacing w:after="0"/>
        <w:jc w:val="both"/>
        <w:rPr>
          <w:sz w:val="24"/>
          <w:szCs w:val="24"/>
        </w:rPr>
      </w:pPr>
    </w:p>
    <w:p w14:paraId="05018074" w14:textId="1A492A83" w:rsidR="00363446" w:rsidRPr="00121A6A" w:rsidRDefault="007E2CAF" w:rsidP="00D33B14">
      <w:pPr>
        <w:pStyle w:val="Heading3"/>
        <w:jc w:val="both"/>
        <w:rPr>
          <w:sz w:val="24"/>
          <w:szCs w:val="24"/>
        </w:rPr>
      </w:pPr>
      <w:bookmarkStart w:id="28" w:name="_Toc169963051"/>
      <w:r>
        <w:rPr>
          <w:sz w:val="24"/>
          <w:szCs w:val="24"/>
        </w:rPr>
        <w:t xml:space="preserve">De </w:t>
      </w:r>
      <w:r w:rsidR="00363446" w:rsidRPr="00121A6A">
        <w:rPr>
          <w:sz w:val="24"/>
          <w:szCs w:val="24"/>
        </w:rPr>
        <w:t>Europese Pijler</w:t>
      </w:r>
      <w:r w:rsidR="00752244" w:rsidRPr="00121A6A">
        <w:rPr>
          <w:sz w:val="24"/>
          <w:szCs w:val="24"/>
        </w:rPr>
        <w:t xml:space="preserve"> van Sociale Rechten</w:t>
      </w:r>
      <w:bookmarkEnd w:id="28"/>
      <w:r w:rsidR="00752244" w:rsidRPr="00121A6A">
        <w:rPr>
          <w:sz w:val="24"/>
          <w:szCs w:val="24"/>
        </w:rPr>
        <w:t xml:space="preserve"> </w:t>
      </w:r>
    </w:p>
    <w:p w14:paraId="1F533BD0" w14:textId="335D71F6" w:rsidR="00363446" w:rsidRPr="00121A6A" w:rsidRDefault="00457474" w:rsidP="00420F6A">
      <w:pPr>
        <w:spacing w:after="0"/>
        <w:jc w:val="both"/>
        <w:rPr>
          <w:sz w:val="24"/>
          <w:szCs w:val="24"/>
        </w:rPr>
      </w:pPr>
      <w:r>
        <w:rPr>
          <w:sz w:val="24"/>
          <w:szCs w:val="24"/>
        </w:rPr>
        <w:t>Nu de hiervoor besproken</w:t>
      </w:r>
      <w:r w:rsidR="00643E9D">
        <w:rPr>
          <w:sz w:val="24"/>
          <w:szCs w:val="24"/>
        </w:rPr>
        <w:t xml:space="preserve"> </w:t>
      </w:r>
      <w:r w:rsidR="00D75E32">
        <w:rPr>
          <w:sz w:val="24"/>
          <w:szCs w:val="24"/>
        </w:rPr>
        <w:t>wetgeving</w:t>
      </w:r>
      <w:r>
        <w:rPr>
          <w:sz w:val="24"/>
          <w:szCs w:val="24"/>
        </w:rPr>
        <w:t>sinitiatieven al onvoldoende zijn gebleken om het Hof</w:t>
      </w:r>
      <w:r w:rsidR="00D75E32">
        <w:rPr>
          <w:sz w:val="24"/>
          <w:szCs w:val="24"/>
        </w:rPr>
        <w:t xml:space="preserve"> een </w:t>
      </w:r>
      <w:r w:rsidR="00363446" w:rsidRPr="00121A6A">
        <w:rPr>
          <w:sz w:val="24"/>
          <w:szCs w:val="24"/>
        </w:rPr>
        <w:t>‘sociale</w:t>
      </w:r>
      <w:r w:rsidR="001D32AC" w:rsidRPr="00121A6A">
        <w:rPr>
          <w:sz w:val="24"/>
          <w:szCs w:val="24"/>
        </w:rPr>
        <w:t>(</w:t>
      </w:r>
      <w:r w:rsidR="00363446" w:rsidRPr="00121A6A">
        <w:rPr>
          <w:sz w:val="24"/>
          <w:szCs w:val="24"/>
        </w:rPr>
        <w:t>re</w:t>
      </w:r>
      <w:r w:rsidR="001D32AC" w:rsidRPr="00121A6A">
        <w:rPr>
          <w:sz w:val="24"/>
          <w:szCs w:val="24"/>
        </w:rPr>
        <w:t>)</w:t>
      </w:r>
      <w:r w:rsidR="00F94454">
        <w:rPr>
          <w:sz w:val="24"/>
          <w:szCs w:val="24"/>
        </w:rPr>
        <w:t>’</w:t>
      </w:r>
      <w:r w:rsidR="00363446" w:rsidRPr="00121A6A">
        <w:rPr>
          <w:sz w:val="24"/>
          <w:szCs w:val="24"/>
        </w:rPr>
        <w:t xml:space="preserve"> richting </w:t>
      </w:r>
      <w:r>
        <w:rPr>
          <w:sz w:val="24"/>
          <w:szCs w:val="24"/>
        </w:rPr>
        <w:t>op te duwen</w:t>
      </w:r>
      <w:r w:rsidR="00363446" w:rsidRPr="00121A6A">
        <w:rPr>
          <w:sz w:val="24"/>
          <w:szCs w:val="24"/>
        </w:rPr>
        <w:t xml:space="preserve">, </w:t>
      </w:r>
      <w:r w:rsidR="00493007">
        <w:rPr>
          <w:sz w:val="24"/>
          <w:szCs w:val="24"/>
        </w:rPr>
        <w:t xml:space="preserve">kan gesteld worden dat </w:t>
      </w:r>
      <w:r w:rsidR="00363446" w:rsidRPr="00121A6A">
        <w:rPr>
          <w:sz w:val="24"/>
          <w:szCs w:val="24"/>
        </w:rPr>
        <w:t xml:space="preserve">de </w:t>
      </w:r>
      <w:r w:rsidR="0043504C" w:rsidRPr="00121A6A">
        <w:rPr>
          <w:sz w:val="24"/>
          <w:szCs w:val="24"/>
        </w:rPr>
        <w:t xml:space="preserve">Europese </w:t>
      </w:r>
      <w:r w:rsidR="00752244" w:rsidRPr="00121A6A">
        <w:rPr>
          <w:sz w:val="24"/>
          <w:szCs w:val="24"/>
        </w:rPr>
        <w:t xml:space="preserve">Pijler </w:t>
      </w:r>
      <w:r w:rsidR="0043504C" w:rsidRPr="00121A6A">
        <w:rPr>
          <w:sz w:val="24"/>
          <w:szCs w:val="24"/>
        </w:rPr>
        <w:t xml:space="preserve">van Sociale Rechten </w:t>
      </w:r>
      <w:r w:rsidR="00752244" w:rsidRPr="00121A6A">
        <w:rPr>
          <w:sz w:val="24"/>
          <w:szCs w:val="24"/>
        </w:rPr>
        <w:t>(2017)</w:t>
      </w:r>
      <w:r w:rsidR="00363446" w:rsidRPr="00121A6A">
        <w:rPr>
          <w:sz w:val="24"/>
          <w:szCs w:val="24"/>
        </w:rPr>
        <w:t xml:space="preserve"> dit resultaat evenmin kan bereiken.</w:t>
      </w:r>
      <w:r w:rsidR="00363446" w:rsidRPr="00121A6A">
        <w:rPr>
          <w:rStyle w:val="FootnoteReference"/>
          <w:sz w:val="24"/>
          <w:szCs w:val="24"/>
        </w:rPr>
        <w:footnoteReference w:id="59"/>
      </w:r>
      <w:r w:rsidR="00363446" w:rsidRPr="00121A6A">
        <w:rPr>
          <w:sz w:val="24"/>
          <w:szCs w:val="24"/>
        </w:rPr>
        <w:t xml:space="preserve"> De Pijler is een politieke verbintenis die sturing biedt aan lidstaten en EU-instellingen bij het versterken van de sociale dimensie van de Unie. In dit document zijn twintig beginselen opgenomen die als essentieel worden beschouwd voor billijke en goed functionerende arbeidsmarkten. Beginsel acht heeft betrekking op </w:t>
      </w:r>
      <w:r w:rsidR="00493007">
        <w:rPr>
          <w:sz w:val="24"/>
          <w:szCs w:val="24"/>
        </w:rPr>
        <w:t xml:space="preserve">de </w:t>
      </w:r>
      <w:r w:rsidR="00363446" w:rsidRPr="00121A6A">
        <w:rPr>
          <w:sz w:val="24"/>
          <w:szCs w:val="24"/>
        </w:rPr>
        <w:t xml:space="preserve">sociale dialoog en werknemersparticipatie. Hierin </w:t>
      </w:r>
      <w:r w:rsidR="002E5F26" w:rsidRPr="00121A6A">
        <w:rPr>
          <w:sz w:val="24"/>
          <w:szCs w:val="24"/>
        </w:rPr>
        <w:t>staat onder meer</w:t>
      </w:r>
      <w:r w:rsidR="005506DC">
        <w:rPr>
          <w:sz w:val="24"/>
          <w:szCs w:val="24"/>
        </w:rPr>
        <w:t>:</w:t>
      </w:r>
      <w:r w:rsidR="00363446" w:rsidRPr="00121A6A">
        <w:rPr>
          <w:sz w:val="24"/>
          <w:szCs w:val="24"/>
        </w:rPr>
        <w:t xml:space="preserve"> </w:t>
      </w:r>
      <w:r w:rsidR="0043504C" w:rsidRPr="00121A6A">
        <w:rPr>
          <w:sz w:val="24"/>
          <w:szCs w:val="24"/>
        </w:rPr>
        <w:t>‘</w:t>
      </w:r>
      <w:r w:rsidR="0043504C" w:rsidRPr="00121A6A">
        <w:rPr>
          <w:i/>
          <w:iCs/>
          <w:sz w:val="24"/>
          <w:szCs w:val="24"/>
        </w:rPr>
        <w:t>[</w:t>
      </w:r>
      <w:r w:rsidR="00363446" w:rsidRPr="00121A6A">
        <w:rPr>
          <w:i/>
          <w:iCs/>
          <w:sz w:val="24"/>
          <w:szCs w:val="24"/>
        </w:rPr>
        <w:t>sociale partners</w:t>
      </w:r>
      <w:r w:rsidR="0043504C" w:rsidRPr="00121A6A">
        <w:rPr>
          <w:i/>
          <w:iCs/>
          <w:sz w:val="24"/>
          <w:szCs w:val="24"/>
        </w:rPr>
        <w:t>]</w:t>
      </w:r>
      <w:r w:rsidR="00363446" w:rsidRPr="00121A6A">
        <w:rPr>
          <w:i/>
          <w:iCs/>
          <w:sz w:val="24"/>
          <w:szCs w:val="24"/>
        </w:rPr>
        <w:t xml:space="preserve"> </w:t>
      </w:r>
      <w:r w:rsidR="0043504C" w:rsidRPr="00121A6A">
        <w:rPr>
          <w:i/>
          <w:iCs/>
          <w:sz w:val="24"/>
          <w:szCs w:val="24"/>
        </w:rPr>
        <w:t>worden aangemoedigd te onderhandelen en collectieve overeenkomsten te sluiten op gebieden die voor hen van belang zijn, met inachtneming van hun autonomie en het recht op collectieve actie.</w:t>
      </w:r>
      <w:r w:rsidR="0043504C" w:rsidRPr="00121A6A">
        <w:rPr>
          <w:sz w:val="24"/>
          <w:szCs w:val="24"/>
        </w:rPr>
        <w:t>’</w:t>
      </w:r>
      <w:r w:rsidR="00363446" w:rsidRPr="00121A6A">
        <w:rPr>
          <w:sz w:val="24"/>
          <w:szCs w:val="24"/>
        </w:rPr>
        <w:t xml:space="preserve"> </w:t>
      </w:r>
      <w:r w:rsidR="00C03ADF" w:rsidRPr="00121A6A">
        <w:rPr>
          <w:sz w:val="24"/>
          <w:szCs w:val="24"/>
        </w:rPr>
        <w:t xml:space="preserve">Hoewel (wederom) het belang van sociale rechten </w:t>
      </w:r>
      <w:r w:rsidR="006A0FF7" w:rsidRPr="00121A6A">
        <w:rPr>
          <w:sz w:val="24"/>
          <w:szCs w:val="24"/>
        </w:rPr>
        <w:t xml:space="preserve">wordt </w:t>
      </w:r>
      <w:r w:rsidR="00C03ADF" w:rsidRPr="00121A6A">
        <w:rPr>
          <w:sz w:val="24"/>
          <w:szCs w:val="24"/>
        </w:rPr>
        <w:t xml:space="preserve">onderstreept, is </w:t>
      </w:r>
      <w:r w:rsidR="00363446" w:rsidRPr="00121A6A">
        <w:rPr>
          <w:sz w:val="24"/>
          <w:szCs w:val="24"/>
        </w:rPr>
        <w:t>de kan</w:t>
      </w:r>
      <w:r w:rsidR="00C03ADF" w:rsidRPr="00121A6A">
        <w:rPr>
          <w:sz w:val="24"/>
          <w:szCs w:val="24"/>
        </w:rPr>
        <w:t>s</w:t>
      </w:r>
      <w:r w:rsidR="00363446" w:rsidRPr="00121A6A">
        <w:rPr>
          <w:sz w:val="24"/>
          <w:szCs w:val="24"/>
        </w:rPr>
        <w:t xml:space="preserve"> nihil dat </w:t>
      </w:r>
      <w:r w:rsidR="00C03ADF" w:rsidRPr="00121A6A">
        <w:rPr>
          <w:sz w:val="24"/>
          <w:szCs w:val="24"/>
        </w:rPr>
        <w:t>dit juridisch niet-bindende document</w:t>
      </w:r>
      <w:r w:rsidR="00363446" w:rsidRPr="00121A6A">
        <w:rPr>
          <w:sz w:val="24"/>
          <w:szCs w:val="24"/>
        </w:rPr>
        <w:t xml:space="preserve"> </w:t>
      </w:r>
      <w:r w:rsidR="004C7F48" w:rsidRPr="00121A6A">
        <w:rPr>
          <w:sz w:val="24"/>
          <w:szCs w:val="24"/>
        </w:rPr>
        <w:t>zal leiden</w:t>
      </w:r>
      <w:r w:rsidR="00363446" w:rsidRPr="00121A6A">
        <w:rPr>
          <w:sz w:val="24"/>
          <w:szCs w:val="24"/>
        </w:rPr>
        <w:t xml:space="preserve"> tot een ‘ommezwaai’ in de jurisprudentie</w:t>
      </w:r>
      <w:r w:rsidR="00A653DA" w:rsidRPr="00121A6A">
        <w:rPr>
          <w:sz w:val="24"/>
          <w:szCs w:val="24"/>
        </w:rPr>
        <w:t>.</w:t>
      </w:r>
      <w:r w:rsidR="00A653DA" w:rsidRPr="00121A6A">
        <w:rPr>
          <w:rStyle w:val="FootnoteReference"/>
          <w:sz w:val="24"/>
          <w:szCs w:val="24"/>
        </w:rPr>
        <w:footnoteReference w:id="60"/>
      </w:r>
    </w:p>
    <w:p w14:paraId="0F265C10" w14:textId="77777777" w:rsidR="00363446" w:rsidRPr="00121A6A" w:rsidRDefault="00363446" w:rsidP="006C4C92">
      <w:pPr>
        <w:spacing w:after="0"/>
        <w:jc w:val="both"/>
        <w:rPr>
          <w:sz w:val="24"/>
          <w:szCs w:val="24"/>
        </w:rPr>
      </w:pPr>
    </w:p>
    <w:p w14:paraId="0CB6719B" w14:textId="0B1712D2" w:rsidR="00D33B14" w:rsidRPr="00121A6A" w:rsidRDefault="00363446" w:rsidP="00D33B14">
      <w:pPr>
        <w:pStyle w:val="Heading3"/>
        <w:jc w:val="both"/>
        <w:rPr>
          <w:sz w:val="24"/>
          <w:szCs w:val="24"/>
        </w:rPr>
      </w:pPr>
      <w:bookmarkStart w:id="31" w:name="_Toc169963052"/>
      <w:r w:rsidRPr="00121A6A">
        <w:rPr>
          <w:sz w:val="24"/>
          <w:szCs w:val="24"/>
        </w:rPr>
        <w:t xml:space="preserve">Herziening </w:t>
      </w:r>
      <w:r w:rsidR="007E2CAF">
        <w:rPr>
          <w:sz w:val="24"/>
          <w:szCs w:val="24"/>
        </w:rPr>
        <w:t xml:space="preserve">van de </w:t>
      </w:r>
      <w:r w:rsidRPr="00121A6A">
        <w:rPr>
          <w:sz w:val="24"/>
          <w:szCs w:val="24"/>
        </w:rPr>
        <w:t>Detacheringsrichtlijn</w:t>
      </w:r>
      <w:r w:rsidR="0026192C" w:rsidRPr="00121A6A">
        <w:rPr>
          <w:sz w:val="24"/>
          <w:szCs w:val="24"/>
        </w:rPr>
        <w:t>: artikel 1 lid 1bis</w:t>
      </w:r>
      <w:bookmarkEnd w:id="31"/>
    </w:p>
    <w:p w14:paraId="102A3591" w14:textId="77777777" w:rsidR="001C1102" w:rsidRDefault="00B75DF0" w:rsidP="000E79DE">
      <w:pPr>
        <w:spacing w:after="0"/>
        <w:jc w:val="both"/>
        <w:rPr>
          <w:sz w:val="24"/>
          <w:szCs w:val="24"/>
        </w:rPr>
      </w:pPr>
      <w:r w:rsidRPr="00121A6A">
        <w:rPr>
          <w:sz w:val="24"/>
          <w:szCs w:val="24"/>
        </w:rPr>
        <w:t xml:space="preserve">Wellicht biedt de </w:t>
      </w:r>
      <w:r w:rsidR="002C01CC" w:rsidRPr="00121A6A">
        <w:rPr>
          <w:sz w:val="24"/>
          <w:szCs w:val="24"/>
        </w:rPr>
        <w:t>herziene</w:t>
      </w:r>
      <w:r w:rsidRPr="00121A6A">
        <w:rPr>
          <w:sz w:val="24"/>
          <w:szCs w:val="24"/>
        </w:rPr>
        <w:t xml:space="preserve"> Detacheringsrichtlijn (2018) meer perspectief. </w:t>
      </w:r>
      <w:r w:rsidR="00693332" w:rsidRPr="00121A6A">
        <w:rPr>
          <w:sz w:val="24"/>
          <w:szCs w:val="24"/>
        </w:rPr>
        <w:t>Bij de</w:t>
      </w:r>
      <w:r w:rsidRPr="00121A6A">
        <w:rPr>
          <w:sz w:val="24"/>
          <w:szCs w:val="24"/>
        </w:rPr>
        <w:t>ze wetswijziging</w:t>
      </w:r>
      <w:r w:rsidR="00693332" w:rsidRPr="00121A6A">
        <w:rPr>
          <w:sz w:val="24"/>
          <w:szCs w:val="24"/>
        </w:rPr>
        <w:t xml:space="preserve"> is onder andere</w:t>
      </w:r>
      <w:r w:rsidR="00BF3F29" w:rsidRPr="00121A6A">
        <w:rPr>
          <w:sz w:val="24"/>
          <w:szCs w:val="24"/>
        </w:rPr>
        <w:t xml:space="preserve"> artikel 1 lid 1bis</w:t>
      </w:r>
      <w:r w:rsidR="00693332" w:rsidRPr="00121A6A">
        <w:rPr>
          <w:sz w:val="24"/>
          <w:szCs w:val="24"/>
        </w:rPr>
        <w:t xml:space="preserve"> ingevoerd</w:t>
      </w:r>
      <w:r w:rsidR="00F22637" w:rsidRPr="00121A6A">
        <w:rPr>
          <w:sz w:val="24"/>
          <w:szCs w:val="24"/>
        </w:rPr>
        <w:t xml:space="preserve">, </w:t>
      </w:r>
      <w:r w:rsidR="00CF446F" w:rsidRPr="00121A6A">
        <w:rPr>
          <w:sz w:val="24"/>
          <w:szCs w:val="24"/>
        </w:rPr>
        <w:t>dat</w:t>
      </w:r>
      <w:r w:rsidR="00F22637" w:rsidRPr="00121A6A">
        <w:rPr>
          <w:sz w:val="24"/>
          <w:szCs w:val="24"/>
        </w:rPr>
        <w:t xml:space="preserve"> luidt:</w:t>
      </w:r>
      <w:r w:rsidR="001C1102">
        <w:rPr>
          <w:sz w:val="24"/>
          <w:szCs w:val="24"/>
        </w:rPr>
        <w:t xml:space="preserve"> </w:t>
      </w:r>
      <w:r w:rsidR="00F22637" w:rsidRPr="00121A6A">
        <w:rPr>
          <w:sz w:val="24"/>
          <w:szCs w:val="24"/>
        </w:rPr>
        <w:t>‘</w:t>
      </w:r>
      <w:r w:rsidR="00F22637" w:rsidRPr="00121A6A">
        <w:rPr>
          <w:i/>
          <w:iCs/>
          <w:sz w:val="24"/>
          <w:szCs w:val="24"/>
        </w:rPr>
        <w:t xml:space="preserve">Deze richtlijn doet geenszins afbreuk aan </w:t>
      </w:r>
      <w:r w:rsidR="00F22637" w:rsidRPr="00121A6A">
        <w:rPr>
          <w:i/>
          <w:iCs/>
          <w:sz w:val="24"/>
          <w:szCs w:val="24"/>
        </w:rPr>
        <w:lastRenderedPageBreak/>
        <w:t>de uitoefening van de grondrechten zoals die in de lidstaten en op Unieniveau zijn erkend, met inbegrip van het stakingsrecht […]. Zij doet evenmin afbreuk aan het recht om over collectieve overeenkomsten te onderhandelen, deze te sluiten en naleving ervan af te dwingen, en om collectieve actie te voeren overeenkomstig het nationale recht en/of de nationale praktijk.</w:t>
      </w:r>
      <w:r w:rsidR="00F22637" w:rsidRPr="00121A6A">
        <w:rPr>
          <w:sz w:val="24"/>
          <w:szCs w:val="24"/>
        </w:rPr>
        <w:t>’</w:t>
      </w:r>
    </w:p>
    <w:p w14:paraId="351A6E0F" w14:textId="48FF8E48" w:rsidR="008043E7" w:rsidRPr="00121A6A" w:rsidRDefault="00B75DF0" w:rsidP="001C1102">
      <w:pPr>
        <w:spacing w:after="0"/>
        <w:ind w:firstLine="708"/>
        <w:jc w:val="both"/>
        <w:rPr>
          <w:sz w:val="24"/>
          <w:szCs w:val="24"/>
        </w:rPr>
      </w:pPr>
      <w:r w:rsidRPr="00121A6A">
        <w:rPr>
          <w:sz w:val="24"/>
          <w:szCs w:val="24"/>
        </w:rPr>
        <w:t xml:space="preserve">De vraag </w:t>
      </w:r>
      <w:r w:rsidR="008A67E9" w:rsidRPr="00121A6A">
        <w:rPr>
          <w:sz w:val="24"/>
          <w:szCs w:val="24"/>
        </w:rPr>
        <w:t>is</w:t>
      </w:r>
      <w:r w:rsidRPr="00121A6A">
        <w:rPr>
          <w:sz w:val="24"/>
          <w:szCs w:val="24"/>
        </w:rPr>
        <w:t xml:space="preserve"> of</w:t>
      </w:r>
      <w:r w:rsidR="00BF3F29" w:rsidRPr="00121A6A">
        <w:rPr>
          <w:sz w:val="24"/>
          <w:szCs w:val="24"/>
        </w:rPr>
        <w:t xml:space="preserve"> deze bepaling</w:t>
      </w:r>
      <w:r w:rsidR="004A19D4">
        <w:rPr>
          <w:sz w:val="24"/>
          <w:szCs w:val="24"/>
        </w:rPr>
        <w:t xml:space="preserve"> het</w:t>
      </w:r>
      <w:r w:rsidR="00BF3F29" w:rsidRPr="00121A6A">
        <w:rPr>
          <w:sz w:val="24"/>
          <w:szCs w:val="24"/>
        </w:rPr>
        <w:t xml:space="preserve"> </w:t>
      </w:r>
      <w:r w:rsidR="00BF3F29" w:rsidRPr="00121A6A">
        <w:rPr>
          <w:i/>
          <w:iCs/>
          <w:sz w:val="24"/>
          <w:szCs w:val="24"/>
        </w:rPr>
        <w:t>Laval</w:t>
      </w:r>
      <w:r w:rsidR="004A19D4">
        <w:rPr>
          <w:sz w:val="24"/>
          <w:szCs w:val="24"/>
        </w:rPr>
        <w:t>-arrest</w:t>
      </w:r>
      <w:r w:rsidR="00BF3F29" w:rsidRPr="00121A6A">
        <w:rPr>
          <w:sz w:val="24"/>
          <w:szCs w:val="24"/>
        </w:rPr>
        <w:t xml:space="preserve"> </w:t>
      </w:r>
      <w:r w:rsidRPr="00121A6A">
        <w:rPr>
          <w:sz w:val="24"/>
          <w:szCs w:val="24"/>
        </w:rPr>
        <w:t xml:space="preserve">kan </w:t>
      </w:r>
      <w:r w:rsidR="00BF3F29" w:rsidRPr="00121A6A">
        <w:rPr>
          <w:sz w:val="24"/>
          <w:szCs w:val="24"/>
        </w:rPr>
        <w:t>nuanceren</w:t>
      </w:r>
      <w:r w:rsidRPr="00121A6A">
        <w:rPr>
          <w:sz w:val="24"/>
          <w:szCs w:val="24"/>
        </w:rPr>
        <w:t>.</w:t>
      </w:r>
      <w:r w:rsidR="00BF3F29" w:rsidRPr="00121A6A">
        <w:rPr>
          <w:sz w:val="24"/>
          <w:szCs w:val="24"/>
        </w:rPr>
        <w:t xml:space="preserve"> </w:t>
      </w:r>
      <w:r w:rsidR="008A67E9" w:rsidRPr="00121A6A">
        <w:rPr>
          <w:sz w:val="24"/>
          <w:szCs w:val="24"/>
        </w:rPr>
        <w:t>Daartoe</w:t>
      </w:r>
      <w:r w:rsidRPr="00121A6A">
        <w:rPr>
          <w:sz w:val="24"/>
          <w:szCs w:val="24"/>
        </w:rPr>
        <w:t xml:space="preserve"> moet de juridische betekenis van het artikel worden achterhaald. </w:t>
      </w:r>
      <w:r w:rsidR="00D25AD1" w:rsidRPr="00121A6A">
        <w:rPr>
          <w:sz w:val="24"/>
          <w:szCs w:val="24"/>
        </w:rPr>
        <w:t xml:space="preserve">Allereerst is daarbij de letterlijke tekst van belang. Volgens </w:t>
      </w:r>
      <w:proofErr w:type="spellStart"/>
      <w:r w:rsidR="00D25AD1" w:rsidRPr="00121A6A">
        <w:rPr>
          <w:sz w:val="24"/>
          <w:szCs w:val="24"/>
        </w:rPr>
        <w:t>Dorssemont</w:t>
      </w:r>
      <w:proofErr w:type="spellEnd"/>
      <w:r w:rsidR="00D25AD1" w:rsidRPr="00121A6A">
        <w:rPr>
          <w:sz w:val="24"/>
          <w:szCs w:val="24"/>
        </w:rPr>
        <w:t xml:space="preserve"> pleit deze voor een sterke werking van artikel 1 lid 1bis,</w:t>
      </w:r>
      <w:r w:rsidR="00026B5D">
        <w:rPr>
          <w:rStyle w:val="FootnoteReference"/>
          <w:sz w:val="24"/>
          <w:szCs w:val="24"/>
        </w:rPr>
        <w:footnoteReference w:id="61"/>
      </w:r>
      <w:r w:rsidR="00D25AD1" w:rsidRPr="00121A6A">
        <w:rPr>
          <w:sz w:val="24"/>
          <w:szCs w:val="24"/>
        </w:rPr>
        <w:t xml:space="preserve"> omdat het stakingsrecht wordt gevrijwaard zonder dat dit dient te geschieden </w:t>
      </w:r>
      <w:r w:rsidR="008A67E9" w:rsidRPr="00121A6A">
        <w:rPr>
          <w:sz w:val="24"/>
          <w:szCs w:val="24"/>
        </w:rPr>
        <w:t>‘</w:t>
      </w:r>
      <w:r w:rsidR="00D25AD1" w:rsidRPr="00980E9A">
        <w:rPr>
          <w:i/>
          <w:iCs/>
          <w:sz w:val="24"/>
          <w:szCs w:val="24"/>
        </w:rPr>
        <w:t>overeenkomstig het recht van de Unie</w:t>
      </w:r>
      <w:r w:rsidR="008A67E9" w:rsidRPr="00121A6A">
        <w:rPr>
          <w:sz w:val="24"/>
          <w:szCs w:val="24"/>
        </w:rPr>
        <w:t>’</w:t>
      </w:r>
      <w:r w:rsidR="00D25AD1" w:rsidRPr="00121A6A">
        <w:rPr>
          <w:sz w:val="24"/>
          <w:szCs w:val="24"/>
        </w:rPr>
        <w:t>.</w:t>
      </w:r>
      <w:r w:rsidR="00D25AD1" w:rsidRPr="00121A6A">
        <w:rPr>
          <w:rStyle w:val="FootnoteReference"/>
          <w:sz w:val="24"/>
          <w:szCs w:val="24"/>
        </w:rPr>
        <w:footnoteReference w:id="62"/>
      </w:r>
      <w:r w:rsidR="00D25AD1" w:rsidRPr="00121A6A">
        <w:rPr>
          <w:sz w:val="24"/>
          <w:szCs w:val="24"/>
        </w:rPr>
        <w:t xml:space="preserve"> </w:t>
      </w:r>
      <w:r w:rsidR="008A67E9" w:rsidRPr="00121A6A">
        <w:rPr>
          <w:sz w:val="24"/>
          <w:szCs w:val="24"/>
        </w:rPr>
        <w:t>Voor w</w:t>
      </w:r>
      <w:r w:rsidRPr="00121A6A">
        <w:rPr>
          <w:sz w:val="24"/>
          <w:szCs w:val="24"/>
        </w:rPr>
        <w:t>at</w:t>
      </w:r>
      <w:r w:rsidR="008A67E9" w:rsidRPr="00121A6A">
        <w:rPr>
          <w:sz w:val="24"/>
          <w:szCs w:val="24"/>
        </w:rPr>
        <w:t xml:space="preserve"> verder de context</w:t>
      </w:r>
      <w:r w:rsidRPr="00121A6A">
        <w:rPr>
          <w:sz w:val="24"/>
          <w:szCs w:val="24"/>
        </w:rPr>
        <w:t xml:space="preserve"> betreft, is </w:t>
      </w:r>
      <w:r w:rsidR="00F0292D" w:rsidRPr="00121A6A">
        <w:rPr>
          <w:sz w:val="24"/>
          <w:szCs w:val="24"/>
        </w:rPr>
        <w:t>relevant</w:t>
      </w:r>
      <w:r w:rsidRPr="00121A6A">
        <w:rPr>
          <w:sz w:val="24"/>
          <w:szCs w:val="24"/>
        </w:rPr>
        <w:t xml:space="preserve"> dat artikel 1 lid 1bis verwantschap vertoont met artikel 2 Monti I-verordening.</w:t>
      </w:r>
      <w:r w:rsidRPr="00121A6A">
        <w:rPr>
          <w:rStyle w:val="FootnoteReference"/>
          <w:sz w:val="24"/>
          <w:szCs w:val="24"/>
        </w:rPr>
        <w:footnoteReference w:id="63"/>
      </w:r>
      <w:r w:rsidRPr="00121A6A">
        <w:rPr>
          <w:sz w:val="24"/>
          <w:szCs w:val="24"/>
        </w:rPr>
        <w:t xml:space="preserve"> </w:t>
      </w:r>
      <w:r w:rsidR="00643E9D">
        <w:rPr>
          <w:sz w:val="24"/>
          <w:szCs w:val="24"/>
        </w:rPr>
        <w:t xml:space="preserve">De </w:t>
      </w:r>
      <w:r w:rsidRPr="00121A6A">
        <w:rPr>
          <w:sz w:val="24"/>
          <w:szCs w:val="24"/>
        </w:rPr>
        <w:t>Monti I</w:t>
      </w:r>
      <w:r w:rsidR="00643E9D">
        <w:rPr>
          <w:sz w:val="24"/>
          <w:szCs w:val="24"/>
        </w:rPr>
        <w:t>-verordening</w:t>
      </w:r>
      <w:r w:rsidRPr="00121A6A">
        <w:rPr>
          <w:sz w:val="24"/>
          <w:szCs w:val="24"/>
        </w:rPr>
        <w:t xml:space="preserve"> reguleert de verhouding tussen grondrechten en het vrij</w:t>
      </w:r>
      <w:r w:rsidR="00A62069" w:rsidRPr="00121A6A">
        <w:rPr>
          <w:sz w:val="24"/>
          <w:szCs w:val="24"/>
        </w:rPr>
        <w:t>e goederen</w:t>
      </w:r>
      <w:r w:rsidRPr="00121A6A">
        <w:rPr>
          <w:sz w:val="24"/>
          <w:szCs w:val="24"/>
        </w:rPr>
        <w:t>verkeer. Om te voorkomen dat lidstaten gedwongen worden</w:t>
      </w:r>
      <w:r w:rsidR="00643E9D">
        <w:rPr>
          <w:sz w:val="24"/>
          <w:szCs w:val="24"/>
        </w:rPr>
        <w:t xml:space="preserve"> om</w:t>
      </w:r>
      <w:r w:rsidRPr="00121A6A">
        <w:rPr>
          <w:sz w:val="24"/>
          <w:szCs w:val="24"/>
        </w:rPr>
        <w:t xml:space="preserve"> </w:t>
      </w:r>
      <w:r w:rsidR="00A535D4">
        <w:rPr>
          <w:sz w:val="24"/>
          <w:szCs w:val="24"/>
        </w:rPr>
        <w:t xml:space="preserve">de </w:t>
      </w:r>
      <w:r w:rsidRPr="00121A6A">
        <w:rPr>
          <w:sz w:val="24"/>
          <w:szCs w:val="24"/>
        </w:rPr>
        <w:t xml:space="preserve">uitoefening </w:t>
      </w:r>
      <w:r w:rsidR="00A535D4">
        <w:rPr>
          <w:sz w:val="24"/>
          <w:szCs w:val="24"/>
        </w:rPr>
        <w:t xml:space="preserve">van grondrechten </w:t>
      </w:r>
      <w:r w:rsidRPr="00121A6A">
        <w:rPr>
          <w:sz w:val="24"/>
          <w:szCs w:val="24"/>
        </w:rPr>
        <w:t xml:space="preserve">te verbieden, is in artikel 2 </w:t>
      </w:r>
      <w:r w:rsidR="00F22637" w:rsidRPr="00121A6A">
        <w:rPr>
          <w:sz w:val="24"/>
          <w:szCs w:val="24"/>
        </w:rPr>
        <w:t>een gelijkluidende bepaling als artikel 1 lid 1bis opgenomen</w:t>
      </w:r>
      <w:r w:rsidRPr="00121A6A">
        <w:rPr>
          <w:sz w:val="24"/>
          <w:szCs w:val="24"/>
        </w:rPr>
        <w:t xml:space="preserve">. </w:t>
      </w:r>
      <w:r w:rsidR="00F22637" w:rsidRPr="00121A6A">
        <w:rPr>
          <w:sz w:val="24"/>
          <w:szCs w:val="24"/>
        </w:rPr>
        <w:t>Beide bepalingen lijken</w:t>
      </w:r>
      <w:r w:rsidRPr="00121A6A">
        <w:rPr>
          <w:sz w:val="24"/>
          <w:szCs w:val="24"/>
        </w:rPr>
        <w:t xml:space="preserve"> grondrechten, waaronder het stakingsrecht, te </w:t>
      </w:r>
      <w:r w:rsidR="00077F79">
        <w:rPr>
          <w:sz w:val="24"/>
          <w:szCs w:val="24"/>
        </w:rPr>
        <w:t>‘</w:t>
      </w:r>
      <w:r w:rsidRPr="00121A6A">
        <w:rPr>
          <w:sz w:val="24"/>
          <w:szCs w:val="24"/>
        </w:rPr>
        <w:t>immuniseren</w:t>
      </w:r>
      <w:r w:rsidR="00077F79">
        <w:rPr>
          <w:sz w:val="24"/>
          <w:szCs w:val="24"/>
        </w:rPr>
        <w:t>’</w:t>
      </w:r>
      <w:r w:rsidRPr="00121A6A">
        <w:rPr>
          <w:sz w:val="24"/>
          <w:szCs w:val="24"/>
        </w:rPr>
        <w:t xml:space="preserve"> </w:t>
      </w:r>
      <w:r w:rsidR="00A62069" w:rsidRPr="00121A6A">
        <w:rPr>
          <w:sz w:val="24"/>
          <w:szCs w:val="24"/>
        </w:rPr>
        <w:t>tegen</w:t>
      </w:r>
      <w:r w:rsidRPr="00121A6A">
        <w:rPr>
          <w:sz w:val="24"/>
          <w:szCs w:val="24"/>
        </w:rPr>
        <w:t xml:space="preserve"> de werking van </w:t>
      </w:r>
      <w:r w:rsidR="006F0DD5" w:rsidRPr="00121A6A">
        <w:rPr>
          <w:sz w:val="24"/>
          <w:szCs w:val="24"/>
        </w:rPr>
        <w:t>markt</w:t>
      </w:r>
      <w:r w:rsidRPr="00121A6A">
        <w:rPr>
          <w:sz w:val="24"/>
          <w:szCs w:val="24"/>
        </w:rPr>
        <w:t xml:space="preserve">vrijheden. </w:t>
      </w:r>
      <w:r w:rsidR="008043E7" w:rsidRPr="00121A6A">
        <w:rPr>
          <w:sz w:val="24"/>
          <w:szCs w:val="24"/>
        </w:rPr>
        <w:t>Hoewel</w:t>
      </w:r>
      <w:r w:rsidRPr="00121A6A">
        <w:rPr>
          <w:sz w:val="24"/>
          <w:szCs w:val="24"/>
        </w:rPr>
        <w:t xml:space="preserve"> </w:t>
      </w:r>
      <w:r w:rsidR="00F0292D" w:rsidRPr="00121A6A">
        <w:rPr>
          <w:sz w:val="24"/>
          <w:szCs w:val="24"/>
        </w:rPr>
        <w:t xml:space="preserve">van </w:t>
      </w:r>
      <w:r w:rsidRPr="00121A6A">
        <w:rPr>
          <w:sz w:val="24"/>
          <w:szCs w:val="24"/>
        </w:rPr>
        <w:t xml:space="preserve">echte </w:t>
      </w:r>
      <w:r w:rsidR="00077F79">
        <w:rPr>
          <w:sz w:val="24"/>
          <w:szCs w:val="24"/>
        </w:rPr>
        <w:t>‘</w:t>
      </w:r>
      <w:r w:rsidRPr="00121A6A">
        <w:rPr>
          <w:sz w:val="24"/>
          <w:szCs w:val="24"/>
        </w:rPr>
        <w:t>immunisering</w:t>
      </w:r>
      <w:r w:rsidR="00077F79">
        <w:rPr>
          <w:sz w:val="24"/>
          <w:szCs w:val="24"/>
        </w:rPr>
        <w:t>’</w:t>
      </w:r>
      <w:r w:rsidRPr="00121A6A">
        <w:rPr>
          <w:sz w:val="24"/>
          <w:szCs w:val="24"/>
        </w:rPr>
        <w:t xml:space="preserve"> </w:t>
      </w:r>
      <w:r w:rsidR="006F0DD5" w:rsidRPr="00121A6A">
        <w:rPr>
          <w:sz w:val="24"/>
          <w:szCs w:val="24"/>
        </w:rPr>
        <w:t xml:space="preserve">in secundair </w:t>
      </w:r>
      <w:r w:rsidR="00E90FB0" w:rsidRPr="00121A6A">
        <w:rPr>
          <w:sz w:val="24"/>
          <w:szCs w:val="24"/>
        </w:rPr>
        <w:t>Unie</w:t>
      </w:r>
      <w:r w:rsidR="006F0DD5" w:rsidRPr="00121A6A">
        <w:rPr>
          <w:sz w:val="24"/>
          <w:szCs w:val="24"/>
        </w:rPr>
        <w:t xml:space="preserve">recht </w:t>
      </w:r>
      <w:r w:rsidR="00A62069" w:rsidRPr="00121A6A">
        <w:rPr>
          <w:sz w:val="24"/>
          <w:szCs w:val="24"/>
        </w:rPr>
        <w:t xml:space="preserve">zoals gezegd </w:t>
      </w:r>
      <w:r w:rsidR="00F0292D" w:rsidRPr="00121A6A">
        <w:rPr>
          <w:sz w:val="24"/>
          <w:szCs w:val="24"/>
        </w:rPr>
        <w:t>geen sprake kan zijn</w:t>
      </w:r>
      <w:r w:rsidRPr="00121A6A">
        <w:rPr>
          <w:sz w:val="24"/>
          <w:szCs w:val="24"/>
        </w:rPr>
        <w:t>, was de dragende gedachte in</w:t>
      </w:r>
      <w:r w:rsidR="00D922F0" w:rsidRPr="00121A6A">
        <w:rPr>
          <w:sz w:val="24"/>
          <w:szCs w:val="24"/>
        </w:rPr>
        <w:t xml:space="preserve"> </w:t>
      </w:r>
      <w:r w:rsidR="00980E9A">
        <w:rPr>
          <w:sz w:val="24"/>
          <w:szCs w:val="24"/>
        </w:rPr>
        <w:t xml:space="preserve">de arresten </w:t>
      </w:r>
      <w:r w:rsidRPr="00121A6A">
        <w:rPr>
          <w:i/>
          <w:iCs/>
          <w:sz w:val="24"/>
          <w:szCs w:val="24"/>
        </w:rPr>
        <w:t>Schmidberger</w:t>
      </w:r>
      <w:r w:rsidRPr="00121A6A">
        <w:rPr>
          <w:sz w:val="24"/>
          <w:szCs w:val="24"/>
        </w:rPr>
        <w:t xml:space="preserve"> </w:t>
      </w:r>
      <w:r w:rsidR="001F25EB" w:rsidRPr="00121A6A">
        <w:rPr>
          <w:sz w:val="24"/>
          <w:szCs w:val="24"/>
        </w:rPr>
        <w:t xml:space="preserve">en </w:t>
      </w:r>
      <w:r w:rsidR="001F25EB" w:rsidRPr="00121A6A">
        <w:rPr>
          <w:i/>
          <w:iCs/>
          <w:sz w:val="24"/>
          <w:szCs w:val="24"/>
        </w:rPr>
        <w:t xml:space="preserve">Omega </w:t>
      </w:r>
      <w:r w:rsidR="009E03B9" w:rsidRPr="00121A6A">
        <w:rPr>
          <w:sz w:val="24"/>
          <w:szCs w:val="24"/>
        </w:rPr>
        <w:t>wel</w:t>
      </w:r>
      <w:r w:rsidR="00510A30" w:rsidRPr="00121A6A">
        <w:rPr>
          <w:sz w:val="24"/>
          <w:szCs w:val="24"/>
        </w:rPr>
        <w:t xml:space="preserve"> (meer)</w:t>
      </w:r>
      <w:r w:rsidR="009E03B9" w:rsidRPr="00121A6A">
        <w:rPr>
          <w:sz w:val="24"/>
          <w:szCs w:val="24"/>
        </w:rPr>
        <w:t xml:space="preserve"> gelijkwaardigheid </w:t>
      </w:r>
      <w:r w:rsidR="00246AE6" w:rsidRPr="00121A6A">
        <w:rPr>
          <w:sz w:val="24"/>
          <w:szCs w:val="24"/>
        </w:rPr>
        <w:t xml:space="preserve">tussen het </w:t>
      </w:r>
      <w:r w:rsidR="00E82DEB" w:rsidRPr="00121A6A">
        <w:rPr>
          <w:sz w:val="24"/>
          <w:szCs w:val="24"/>
        </w:rPr>
        <w:t>vrij verkeer</w:t>
      </w:r>
      <w:r w:rsidR="00246AE6" w:rsidRPr="00121A6A">
        <w:rPr>
          <w:sz w:val="24"/>
          <w:szCs w:val="24"/>
        </w:rPr>
        <w:t xml:space="preserve"> en</w:t>
      </w:r>
      <w:r w:rsidR="009E03B9" w:rsidRPr="00121A6A">
        <w:rPr>
          <w:sz w:val="24"/>
          <w:szCs w:val="24"/>
        </w:rPr>
        <w:t xml:space="preserve"> grondrechten</w:t>
      </w:r>
      <w:r w:rsidRPr="00121A6A">
        <w:rPr>
          <w:sz w:val="24"/>
          <w:szCs w:val="24"/>
        </w:rPr>
        <w:t>.</w:t>
      </w:r>
      <w:r w:rsidRPr="00121A6A">
        <w:rPr>
          <w:rStyle w:val="FootnoteReference"/>
          <w:sz w:val="24"/>
          <w:szCs w:val="24"/>
        </w:rPr>
        <w:footnoteReference w:id="64"/>
      </w:r>
    </w:p>
    <w:p w14:paraId="2ECF6A69" w14:textId="361199DB" w:rsidR="008043E7" w:rsidRPr="00121A6A" w:rsidRDefault="000E79DE" w:rsidP="008043E7">
      <w:pPr>
        <w:spacing w:after="0"/>
        <w:ind w:firstLine="708"/>
        <w:jc w:val="both"/>
        <w:rPr>
          <w:sz w:val="24"/>
          <w:szCs w:val="24"/>
        </w:rPr>
      </w:pPr>
      <w:r w:rsidRPr="00121A6A">
        <w:rPr>
          <w:sz w:val="24"/>
          <w:szCs w:val="24"/>
        </w:rPr>
        <w:t xml:space="preserve">Aanleiding voor </w:t>
      </w:r>
      <w:r w:rsidR="001F25EB" w:rsidRPr="00121A6A">
        <w:rPr>
          <w:sz w:val="24"/>
          <w:szCs w:val="24"/>
        </w:rPr>
        <w:t xml:space="preserve">het </w:t>
      </w:r>
      <w:r w:rsidR="001F25EB" w:rsidRPr="00121A6A">
        <w:rPr>
          <w:i/>
          <w:iCs/>
          <w:sz w:val="24"/>
          <w:szCs w:val="24"/>
        </w:rPr>
        <w:t>Schmidberger</w:t>
      </w:r>
      <w:r w:rsidR="001F25EB" w:rsidRPr="00121A6A">
        <w:rPr>
          <w:sz w:val="24"/>
          <w:szCs w:val="24"/>
        </w:rPr>
        <w:t>-</w:t>
      </w:r>
      <w:r w:rsidRPr="00121A6A">
        <w:rPr>
          <w:sz w:val="24"/>
          <w:szCs w:val="24"/>
        </w:rPr>
        <w:t xml:space="preserve">arrest was een blokkade van een belangrijke autoweg door een Oostenrijkse </w:t>
      </w:r>
      <w:r w:rsidR="00F0292D" w:rsidRPr="00121A6A">
        <w:rPr>
          <w:sz w:val="24"/>
          <w:szCs w:val="24"/>
        </w:rPr>
        <w:t>milieubeschermings</w:t>
      </w:r>
      <w:r w:rsidRPr="00121A6A">
        <w:rPr>
          <w:sz w:val="24"/>
          <w:szCs w:val="24"/>
        </w:rPr>
        <w:t xml:space="preserve">vereniging. </w:t>
      </w:r>
      <w:r w:rsidR="00B30845" w:rsidRPr="00121A6A">
        <w:rPr>
          <w:sz w:val="24"/>
          <w:szCs w:val="24"/>
        </w:rPr>
        <w:t>Hierdoor werd</w:t>
      </w:r>
      <w:r w:rsidRPr="00121A6A">
        <w:rPr>
          <w:sz w:val="24"/>
          <w:szCs w:val="24"/>
        </w:rPr>
        <w:t xml:space="preserve"> het </w:t>
      </w:r>
      <w:r w:rsidR="00277FE7" w:rsidRPr="00121A6A">
        <w:rPr>
          <w:sz w:val="24"/>
          <w:szCs w:val="24"/>
        </w:rPr>
        <w:t>vrij verkeer van goederen</w:t>
      </w:r>
      <w:r w:rsidRPr="00121A6A">
        <w:rPr>
          <w:sz w:val="24"/>
          <w:szCs w:val="24"/>
        </w:rPr>
        <w:t xml:space="preserve"> </w:t>
      </w:r>
      <w:r w:rsidR="00B30845" w:rsidRPr="00121A6A">
        <w:rPr>
          <w:sz w:val="24"/>
          <w:szCs w:val="24"/>
        </w:rPr>
        <w:t>belemmerd. Desondanks</w:t>
      </w:r>
      <w:r w:rsidRPr="00121A6A">
        <w:rPr>
          <w:sz w:val="24"/>
          <w:szCs w:val="24"/>
        </w:rPr>
        <w:t xml:space="preserve"> hadden de Oostenrijkse autoriteiten</w:t>
      </w:r>
      <w:r w:rsidR="00B30845" w:rsidRPr="00121A6A">
        <w:rPr>
          <w:sz w:val="24"/>
          <w:szCs w:val="24"/>
        </w:rPr>
        <w:t xml:space="preserve">, met het oog op de vrijheid van vereniging en </w:t>
      </w:r>
      <w:r w:rsidR="00905C7D" w:rsidRPr="00121A6A">
        <w:rPr>
          <w:sz w:val="24"/>
          <w:szCs w:val="24"/>
        </w:rPr>
        <w:t xml:space="preserve">de vrijheid van </w:t>
      </w:r>
      <w:r w:rsidR="00B30845" w:rsidRPr="00121A6A">
        <w:rPr>
          <w:sz w:val="24"/>
          <w:szCs w:val="24"/>
        </w:rPr>
        <w:t>meningsuiting,</w:t>
      </w:r>
      <w:r w:rsidRPr="00121A6A">
        <w:rPr>
          <w:sz w:val="24"/>
          <w:szCs w:val="24"/>
        </w:rPr>
        <w:t xml:space="preserve"> </w:t>
      </w:r>
      <w:r w:rsidR="00B30845" w:rsidRPr="00121A6A">
        <w:rPr>
          <w:sz w:val="24"/>
          <w:szCs w:val="24"/>
        </w:rPr>
        <w:t xml:space="preserve">de </w:t>
      </w:r>
      <w:r w:rsidR="005F066E" w:rsidRPr="00121A6A">
        <w:rPr>
          <w:sz w:val="24"/>
          <w:szCs w:val="24"/>
        </w:rPr>
        <w:t>demonstratie</w:t>
      </w:r>
      <w:r w:rsidRPr="00121A6A">
        <w:rPr>
          <w:sz w:val="24"/>
          <w:szCs w:val="24"/>
        </w:rPr>
        <w:t xml:space="preserve"> toegestaan</w:t>
      </w:r>
      <w:r w:rsidR="00A62069" w:rsidRPr="00121A6A">
        <w:rPr>
          <w:sz w:val="24"/>
          <w:szCs w:val="24"/>
        </w:rPr>
        <w:t>.</w:t>
      </w:r>
      <w:r w:rsidR="00277FE7" w:rsidRPr="00121A6A">
        <w:rPr>
          <w:sz w:val="24"/>
          <w:szCs w:val="24"/>
        </w:rPr>
        <w:t xml:space="preserve"> </w:t>
      </w:r>
      <w:r w:rsidR="00ED2259" w:rsidRPr="00121A6A">
        <w:rPr>
          <w:sz w:val="24"/>
          <w:szCs w:val="24"/>
        </w:rPr>
        <w:t xml:space="preserve">Internationaal transportbedrijf </w:t>
      </w:r>
      <w:r w:rsidR="00ED2259" w:rsidRPr="00121A6A">
        <w:rPr>
          <w:i/>
          <w:iCs/>
          <w:sz w:val="24"/>
          <w:szCs w:val="24"/>
        </w:rPr>
        <w:t>Schmidberger</w:t>
      </w:r>
      <w:r w:rsidR="00ED2259" w:rsidRPr="00121A6A">
        <w:rPr>
          <w:sz w:val="24"/>
          <w:szCs w:val="24"/>
        </w:rPr>
        <w:t xml:space="preserve"> had door </w:t>
      </w:r>
      <w:r w:rsidR="00EC5C81" w:rsidRPr="00121A6A">
        <w:rPr>
          <w:sz w:val="24"/>
          <w:szCs w:val="24"/>
        </w:rPr>
        <w:t>het protest</w:t>
      </w:r>
      <w:r w:rsidR="00ED2259" w:rsidRPr="00121A6A">
        <w:rPr>
          <w:sz w:val="24"/>
          <w:szCs w:val="24"/>
        </w:rPr>
        <w:t xml:space="preserve"> schade geleden en stelde de Oostenrijkse staat aansprakelijk.</w:t>
      </w:r>
      <w:r w:rsidRPr="00121A6A">
        <w:rPr>
          <w:sz w:val="24"/>
          <w:szCs w:val="24"/>
        </w:rPr>
        <w:t xml:space="preserve"> Aan het Hof de taak </w:t>
      </w:r>
      <w:r w:rsidR="008865EF">
        <w:rPr>
          <w:sz w:val="24"/>
          <w:szCs w:val="24"/>
        </w:rPr>
        <w:t xml:space="preserve">om </w:t>
      </w:r>
      <w:r w:rsidRPr="00121A6A">
        <w:rPr>
          <w:sz w:val="24"/>
          <w:szCs w:val="24"/>
        </w:rPr>
        <w:t>de</w:t>
      </w:r>
      <w:r w:rsidR="00ED2259" w:rsidRPr="00121A6A">
        <w:rPr>
          <w:sz w:val="24"/>
          <w:szCs w:val="24"/>
        </w:rPr>
        <w:t xml:space="preserve"> conflicterende </w:t>
      </w:r>
      <w:r w:rsidR="00CA3AF8" w:rsidRPr="00121A6A">
        <w:rPr>
          <w:sz w:val="24"/>
          <w:szCs w:val="24"/>
        </w:rPr>
        <w:t>(grond)</w:t>
      </w:r>
      <w:r w:rsidRPr="00121A6A">
        <w:rPr>
          <w:sz w:val="24"/>
          <w:szCs w:val="24"/>
        </w:rPr>
        <w:t>rechten tegen elkaar af te wegen.</w:t>
      </w:r>
      <w:r w:rsidR="00705A06" w:rsidRPr="00121A6A">
        <w:rPr>
          <w:sz w:val="24"/>
          <w:szCs w:val="24"/>
        </w:rPr>
        <w:t xml:space="preserve"> Opvallend is dat </w:t>
      </w:r>
      <w:r w:rsidR="000754A3">
        <w:rPr>
          <w:sz w:val="24"/>
          <w:szCs w:val="24"/>
        </w:rPr>
        <w:t xml:space="preserve">het Hof </w:t>
      </w:r>
      <w:r w:rsidR="00705A06" w:rsidRPr="00121A6A">
        <w:rPr>
          <w:sz w:val="24"/>
          <w:szCs w:val="24"/>
        </w:rPr>
        <w:t>daarbij</w:t>
      </w:r>
      <w:r w:rsidR="00AC4CB2" w:rsidRPr="00121A6A">
        <w:rPr>
          <w:sz w:val="24"/>
          <w:szCs w:val="24"/>
        </w:rPr>
        <w:t xml:space="preserve"> </w:t>
      </w:r>
      <w:r w:rsidR="00B75DF0" w:rsidRPr="00121A6A">
        <w:rPr>
          <w:sz w:val="24"/>
          <w:szCs w:val="24"/>
        </w:rPr>
        <w:t xml:space="preserve">aan </w:t>
      </w:r>
      <w:r w:rsidR="008865EF">
        <w:rPr>
          <w:sz w:val="24"/>
          <w:szCs w:val="24"/>
        </w:rPr>
        <w:t xml:space="preserve">de </w:t>
      </w:r>
      <w:r w:rsidR="0029260D" w:rsidRPr="00121A6A">
        <w:rPr>
          <w:sz w:val="24"/>
          <w:szCs w:val="24"/>
        </w:rPr>
        <w:t>Oostenrijk</w:t>
      </w:r>
      <w:r w:rsidR="008865EF">
        <w:rPr>
          <w:sz w:val="24"/>
          <w:szCs w:val="24"/>
        </w:rPr>
        <w:t>se staat</w:t>
      </w:r>
      <w:r w:rsidR="00B75DF0" w:rsidRPr="00121A6A">
        <w:rPr>
          <w:sz w:val="24"/>
          <w:szCs w:val="24"/>
        </w:rPr>
        <w:t xml:space="preserve"> een</w:t>
      </w:r>
      <w:r w:rsidR="006B69D5" w:rsidRPr="00121A6A">
        <w:rPr>
          <w:sz w:val="24"/>
          <w:szCs w:val="24"/>
        </w:rPr>
        <w:t xml:space="preserve"> </w:t>
      </w:r>
      <w:r w:rsidR="00B75DF0" w:rsidRPr="00121A6A">
        <w:rPr>
          <w:sz w:val="24"/>
          <w:szCs w:val="24"/>
        </w:rPr>
        <w:t>beoordelings</w:t>
      </w:r>
      <w:r w:rsidR="002035D2" w:rsidRPr="00121A6A">
        <w:rPr>
          <w:sz w:val="24"/>
          <w:szCs w:val="24"/>
        </w:rPr>
        <w:t>marge</w:t>
      </w:r>
      <w:r w:rsidR="00B75DF0" w:rsidRPr="00121A6A">
        <w:rPr>
          <w:sz w:val="24"/>
          <w:szCs w:val="24"/>
        </w:rPr>
        <w:t xml:space="preserve"> </w:t>
      </w:r>
      <w:r w:rsidR="000754A3">
        <w:rPr>
          <w:sz w:val="24"/>
          <w:szCs w:val="24"/>
        </w:rPr>
        <w:t>gunde</w:t>
      </w:r>
      <w:r w:rsidR="00705A06" w:rsidRPr="00121A6A">
        <w:rPr>
          <w:sz w:val="24"/>
          <w:szCs w:val="24"/>
        </w:rPr>
        <w:t>,</w:t>
      </w:r>
      <w:r w:rsidR="00705A06" w:rsidRPr="00121A6A">
        <w:rPr>
          <w:rStyle w:val="FootnoteReference"/>
          <w:sz w:val="24"/>
          <w:szCs w:val="24"/>
        </w:rPr>
        <w:footnoteReference w:id="65"/>
      </w:r>
      <w:r w:rsidR="00AC4CB2" w:rsidRPr="00121A6A">
        <w:rPr>
          <w:sz w:val="24"/>
          <w:szCs w:val="24"/>
        </w:rPr>
        <w:t xml:space="preserve"> </w:t>
      </w:r>
      <w:r w:rsidR="00705A06" w:rsidRPr="00121A6A">
        <w:rPr>
          <w:sz w:val="24"/>
          <w:szCs w:val="24"/>
        </w:rPr>
        <w:t xml:space="preserve">waardoor </w:t>
      </w:r>
      <w:r w:rsidR="008B7410" w:rsidRPr="00121A6A">
        <w:rPr>
          <w:sz w:val="24"/>
          <w:szCs w:val="24"/>
        </w:rPr>
        <w:t xml:space="preserve">de demonstratievrijheid </w:t>
      </w:r>
      <w:r w:rsidR="00705A06" w:rsidRPr="00121A6A">
        <w:rPr>
          <w:sz w:val="24"/>
          <w:szCs w:val="24"/>
        </w:rPr>
        <w:t xml:space="preserve">uiteindelijk </w:t>
      </w:r>
      <w:r w:rsidR="008B7410" w:rsidRPr="00121A6A">
        <w:rPr>
          <w:sz w:val="24"/>
          <w:szCs w:val="24"/>
        </w:rPr>
        <w:t>het vrije goederenverkeer</w:t>
      </w:r>
      <w:r w:rsidR="00705A06" w:rsidRPr="00121A6A">
        <w:rPr>
          <w:sz w:val="24"/>
          <w:szCs w:val="24"/>
        </w:rPr>
        <w:t xml:space="preserve"> overtroefde</w:t>
      </w:r>
      <w:r w:rsidR="00AC4CB2" w:rsidRPr="00121A6A">
        <w:rPr>
          <w:sz w:val="24"/>
          <w:szCs w:val="24"/>
        </w:rPr>
        <w:t xml:space="preserve">. </w:t>
      </w:r>
      <w:r w:rsidR="00A437FA" w:rsidRPr="00121A6A">
        <w:rPr>
          <w:sz w:val="24"/>
          <w:szCs w:val="24"/>
        </w:rPr>
        <w:t>Toch</w:t>
      </w:r>
      <w:r w:rsidR="008043E7" w:rsidRPr="00121A6A">
        <w:rPr>
          <w:sz w:val="24"/>
          <w:szCs w:val="24"/>
        </w:rPr>
        <w:t xml:space="preserve"> </w:t>
      </w:r>
      <w:r w:rsidR="00EC5C81" w:rsidRPr="00121A6A">
        <w:rPr>
          <w:sz w:val="24"/>
          <w:szCs w:val="24"/>
        </w:rPr>
        <w:t xml:space="preserve">moet </w:t>
      </w:r>
      <w:r w:rsidR="008043E7" w:rsidRPr="00121A6A">
        <w:rPr>
          <w:sz w:val="24"/>
          <w:szCs w:val="24"/>
        </w:rPr>
        <w:t>de toegekende beoordelings</w:t>
      </w:r>
      <w:r w:rsidR="00026B5D">
        <w:rPr>
          <w:sz w:val="24"/>
          <w:szCs w:val="24"/>
        </w:rPr>
        <w:t>ruimte</w:t>
      </w:r>
      <w:r w:rsidR="00D56858" w:rsidRPr="00121A6A">
        <w:rPr>
          <w:sz w:val="24"/>
          <w:szCs w:val="24"/>
        </w:rPr>
        <w:t xml:space="preserve"> mijns inziens</w:t>
      </w:r>
      <w:r w:rsidR="008043E7" w:rsidRPr="00121A6A">
        <w:rPr>
          <w:sz w:val="24"/>
          <w:szCs w:val="24"/>
        </w:rPr>
        <w:t xml:space="preserve"> niet worden overschat. Het Hof somde diverse factoren op die in het specifieke geval de beperking van het vrije goederenverkeer evenredig maakte</w:t>
      </w:r>
      <w:r w:rsidR="00643E9D">
        <w:rPr>
          <w:sz w:val="24"/>
          <w:szCs w:val="24"/>
        </w:rPr>
        <w:t>n</w:t>
      </w:r>
      <w:r w:rsidR="008043E7" w:rsidRPr="00121A6A">
        <w:rPr>
          <w:sz w:val="24"/>
          <w:szCs w:val="24"/>
        </w:rPr>
        <w:t xml:space="preserve">. </w:t>
      </w:r>
      <w:r w:rsidR="00547F53" w:rsidRPr="00121A6A">
        <w:rPr>
          <w:sz w:val="24"/>
          <w:szCs w:val="24"/>
        </w:rPr>
        <w:t>D</w:t>
      </w:r>
      <w:r w:rsidR="00E71EFC" w:rsidRPr="00121A6A">
        <w:rPr>
          <w:sz w:val="24"/>
          <w:szCs w:val="24"/>
        </w:rPr>
        <w:t>a</w:t>
      </w:r>
      <w:r w:rsidR="00547F53" w:rsidRPr="00121A6A">
        <w:rPr>
          <w:sz w:val="24"/>
          <w:szCs w:val="24"/>
        </w:rPr>
        <w:t>t was anders</w:t>
      </w:r>
      <w:r w:rsidR="008043E7" w:rsidRPr="00121A6A">
        <w:rPr>
          <w:sz w:val="24"/>
          <w:szCs w:val="24"/>
        </w:rPr>
        <w:t xml:space="preserve"> in </w:t>
      </w:r>
      <w:r w:rsidR="008043E7" w:rsidRPr="00121A6A">
        <w:rPr>
          <w:i/>
          <w:iCs/>
          <w:sz w:val="24"/>
          <w:szCs w:val="24"/>
        </w:rPr>
        <w:t>Omega</w:t>
      </w:r>
      <w:r w:rsidR="00304CC6" w:rsidRPr="00121A6A">
        <w:rPr>
          <w:sz w:val="24"/>
          <w:szCs w:val="24"/>
        </w:rPr>
        <w:t xml:space="preserve">, </w:t>
      </w:r>
      <w:r w:rsidR="00547F53" w:rsidRPr="00121A6A">
        <w:rPr>
          <w:sz w:val="24"/>
          <w:szCs w:val="24"/>
        </w:rPr>
        <w:t xml:space="preserve">alwaar het Hof </w:t>
      </w:r>
      <w:r w:rsidR="00FD3BB5" w:rsidRPr="00121A6A">
        <w:rPr>
          <w:sz w:val="24"/>
          <w:szCs w:val="24"/>
        </w:rPr>
        <w:t>aan</w:t>
      </w:r>
      <w:r w:rsidR="00BE4C2F" w:rsidRPr="00121A6A">
        <w:rPr>
          <w:sz w:val="24"/>
          <w:szCs w:val="24"/>
        </w:rPr>
        <w:t xml:space="preserve"> de Duitse </w:t>
      </w:r>
      <w:r w:rsidR="00F26407" w:rsidRPr="00121A6A">
        <w:rPr>
          <w:sz w:val="24"/>
          <w:szCs w:val="24"/>
        </w:rPr>
        <w:t>autoriteiten</w:t>
      </w:r>
      <w:r w:rsidR="00FD3BB5" w:rsidRPr="00121A6A">
        <w:rPr>
          <w:sz w:val="24"/>
          <w:szCs w:val="24"/>
        </w:rPr>
        <w:t xml:space="preserve"> substantiële discretionaire </w:t>
      </w:r>
      <w:r w:rsidR="00C6514B" w:rsidRPr="00121A6A">
        <w:rPr>
          <w:sz w:val="24"/>
          <w:szCs w:val="24"/>
        </w:rPr>
        <w:t>vrijheid</w:t>
      </w:r>
      <w:r w:rsidR="00FD3BB5" w:rsidRPr="00121A6A">
        <w:rPr>
          <w:sz w:val="24"/>
          <w:szCs w:val="24"/>
        </w:rPr>
        <w:t xml:space="preserve"> gunde</w:t>
      </w:r>
      <w:r w:rsidR="00547F53" w:rsidRPr="00121A6A">
        <w:rPr>
          <w:sz w:val="24"/>
          <w:szCs w:val="24"/>
        </w:rPr>
        <w:t xml:space="preserve"> bij de afweging tussen het vrije goederenkeer en het grondrecht op menselijke waardigheid</w:t>
      </w:r>
      <w:r w:rsidR="00643E9D">
        <w:rPr>
          <w:sz w:val="24"/>
          <w:szCs w:val="24"/>
        </w:rPr>
        <w:t>.</w:t>
      </w:r>
      <w:r w:rsidR="008043E7" w:rsidRPr="00121A6A">
        <w:rPr>
          <w:sz w:val="24"/>
          <w:szCs w:val="24"/>
        </w:rPr>
        <w:t xml:space="preserve"> </w:t>
      </w:r>
      <w:r w:rsidR="00643E9D">
        <w:rPr>
          <w:sz w:val="24"/>
          <w:szCs w:val="24"/>
        </w:rPr>
        <w:t>D</w:t>
      </w:r>
      <w:r w:rsidR="008043E7" w:rsidRPr="00121A6A">
        <w:rPr>
          <w:sz w:val="24"/>
          <w:szCs w:val="24"/>
        </w:rPr>
        <w:t xml:space="preserve">e bestreden nationale maatregel werd </w:t>
      </w:r>
      <w:r w:rsidR="00643E9D">
        <w:rPr>
          <w:sz w:val="24"/>
          <w:szCs w:val="24"/>
        </w:rPr>
        <w:t xml:space="preserve">in dat arrest </w:t>
      </w:r>
      <w:r w:rsidR="008043E7" w:rsidRPr="00121A6A">
        <w:rPr>
          <w:sz w:val="24"/>
          <w:szCs w:val="24"/>
        </w:rPr>
        <w:t xml:space="preserve">slechts marginaal getoetst op het proportionaliteitsaspect en </w:t>
      </w:r>
      <w:r w:rsidR="00100CE2" w:rsidRPr="00121A6A">
        <w:rPr>
          <w:sz w:val="24"/>
          <w:szCs w:val="24"/>
        </w:rPr>
        <w:t xml:space="preserve">het Hof eerbiedigde </w:t>
      </w:r>
      <w:r w:rsidR="008043E7" w:rsidRPr="00121A6A">
        <w:rPr>
          <w:sz w:val="24"/>
          <w:szCs w:val="24"/>
        </w:rPr>
        <w:t xml:space="preserve">de onderlinge verschillen tussen </w:t>
      </w:r>
      <w:r w:rsidR="00643E9D">
        <w:rPr>
          <w:sz w:val="24"/>
          <w:szCs w:val="24"/>
        </w:rPr>
        <w:t xml:space="preserve">de </w:t>
      </w:r>
      <w:r w:rsidR="008043E7" w:rsidRPr="00121A6A">
        <w:rPr>
          <w:sz w:val="24"/>
          <w:szCs w:val="24"/>
        </w:rPr>
        <w:t xml:space="preserve">lidstaten aangaande de wijze waarop </w:t>
      </w:r>
      <w:r w:rsidR="00A742F4" w:rsidRPr="00121A6A">
        <w:rPr>
          <w:sz w:val="24"/>
          <w:szCs w:val="24"/>
        </w:rPr>
        <w:t>dit</w:t>
      </w:r>
      <w:r w:rsidR="007074A9" w:rsidRPr="00121A6A">
        <w:rPr>
          <w:sz w:val="24"/>
          <w:szCs w:val="24"/>
        </w:rPr>
        <w:t xml:space="preserve"> </w:t>
      </w:r>
      <w:r w:rsidR="008043E7" w:rsidRPr="00121A6A">
        <w:rPr>
          <w:sz w:val="24"/>
          <w:szCs w:val="24"/>
        </w:rPr>
        <w:t>grondrecht word</w:t>
      </w:r>
      <w:r w:rsidR="007074A9" w:rsidRPr="00121A6A">
        <w:rPr>
          <w:sz w:val="24"/>
          <w:szCs w:val="24"/>
        </w:rPr>
        <w:t>t</w:t>
      </w:r>
      <w:r w:rsidR="008043E7" w:rsidRPr="00121A6A">
        <w:rPr>
          <w:sz w:val="24"/>
          <w:szCs w:val="24"/>
        </w:rPr>
        <w:t xml:space="preserve"> beschermd.</w:t>
      </w:r>
      <w:r w:rsidR="00BF4850" w:rsidRPr="00121A6A">
        <w:rPr>
          <w:rStyle w:val="FootnoteReference"/>
          <w:sz w:val="24"/>
          <w:szCs w:val="24"/>
        </w:rPr>
        <w:footnoteReference w:id="66"/>
      </w:r>
    </w:p>
    <w:p w14:paraId="2B793F67" w14:textId="17425AB4" w:rsidR="002D7928" w:rsidRPr="00121A6A" w:rsidRDefault="00A742F4" w:rsidP="008E1B31">
      <w:pPr>
        <w:spacing w:after="0"/>
        <w:ind w:firstLine="708"/>
        <w:jc w:val="both"/>
        <w:rPr>
          <w:sz w:val="24"/>
          <w:szCs w:val="24"/>
        </w:rPr>
      </w:pPr>
      <w:r w:rsidRPr="00121A6A">
        <w:rPr>
          <w:sz w:val="24"/>
          <w:szCs w:val="24"/>
        </w:rPr>
        <w:t>Ofschoon het Hof artikel 2 Monti I-verordening in beide arresten niet (expliciet) aanhaalde,</w:t>
      </w:r>
      <w:r w:rsidRPr="00121A6A">
        <w:rPr>
          <w:rStyle w:val="FootnoteReference"/>
          <w:sz w:val="24"/>
          <w:szCs w:val="24"/>
        </w:rPr>
        <w:footnoteReference w:id="67"/>
      </w:r>
      <w:r w:rsidRPr="00121A6A">
        <w:rPr>
          <w:sz w:val="24"/>
          <w:szCs w:val="24"/>
        </w:rPr>
        <w:t xml:space="preserve"> </w:t>
      </w:r>
      <w:r w:rsidR="002035D2" w:rsidRPr="00121A6A">
        <w:rPr>
          <w:sz w:val="24"/>
          <w:szCs w:val="24"/>
        </w:rPr>
        <w:t xml:space="preserve">valt </w:t>
      </w:r>
      <w:r w:rsidRPr="00121A6A">
        <w:rPr>
          <w:sz w:val="24"/>
          <w:szCs w:val="24"/>
        </w:rPr>
        <w:t xml:space="preserve">niet </w:t>
      </w:r>
      <w:r w:rsidR="002035D2" w:rsidRPr="00121A6A">
        <w:rPr>
          <w:sz w:val="24"/>
          <w:szCs w:val="24"/>
        </w:rPr>
        <w:t>uit te sluiten</w:t>
      </w:r>
      <w:r w:rsidR="00FC1F4D" w:rsidRPr="00121A6A">
        <w:rPr>
          <w:sz w:val="24"/>
          <w:szCs w:val="24"/>
        </w:rPr>
        <w:t xml:space="preserve"> </w:t>
      </w:r>
      <w:r w:rsidR="00077375" w:rsidRPr="00121A6A">
        <w:rPr>
          <w:sz w:val="24"/>
          <w:szCs w:val="24"/>
        </w:rPr>
        <w:t>dat de terughoudende</w:t>
      </w:r>
      <w:r w:rsidR="00B561E1" w:rsidRPr="00121A6A">
        <w:rPr>
          <w:sz w:val="24"/>
          <w:szCs w:val="24"/>
        </w:rPr>
        <w:t>(</w:t>
      </w:r>
      <w:r w:rsidR="00077375" w:rsidRPr="00121A6A">
        <w:rPr>
          <w:sz w:val="24"/>
          <w:szCs w:val="24"/>
        </w:rPr>
        <w:t>re</w:t>
      </w:r>
      <w:r w:rsidR="00B561E1" w:rsidRPr="00121A6A">
        <w:rPr>
          <w:sz w:val="24"/>
          <w:szCs w:val="24"/>
        </w:rPr>
        <w:t>)</w:t>
      </w:r>
      <w:r w:rsidR="00077375" w:rsidRPr="00121A6A">
        <w:rPr>
          <w:sz w:val="24"/>
          <w:szCs w:val="24"/>
        </w:rPr>
        <w:t xml:space="preserve"> benadering</w:t>
      </w:r>
      <w:r w:rsidR="00DA48A2">
        <w:rPr>
          <w:sz w:val="24"/>
          <w:szCs w:val="24"/>
        </w:rPr>
        <w:t xml:space="preserve"> van het Hof</w:t>
      </w:r>
      <w:r w:rsidR="008D2AC1" w:rsidRPr="00121A6A">
        <w:rPr>
          <w:sz w:val="24"/>
          <w:szCs w:val="24"/>
        </w:rPr>
        <w:t xml:space="preserve"> (deels)</w:t>
      </w:r>
      <w:r w:rsidR="00077375" w:rsidRPr="00121A6A">
        <w:rPr>
          <w:sz w:val="24"/>
          <w:szCs w:val="24"/>
        </w:rPr>
        <w:t xml:space="preserve"> </w:t>
      </w:r>
      <w:r w:rsidR="0023447A" w:rsidRPr="00121A6A">
        <w:rPr>
          <w:sz w:val="24"/>
          <w:szCs w:val="24"/>
        </w:rPr>
        <w:t>is</w:t>
      </w:r>
      <w:r w:rsidR="00077375" w:rsidRPr="00121A6A">
        <w:rPr>
          <w:sz w:val="24"/>
          <w:szCs w:val="24"/>
        </w:rPr>
        <w:t xml:space="preserve"> ingegeven door </w:t>
      </w:r>
      <w:r w:rsidRPr="00121A6A">
        <w:rPr>
          <w:sz w:val="24"/>
          <w:szCs w:val="24"/>
        </w:rPr>
        <w:t>deze bepaling.</w:t>
      </w:r>
      <w:r w:rsidR="00705A06" w:rsidRPr="00121A6A">
        <w:rPr>
          <w:sz w:val="24"/>
          <w:szCs w:val="24"/>
        </w:rPr>
        <w:t xml:space="preserve"> </w:t>
      </w:r>
      <w:r w:rsidR="00D643EA" w:rsidRPr="00121A6A">
        <w:rPr>
          <w:sz w:val="24"/>
          <w:szCs w:val="24"/>
        </w:rPr>
        <w:t xml:space="preserve">Mogelijk heeft de introductie van artikel 1 lid 1bis eenzelfde effect. </w:t>
      </w:r>
      <w:r w:rsidR="00D643EA" w:rsidRPr="00121A6A">
        <w:rPr>
          <w:sz w:val="24"/>
          <w:szCs w:val="24"/>
        </w:rPr>
        <w:lastRenderedPageBreak/>
        <w:t xml:space="preserve">Dat zou </w:t>
      </w:r>
      <w:r w:rsidR="00D00DA7">
        <w:rPr>
          <w:sz w:val="24"/>
          <w:szCs w:val="24"/>
        </w:rPr>
        <w:t>betekenen</w:t>
      </w:r>
      <w:r w:rsidR="00D643EA" w:rsidRPr="00121A6A">
        <w:rPr>
          <w:sz w:val="24"/>
          <w:szCs w:val="24"/>
        </w:rPr>
        <w:t xml:space="preserve"> dat het Hof, anders dan in </w:t>
      </w:r>
      <w:r w:rsidR="00D643EA" w:rsidRPr="00121A6A">
        <w:rPr>
          <w:i/>
          <w:iCs/>
          <w:sz w:val="24"/>
          <w:szCs w:val="24"/>
        </w:rPr>
        <w:t>Laval</w:t>
      </w:r>
      <w:r w:rsidR="00D643EA" w:rsidRPr="00121A6A">
        <w:rPr>
          <w:sz w:val="24"/>
          <w:szCs w:val="24"/>
        </w:rPr>
        <w:t>,</w:t>
      </w:r>
      <w:r w:rsidR="00D643EA" w:rsidRPr="00394577">
        <w:rPr>
          <w:sz w:val="24"/>
          <w:szCs w:val="24"/>
        </w:rPr>
        <w:t xml:space="preserve"> </w:t>
      </w:r>
      <w:r w:rsidR="00D643EA" w:rsidRPr="00121A6A">
        <w:rPr>
          <w:sz w:val="24"/>
          <w:szCs w:val="24"/>
        </w:rPr>
        <w:t xml:space="preserve">lidstaten thans (enige) beoordelingsmarge </w:t>
      </w:r>
      <w:r w:rsidR="00245604">
        <w:rPr>
          <w:sz w:val="24"/>
          <w:szCs w:val="24"/>
        </w:rPr>
        <w:t>zou gunnen</w:t>
      </w:r>
      <w:r w:rsidR="00161ABF" w:rsidRPr="00121A6A">
        <w:rPr>
          <w:sz w:val="24"/>
          <w:szCs w:val="24"/>
        </w:rPr>
        <w:t xml:space="preserve"> bij de invulling van de </w:t>
      </w:r>
      <w:r w:rsidR="00D00DA7">
        <w:rPr>
          <w:sz w:val="24"/>
          <w:szCs w:val="24"/>
        </w:rPr>
        <w:t>proportionaliteits</w:t>
      </w:r>
      <w:r w:rsidR="00161ABF" w:rsidRPr="00121A6A">
        <w:rPr>
          <w:sz w:val="24"/>
          <w:szCs w:val="24"/>
        </w:rPr>
        <w:t>toets</w:t>
      </w:r>
      <w:r w:rsidR="00D643EA" w:rsidRPr="00121A6A">
        <w:rPr>
          <w:sz w:val="24"/>
          <w:szCs w:val="24"/>
        </w:rPr>
        <w:t xml:space="preserve">. </w:t>
      </w:r>
      <w:r w:rsidR="008E1B31" w:rsidRPr="00121A6A">
        <w:rPr>
          <w:sz w:val="24"/>
          <w:szCs w:val="24"/>
        </w:rPr>
        <w:t xml:space="preserve">Aan de andere kant kunnen de verschillen tussen artikel 2 Monti I en artikel 1 lid 1bis niet worden genegeerd. </w:t>
      </w:r>
      <w:r w:rsidR="00620F2A" w:rsidRPr="00121A6A">
        <w:rPr>
          <w:sz w:val="24"/>
          <w:szCs w:val="24"/>
        </w:rPr>
        <w:t>Zoals gezegd</w:t>
      </w:r>
      <w:r w:rsidR="00587CB4">
        <w:rPr>
          <w:sz w:val="24"/>
          <w:szCs w:val="24"/>
        </w:rPr>
        <w:t xml:space="preserve"> (par. 2.2)</w:t>
      </w:r>
      <w:r w:rsidR="00620F2A" w:rsidRPr="00121A6A">
        <w:rPr>
          <w:sz w:val="24"/>
          <w:szCs w:val="24"/>
        </w:rPr>
        <w:t xml:space="preserve"> is de Detacheringsrichtlijn een instrument van internationaal privaatrecht. </w:t>
      </w:r>
      <w:r w:rsidR="00822C66" w:rsidRPr="00121A6A">
        <w:rPr>
          <w:sz w:val="24"/>
          <w:szCs w:val="24"/>
        </w:rPr>
        <w:t>De Europese wetgever heeft i</w:t>
      </w:r>
      <w:r w:rsidR="008E1B31" w:rsidRPr="00121A6A">
        <w:rPr>
          <w:sz w:val="24"/>
          <w:szCs w:val="24"/>
        </w:rPr>
        <w:t>n artikel 3 lid 1</w:t>
      </w:r>
      <w:r w:rsidR="00822C66" w:rsidRPr="00121A6A">
        <w:rPr>
          <w:sz w:val="24"/>
          <w:szCs w:val="24"/>
        </w:rPr>
        <w:t xml:space="preserve"> </w:t>
      </w:r>
      <w:r w:rsidR="00066D2A" w:rsidRPr="00121A6A">
        <w:rPr>
          <w:sz w:val="24"/>
          <w:szCs w:val="24"/>
        </w:rPr>
        <w:t>van de richtlijn</w:t>
      </w:r>
      <w:r w:rsidR="00822C66" w:rsidRPr="00121A6A">
        <w:rPr>
          <w:sz w:val="24"/>
          <w:szCs w:val="24"/>
        </w:rPr>
        <w:t xml:space="preserve"> </w:t>
      </w:r>
      <w:r w:rsidR="00620F2A" w:rsidRPr="00121A6A">
        <w:rPr>
          <w:sz w:val="24"/>
          <w:szCs w:val="24"/>
        </w:rPr>
        <w:t xml:space="preserve">concreet gemaakt welke ‘harde kern’ arbeidsvoorwaarden uit de ontvangststaat van toepassing </w:t>
      </w:r>
      <w:r w:rsidR="00ED323B" w:rsidRPr="00121A6A">
        <w:rPr>
          <w:sz w:val="24"/>
          <w:szCs w:val="24"/>
        </w:rPr>
        <w:t xml:space="preserve">(mogen) </w:t>
      </w:r>
      <w:r w:rsidR="00620F2A" w:rsidRPr="00121A6A">
        <w:rPr>
          <w:sz w:val="24"/>
          <w:szCs w:val="24"/>
        </w:rPr>
        <w:t>zijn op</w:t>
      </w:r>
      <w:r w:rsidR="0023447A" w:rsidRPr="00121A6A">
        <w:rPr>
          <w:sz w:val="24"/>
          <w:szCs w:val="24"/>
        </w:rPr>
        <w:t xml:space="preserve"> arbeidsovereenkomsten van</w:t>
      </w:r>
      <w:r w:rsidR="00620F2A" w:rsidRPr="00121A6A">
        <w:rPr>
          <w:sz w:val="24"/>
          <w:szCs w:val="24"/>
        </w:rPr>
        <w:t xml:space="preserve"> transnationaal gedetacheerde werknemers.</w:t>
      </w:r>
      <w:r w:rsidR="008E1B31" w:rsidRPr="00121A6A">
        <w:rPr>
          <w:sz w:val="24"/>
          <w:szCs w:val="24"/>
        </w:rPr>
        <w:t xml:space="preserve"> De kans is klein dat het Hof </w:t>
      </w:r>
      <w:r w:rsidR="009F1FAA" w:rsidRPr="00121A6A">
        <w:rPr>
          <w:sz w:val="24"/>
          <w:szCs w:val="24"/>
        </w:rPr>
        <w:t xml:space="preserve">hierin </w:t>
      </w:r>
      <w:r w:rsidR="008E1B31" w:rsidRPr="00121A6A">
        <w:rPr>
          <w:sz w:val="24"/>
          <w:szCs w:val="24"/>
        </w:rPr>
        <w:t xml:space="preserve">nader treedt door </w:t>
      </w:r>
      <w:r w:rsidR="005E3FE8" w:rsidRPr="00121A6A">
        <w:rPr>
          <w:sz w:val="24"/>
          <w:szCs w:val="24"/>
        </w:rPr>
        <w:t>ruimte te laten</w:t>
      </w:r>
      <w:r w:rsidR="008E1B31" w:rsidRPr="00121A6A">
        <w:rPr>
          <w:sz w:val="24"/>
          <w:szCs w:val="24"/>
        </w:rPr>
        <w:t xml:space="preserve"> voor een andere afweging</w:t>
      </w:r>
      <w:r w:rsidR="00ED323B" w:rsidRPr="00121A6A">
        <w:rPr>
          <w:sz w:val="24"/>
          <w:szCs w:val="24"/>
        </w:rPr>
        <w:t xml:space="preserve"> tussen enerzijds het vrije dienstenverkeer en anderzijds eerlijke concurrentie en werknemersbescherming</w:t>
      </w:r>
      <w:r w:rsidR="008E1B31" w:rsidRPr="00121A6A">
        <w:rPr>
          <w:sz w:val="24"/>
          <w:szCs w:val="24"/>
        </w:rPr>
        <w:t xml:space="preserve">. Alsdan doemt immers de vraag op welke </w:t>
      </w:r>
      <w:r w:rsidR="0023447A" w:rsidRPr="00121A6A">
        <w:rPr>
          <w:sz w:val="24"/>
          <w:szCs w:val="24"/>
        </w:rPr>
        <w:t>aanvullende</w:t>
      </w:r>
      <w:r w:rsidR="008E1B31" w:rsidRPr="00121A6A">
        <w:rPr>
          <w:sz w:val="24"/>
          <w:szCs w:val="24"/>
        </w:rPr>
        <w:t xml:space="preserve"> maatregelen </w:t>
      </w:r>
      <w:r w:rsidR="009F1FAA" w:rsidRPr="00121A6A">
        <w:rPr>
          <w:sz w:val="24"/>
          <w:szCs w:val="24"/>
        </w:rPr>
        <w:t xml:space="preserve">nog </w:t>
      </w:r>
      <w:r w:rsidR="008E1B31" w:rsidRPr="00121A6A">
        <w:rPr>
          <w:sz w:val="24"/>
          <w:szCs w:val="24"/>
        </w:rPr>
        <w:t xml:space="preserve">zijn toegestaan, </w:t>
      </w:r>
      <w:r w:rsidR="009F1FAA" w:rsidRPr="00121A6A">
        <w:rPr>
          <w:sz w:val="24"/>
          <w:szCs w:val="24"/>
        </w:rPr>
        <w:t>hetgeen</w:t>
      </w:r>
      <w:r w:rsidR="008E1B31" w:rsidRPr="00121A6A">
        <w:rPr>
          <w:sz w:val="24"/>
          <w:szCs w:val="24"/>
        </w:rPr>
        <w:t xml:space="preserve"> leidt tot rechtsonzekerheid en rechtsongelijkheid</w:t>
      </w:r>
      <w:r w:rsidR="009F1FAA" w:rsidRPr="00121A6A">
        <w:rPr>
          <w:sz w:val="24"/>
          <w:szCs w:val="24"/>
        </w:rPr>
        <w:t>. Deze</w:t>
      </w:r>
      <w:r w:rsidR="008E1B31" w:rsidRPr="00121A6A">
        <w:rPr>
          <w:sz w:val="24"/>
          <w:szCs w:val="24"/>
        </w:rPr>
        <w:t xml:space="preserve"> twee concepten </w:t>
      </w:r>
      <w:r w:rsidR="009F1FAA" w:rsidRPr="00121A6A">
        <w:rPr>
          <w:sz w:val="24"/>
          <w:szCs w:val="24"/>
        </w:rPr>
        <w:t xml:space="preserve">zijn </w:t>
      </w:r>
      <w:r w:rsidR="008E1B31" w:rsidRPr="00121A6A">
        <w:rPr>
          <w:sz w:val="24"/>
          <w:szCs w:val="24"/>
        </w:rPr>
        <w:t>juist in het internationaal privaatrecht van groot belang.</w:t>
      </w:r>
    </w:p>
    <w:p w14:paraId="2408931B" w14:textId="113FE65F" w:rsidR="008E1B31" w:rsidRPr="00121A6A" w:rsidRDefault="007F339D" w:rsidP="00303C69">
      <w:pPr>
        <w:spacing w:after="0"/>
        <w:ind w:firstLine="708"/>
        <w:jc w:val="both"/>
        <w:rPr>
          <w:sz w:val="24"/>
          <w:szCs w:val="24"/>
        </w:rPr>
      </w:pPr>
      <w:r w:rsidRPr="00121A6A">
        <w:rPr>
          <w:sz w:val="24"/>
          <w:szCs w:val="24"/>
        </w:rPr>
        <w:t xml:space="preserve">Bovendien </w:t>
      </w:r>
      <w:r w:rsidR="008E1B31" w:rsidRPr="00121A6A">
        <w:rPr>
          <w:sz w:val="24"/>
          <w:szCs w:val="24"/>
        </w:rPr>
        <w:t>is een andere</w:t>
      </w:r>
      <w:r w:rsidR="001156F9" w:rsidRPr="00121A6A">
        <w:rPr>
          <w:sz w:val="24"/>
          <w:szCs w:val="24"/>
        </w:rPr>
        <w:t>,</w:t>
      </w:r>
      <w:r w:rsidR="00386092" w:rsidRPr="00121A6A">
        <w:rPr>
          <w:sz w:val="24"/>
          <w:szCs w:val="24"/>
        </w:rPr>
        <w:t xml:space="preserve"> plausibele</w:t>
      </w:r>
      <w:r w:rsidR="001156F9" w:rsidRPr="00121A6A">
        <w:rPr>
          <w:sz w:val="24"/>
          <w:szCs w:val="24"/>
        </w:rPr>
        <w:t>(re)</w:t>
      </w:r>
      <w:r w:rsidR="00386092" w:rsidRPr="00121A6A">
        <w:rPr>
          <w:sz w:val="24"/>
          <w:szCs w:val="24"/>
        </w:rPr>
        <w:t xml:space="preserve"> </w:t>
      </w:r>
      <w:r w:rsidR="008E1B31" w:rsidRPr="00121A6A">
        <w:rPr>
          <w:sz w:val="24"/>
          <w:szCs w:val="24"/>
        </w:rPr>
        <w:t xml:space="preserve">verklaring voor de terughoudende(re) opstelling van het Hof in </w:t>
      </w:r>
      <w:r w:rsidR="008E1B31" w:rsidRPr="00121A6A">
        <w:rPr>
          <w:i/>
          <w:iCs/>
          <w:sz w:val="24"/>
          <w:szCs w:val="24"/>
        </w:rPr>
        <w:t xml:space="preserve">Schmidberger </w:t>
      </w:r>
      <w:r w:rsidR="008E1B31" w:rsidRPr="00121A6A">
        <w:rPr>
          <w:sz w:val="24"/>
          <w:szCs w:val="24"/>
        </w:rPr>
        <w:t xml:space="preserve">en </w:t>
      </w:r>
      <w:r w:rsidR="008E1B31" w:rsidRPr="00121A6A">
        <w:rPr>
          <w:i/>
          <w:iCs/>
          <w:sz w:val="24"/>
          <w:szCs w:val="24"/>
        </w:rPr>
        <w:t xml:space="preserve">Omega </w:t>
      </w:r>
      <w:r w:rsidR="008E1B31" w:rsidRPr="00121A6A">
        <w:rPr>
          <w:sz w:val="24"/>
          <w:szCs w:val="24"/>
        </w:rPr>
        <w:t xml:space="preserve">dat het in die arresten ging om een verticaal geschil tegen de Oostenrijkse respectievelijk Duitse staat. </w:t>
      </w:r>
      <w:bookmarkStart w:id="32" w:name="_Hlk163650860"/>
      <w:r w:rsidR="005E3FE8" w:rsidRPr="00121A6A">
        <w:rPr>
          <w:sz w:val="24"/>
          <w:szCs w:val="24"/>
        </w:rPr>
        <w:t>In tegenstelling tot</w:t>
      </w:r>
      <w:r w:rsidR="008E1B31" w:rsidRPr="00121A6A">
        <w:rPr>
          <w:sz w:val="24"/>
          <w:szCs w:val="24"/>
        </w:rPr>
        <w:t xml:space="preserve"> een private vakbond</w:t>
      </w:r>
      <w:r w:rsidR="00B04060" w:rsidRPr="00121A6A">
        <w:rPr>
          <w:sz w:val="24"/>
          <w:szCs w:val="24"/>
        </w:rPr>
        <w:t>,</w:t>
      </w:r>
      <w:r w:rsidR="008E1B31" w:rsidRPr="00121A6A">
        <w:rPr>
          <w:sz w:val="24"/>
          <w:szCs w:val="24"/>
        </w:rPr>
        <w:t xml:space="preserve"> kan de staat zich beroepen op </w:t>
      </w:r>
      <w:r w:rsidR="00DD19C5">
        <w:rPr>
          <w:sz w:val="24"/>
          <w:szCs w:val="24"/>
        </w:rPr>
        <w:t>zijn</w:t>
      </w:r>
      <w:r w:rsidR="008E1B31" w:rsidRPr="00121A6A">
        <w:rPr>
          <w:sz w:val="24"/>
          <w:szCs w:val="24"/>
        </w:rPr>
        <w:t xml:space="preserve"> verplichting </w:t>
      </w:r>
      <w:r w:rsidR="00DD19C5">
        <w:rPr>
          <w:sz w:val="24"/>
          <w:szCs w:val="24"/>
        </w:rPr>
        <w:t xml:space="preserve">om </w:t>
      </w:r>
      <w:r w:rsidR="008E1B31" w:rsidRPr="00121A6A">
        <w:rPr>
          <w:sz w:val="24"/>
          <w:szCs w:val="24"/>
        </w:rPr>
        <w:t>grondrechten te eerbiedigen</w:t>
      </w:r>
      <w:r w:rsidR="0028375B">
        <w:rPr>
          <w:sz w:val="24"/>
          <w:szCs w:val="24"/>
        </w:rPr>
        <w:t>:</w:t>
      </w:r>
      <w:r w:rsidR="008E1B31" w:rsidRPr="00121A6A">
        <w:rPr>
          <w:sz w:val="24"/>
          <w:szCs w:val="24"/>
        </w:rPr>
        <w:t xml:space="preserve"> ófwel als zelfstandige rechtvaardigingsgrond, ófwel in de vorm van de </w:t>
      </w:r>
      <w:r w:rsidR="006808EC" w:rsidRPr="00121A6A">
        <w:rPr>
          <w:sz w:val="24"/>
          <w:szCs w:val="24"/>
        </w:rPr>
        <w:t xml:space="preserve">openbare orde </w:t>
      </w:r>
      <w:bookmarkEnd w:id="32"/>
      <w:r w:rsidR="00087C73" w:rsidRPr="00121A6A">
        <w:rPr>
          <w:sz w:val="24"/>
          <w:szCs w:val="24"/>
        </w:rPr>
        <w:t>(artikelen 36, 45 lid 3, 52 lid 1 en 62 VwEU)</w:t>
      </w:r>
      <w:r w:rsidR="008E1B31" w:rsidRPr="00121A6A">
        <w:rPr>
          <w:sz w:val="24"/>
          <w:szCs w:val="24"/>
        </w:rPr>
        <w:t xml:space="preserve">. </w:t>
      </w:r>
      <w:r w:rsidR="006971F7" w:rsidRPr="00121A6A">
        <w:rPr>
          <w:sz w:val="24"/>
          <w:szCs w:val="24"/>
        </w:rPr>
        <w:t xml:space="preserve">Bij de vervulling van die verplichting komt </w:t>
      </w:r>
      <w:r w:rsidR="008865EF">
        <w:rPr>
          <w:sz w:val="24"/>
          <w:szCs w:val="24"/>
        </w:rPr>
        <w:t xml:space="preserve">aan </w:t>
      </w:r>
      <w:r w:rsidR="006971F7" w:rsidRPr="00121A6A">
        <w:rPr>
          <w:sz w:val="24"/>
          <w:szCs w:val="24"/>
        </w:rPr>
        <w:t xml:space="preserve">de staat discretionaire </w:t>
      </w:r>
      <w:r w:rsidR="00C6514B" w:rsidRPr="00121A6A">
        <w:rPr>
          <w:sz w:val="24"/>
          <w:szCs w:val="24"/>
        </w:rPr>
        <w:t>vrijheid</w:t>
      </w:r>
      <w:r w:rsidR="006971F7" w:rsidRPr="00121A6A">
        <w:rPr>
          <w:sz w:val="24"/>
          <w:szCs w:val="24"/>
        </w:rPr>
        <w:t xml:space="preserve"> toe. </w:t>
      </w:r>
      <w:r w:rsidR="008E1B31" w:rsidRPr="00121A6A">
        <w:rPr>
          <w:sz w:val="24"/>
          <w:szCs w:val="24"/>
        </w:rPr>
        <w:t xml:space="preserve">In </w:t>
      </w:r>
      <w:r w:rsidR="008E1B31" w:rsidRPr="00121A6A">
        <w:rPr>
          <w:i/>
          <w:iCs/>
          <w:sz w:val="24"/>
          <w:szCs w:val="24"/>
        </w:rPr>
        <w:t xml:space="preserve">Viking </w:t>
      </w:r>
      <w:r w:rsidR="008E1B31" w:rsidRPr="00121A6A">
        <w:rPr>
          <w:sz w:val="24"/>
          <w:szCs w:val="24"/>
        </w:rPr>
        <w:t xml:space="preserve">en </w:t>
      </w:r>
      <w:r w:rsidR="008E1B31" w:rsidRPr="00121A6A">
        <w:rPr>
          <w:i/>
          <w:iCs/>
          <w:sz w:val="24"/>
          <w:szCs w:val="24"/>
        </w:rPr>
        <w:t xml:space="preserve">Laval </w:t>
      </w:r>
      <w:r w:rsidR="008E1B31" w:rsidRPr="00121A6A">
        <w:rPr>
          <w:sz w:val="24"/>
          <w:szCs w:val="24"/>
        </w:rPr>
        <w:t xml:space="preserve">werd </w:t>
      </w:r>
      <w:r w:rsidR="00515B74" w:rsidRPr="00121A6A">
        <w:rPr>
          <w:sz w:val="24"/>
          <w:szCs w:val="24"/>
        </w:rPr>
        <w:t>(</w:t>
      </w:r>
      <w:r w:rsidR="0061227A">
        <w:rPr>
          <w:sz w:val="24"/>
          <w:szCs w:val="24"/>
        </w:rPr>
        <w:t xml:space="preserve">de </w:t>
      </w:r>
      <w:r w:rsidR="00515B74" w:rsidRPr="00121A6A">
        <w:rPr>
          <w:sz w:val="24"/>
          <w:szCs w:val="24"/>
        </w:rPr>
        <w:t>handhaving</w:t>
      </w:r>
      <w:r w:rsidR="008E1B31" w:rsidRPr="00121A6A">
        <w:rPr>
          <w:sz w:val="24"/>
          <w:szCs w:val="24"/>
        </w:rPr>
        <w:t xml:space="preserve"> van</w:t>
      </w:r>
      <w:r w:rsidR="00515B74" w:rsidRPr="00121A6A">
        <w:rPr>
          <w:sz w:val="24"/>
          <w:szCs w:val="24"/>
        </w:rPr>
        <w:t>)</w:t>
      </w:r>
      <w:r w:rsidR="008E1B31" w:rsidRPr="00121A6A">
        <w:rPr>
          <w:sz w:val="24"/>
          <w:szCs w:val="24"/>
        </w:rPr>
        <w:t xml:space="preserve"> het grondrecht op collectieve actie weliswaar </w:t>
      </w:r>
      <w:r w:rsidR="00316055" w:rsidRPr="00121A6A">
        <w:rPr>
          <w:sz w:val="24"/>
          <w:szCs w:val="24"/>
        </w:rPr>
        <w:t xml:space="preserve">door de vakbond </w:t>
      </w:r>
      <w:r w:rsidR="008E1B31" w:rsidRPr="00121A6A">
        <w:rPr>
          <w:sz w:val="24"/>
          <w:szCs w:val="24"/>
        </w:rPr>
        <w:t>aangevoerd als zelfstandige rechtvaardigingsgrond, maar het Hof</w:t>
      </w:r>
      <w:r w:rsidR="00967AB0" w:rsidRPr="00121A6A">
        <w:rPr>
          <w:sz w:val="24"/>
          <w:szCs w:val="24"/>
        </w:rPr>
        <w:t xml:space="preserve"> erkende</w:t>
      </w:r>
      <w:r w:rsidR="008E1B31" w:rsidRPr="00121A6A">
        <w:rPr>
          <w:sz w:val="24"/>
          <w:szCs w:val="24"/>
        </w:rPr>
        <w:t xml:space="preserve"> alleen werknemersbescherming als dwingende reden van algemeen belang.</w:t>
      </w:r>
      <w:r w:rsidR="00DF22EB" w:rsidRPr="00121A6A">
        <w:rPr>
          <w:rStyle w:val="FootnoteReference"/>
          <w:sz w:val="24"/>
          <w:szCs w:val="24"/>
        </w:rPr>
        <w:footnoteReference w:id="68"/>
      </w:r>
      <w:r w:rsidR="008E1B31" w:rsidRPr="00121A6A">
        <w:rPr>
          <w:sz w:val="24"/>
          <w:szCs w:val="24"/>
        </w:rPr>
        <w:t xml:space="preserve"> </w:t>
      </w:r>
      <w:r w:rsidR="00A33CEC" w:rsidRPr="00121A6A">
        <w:rPr>
          <w:sz w:val="24"/>
          <w:szCs w:val="24"/>
        </w:rPr>
        <w:t>In</w:t>
      </w:r>
      <w:r w:rsidR="008E1B31" w:rsidRPr="00121A6A">
        <w:rPr>
          <w:sz w:val="24"/>
          <w:szCs w:val="24"/>
        </w:rPr>
        <w:t xml:space="preserve"> deze benadering, waarin steeds moet worden nagegaan of sprake is van een door het grondrecht omvatte ongeschreven rechtvaardigingsgrond, </w:t>
      </w:r>
      <w:r w:rsidR="00316055" w:rsidRPr="00121A6A">
        <w:rPr>
          <w:sz w:val="24"/>
          <w:szCs w:val="24"/>
        </w:rPr>
        <w:t>speelt het grondrecht als zodanig geen, althans</w:t>
      </w:r>
      <w:r w:rsidR="00CB5EA7" w:rsidRPr="00121A6A">
        <w:rPr>
          <w:sz w:val="24"/>
          <w:szCs w:val="24"/>
        </w:rPr>
        <w:t xml:space="preserve"> een indirecte</w:t>
      </w:r>
      <w:r w:rsidR="005A0FCA" w:rsidRPr="00121A6A">
        <w:rPr>
          <w:sz w:val="24"/>
          <w:szCs w:val="24"/>
        </w:rPr>
        <w:t>re</w:t>
      </w:r>
      <w:r w:rsidR="00CB5EA7" w:rsidRPr="00121A6A">
        <w:rPr>
          <w:sz w:val="24"/>
          <w:szCs w:val="24"/>
        </w:rPr>
        <w:t xml:space="preserve"> en daardoor</w:t>
      </w:r>
      <w:r w:rsidR="00316055" w:rsidRPr="00121A6A">
        <w:rPr>
          <w:sz w:val="24"/>
          <w:szCs w:val="24"/>
        </w:rPr>
        <w:t xml:space="preserve"> minder prominente rol</w:t>
      </w:r>
      <w:r w:rsidR="008E1B31" w:rsidRPr="00121A6A">
        <w:rPr>
          <w:sz w:val="24"/>
          <w:szCs w:val="24"/>
        </w:rPr>
        <w:t>.</w:t>
      </w:r>
      <w:r w:rsidR="008E1B31" w:rsidRPr="00121A6A">
        <w:rPr>
          <w:rStyle w:val="FootnoteReference"/>
          <w:sz w:val="24"/>
          <w:szCs w:val="24"/>
        </w:rPr>
        <w:footnoteReference w:id="69"/>
      </w:r>
      <w:r w:rsidR="008944B2" w:rsidRPr="00121A6A">
        <w:rPr>
          <w:sz w:val="24"/>
          <w:szCs w:val="24"/>
        </w:rPr>
        <w:t xml:space="preserve"> </w:t>
      </w:r>
      <w:r w:rsidR="00367356" w:rsidRPr="00121A6A">
        <w:rPr>
          <w:sz w:val="24"/>
          <w:szCs w:val="24"/>
        </w:rPr>
        <w:t>Als gevolg daarvan</w:t>
      </w:r>
      <w:r w:rsidR="009B58E1" w:rsidRPr="00121A6A">
        <w:rPr>
          <w:sz w:val="24"/>
          <w:szCs w:val="24"/>
        </w:rPr>
        <w:t xml:space="preserve"> bestaat geen</w:t>
      </w:r>
      <w:r w:rsidR="007B7CE6" w:rsidRPr="00121A6A">
        <w:rPr>
          <w:sz w:val="24"/>
          <w:szCs w:val="24"/>
        </w:rPr>
        <w:t>, althans</w:t>
      </w:r>
      <w:r w:rsidR="009B58E1" w:rsidRPr="00121A6A">
        <w:rPr>
          <w:sz w:val="24"/>
          <w:szCs w:val="24"/>
        </w:rPr>
        <w:t xml:space="preserve"> minder aanleiding </w:t>
      </w:r>
      <w:r w:rsidR="00515D1F" w:rsidRPr="00121A6A">
        <w:rPr>
          <w:sz w:val="24"/>
          <w:szCs w:val="24"/>
        </w:rPr>
        <w:t>voor een marginale</w:t>
      </w:r>
      <w:r w:rsidR="00CB5EA7" w:rsidRPr="00121A6A">
        <w:rPr>
          <w:sz w:val="24"/>
          <w:szCs w:val="24"/>
        </w:rPr>
        <w:t>(re)</w:t>
      </w:r>
      <w:r w:rsidR="00515D1F" w:rsidRPr="00121A6A">
        <w:rPr>
          <w:sz w:val="24"/>
          <w:szCs w:val="24"/>
        </w:rPr>
        <w:t xml:space="preserve"> </w:t>
      </w:r>
      <w:r w:rsidR="0021536E" w:rsidRPr="00121A6A">
        <w:rPr>
          <w:sz w:val="24"/>
          <w:szCs w:val="24"/>
        </w:rPr>
        <w:t xml:space="preserve">rechterlijke </w:t>
      </w:r>
      <w:r w:rsidR="009C4CA6" w:rsidRPr="00121A6A">
        <w:rPr>
          <w:sz w:val="24"/>
          <w:szCs w:val="24"/>
        </w:rPr>
        <w:t>evenredigheids</w:t>
      </w:r>
      <w:r w:rsidR="00515D1F" w:rsidRPr="00121A6A">
        <w:rPr>
          <w:sz w:val="24"/>
          <w:szCs w:val="24"/>
        </w:rPr>
        <w:t>toetsing.</w:t>
      </w:r>
    </w:p>
    <w:p w14:paraId="337D5A86" w14:textId="3878008F" w:rsidR="00F22637" w:rsidRPr="00121A6A" w:rsidRDefault="00B85154" w:rsidP="00077375">
      <w:pPr>
        <w:spacing w:after="0"/>
        <w:ind w:firstLine="708"/>
        <w:jc w:val="both"/>
        <w:rPr>
          <w:sz w:val="24"/>
          <w:szCs w:val="24"/>
        </w:rPr>
      </w:pPr>
      <w:r w:rsidRPr="00121A6A">
        <w:rPr>
          <w:sz w:val="24"/>
          <w:szCs w:val="24"/>
        </w:rPr>
        <w:t>Tot slot</w:t>
      </w:r>
      <w:r w:rsidR="00F22637" w:rsidRPr="00121A6A">
        <w:rPr>
          <w:sz w:val="24"/>
          <w:szCs w:val="24"/>
        </w:rPr>
        <w:t xml:space="preserve"> zijn </w:t>
      </w:r>
      <w:r w:rsidR="007415BA" w:rsidRPr="00121A6A">
        <w:rPr>
          <w:sz w:val="24"/>
          <w:szCs w:val="24"/>
        </w:rPr>
        <w:t>overigens</w:t>
      </w:r>
      <w:r w:rsidR="00BA5F36" w:rsidRPr="00121A6A">
        <w:rPr>
          <w:sz w:val="24"/>
          <w:szCs w:val="24"/>
        </w:rPr>
        <w:t xml:space="preserve"> </w:t>
      </w:r>
      <w:r w:rsidR="00FA6164" w:rsidRPr="00121A6A">
        <w:rPr>
          <w:sz w:val="24"/>
          <w:szCs w:val="24"/>
        </w:rPr>
        <w:t xml:space="preserve">sterke </w:t>
      </w:r>
      <w:r w:rsidR="00F22637" w:rsidRPr="00121A6A">
        <w:rPr>
          <w:sz w:val="24"/>
          <w:szCs w:val="24"/>
        </w:rPr>
        <w:t>indicaties</w:t>
      </w:r>
      <w:r w:rsidR="00C94EDC" w:rsidRPr="00121A6A">
        <w:rPr>
          <w:sz w:val="24"/>
          <w:szCs w:val="24"/>
        </w:rPr>
        <w:t xml:space="preserve"> dat artikel 1 lid 1bis niet </w:t>
      </w:r>
      <w:r w:rsidR="003B777A" w:rsidRPr="00121A6A">
        <w:rPr>
          <w:sz w:val="24"/>
          <w:szCs w:val="24"/>
        </w:rPr>
        <w:t>leidt tot (meer) discreti</w:t>
      </w:r>
      <w:r w:rsidR="009E3CB0">
        <w:rPr>
          <w:sz w:val="24"/>
          <w:szCs w:val="24"/>
        </w:rPr>
        <w:t xml:space="preserve">onaire ruimte </w:t>
      </w:r>
      <w:r w:rsidR="003B777A" w:rsidRPr="00121A6A">
        <w:rPr>
          <w:sz w:val="24"/>
          <w:szCs w:val="24"/>
        </w:rPr>
        <w:t>voor nationale lidstaten</w:t>
      </w:r>
      <w:r w:rsidR="00C94EDC" w:rsidRPr="00121A6A">
        <w:rPr>
          <w:sz w:val="24"/>
          <w:szCs w:val="24"/>
        </w:rPr>
        <w:t xml:space="preserve">. </w:t>
      </w:r>
      <w:r w:rsidR="00B624CD" w:rsidRPr="00121A6A">
        <w:rPr>
          <w:sz w:val="24"/>
          <w:szCs w:val="24"/>
        </w:rPr>
        <w:t>Zo heeft het Hof zich in</w:t>
      </w:r>
      <w:r w:rsidR="001C5315" w:rsidRPr="00121A6A">
        <w:rPr>
          <w:sz w:val="24"/>
          <w:szCs w:val="24"/>
        </w:rPr>
        <w:t xml:space="preserve"> het </w:t>
      </w:r>
      <w:r w:rsidR="008C28AA" w:rsidRPr="00121A6A">
        <w:rPr>
          <w:i/>
          <w:iCs/>
          <w:sz w:val="24"/>
          <w:szCs w:val="24"/>
        </w:rPr>
        <w:t>Hongarije</w:t>
      </w:r>
      <w:r w:rsidR="008C28AA">
        <w:rPr>
          <w:sz w:val="24"/>
          <w:szCs w:val="24"/>
        </w:rPr>
        <w:t>-</w:t>
      </w:r>
      <w:r w:rsidR="001C5315" w:rsidRPr="00121A6A">
        <w:rPr>
          <w:sz w:val="24"/>
          <w:szCs w:val="24"/>
        </w:rPr>
        <w:t>arrest</w:t>
      </w:r>
      <w:r w:rsidR="008C28AA">
        <w:rPr>
          <w:sz w:val="24"/>
          <w:szCs w:val="24"/>
        </w:rPr>
        <w:t xml:space="preserve"> </w:t>
      </w:r>
      <w:r w:rsidR="00B624CD" w:rsidRPr="00121A6A">
        <w:rPr>
          <w:sz w:val="24"/>
          <w:szCs w:val="24"/>
        </w:rPr>
        <w:t xml:space="preserve">uitgelaten over de juridische betekenis van </w:t>
      </w:r>
      <w:r w:rsidR="00E12850" w:rsidRPr="00121A6A">
        <w:rPr>
          <w:sz w:val="24"/>
          <w:szCs w:val="24"/>
        </w:rPr>
        <w:t>het</w:t>
      </w:r>
      <w:r w:rsidR="00B624CD" w:rsidRPr="00121A6A">
        <w:rPr>
          <w:sz w:val="24"/>
          <w:szCs w:val="24"/>
        </w:rPr>
        <w:t xml:space="preserve"> artikel.</w:t>
      </w:r>
      <w:r w:rsidR="00897EDF" w:rsidRPr="00121A6A">
        <w:rPr>
          <w:rStyle w:val="FootnoteReference"/>
          <w:sz w:val="24"/>
          <w:szCs w:val="24"/>
        </w:rPr>
        <w:footnoteReference w:id="70"/>
      </w:r>
      <w:r w:rsidR="00F22637" w:rsidRPr="00121A6A">
        <w:rPr>
          <w:sz w:val="24"/>
          <w:szCs w:val="24"/>
        </w:rPr>
        <w:t xml:space="preserve"> </w:t>
      </w:r>
      <w:r w:rsidR="001C5315" w:rsidRPr="00121A6A">
        <w:rPr>
          <w:sz w:val="24"/>
          <w:szCs w:val="24"/>
        </w:rPr>
        <w:t xml:space="preserve">In deze zaak stelde </w:t>
      </w:r>
      <w:r w:rsidR="00F22637" w:rsidRPr="00121A6A">
        <w:rPr>
          <w:sz w:val="24"/>
          <w:szCs w:val="24"/>
        </w:rPr>
        <w:t xml:space="preserve">Hongarije </w:t>
      </w:r>
      <w:r w:rsidR="001C5315" w:rsidRPr="00121A6A">
        <w:rPr>
          <w:sz w:val="24"/>
          <w:szCs w:val="24"/>
        </w:rPr>
        <w:t>dat</w:t>
      </w:r>
      <w:r w:rsidR="00F22637" w:rsidRPr="00121A6A">
        <w:rPr>
          <w:sz w:val="24"/>
          <w:szCs w:val="24"/>
        </w:rPr>
        <w:t xml:space="preserve"> artikel 1 lid 1bis strijdig is met artikel 56 VwEU. Volgens het Hof heeft </w:t>
      </w:r>
      <w:r w:rsidR="009E3CB0">
        <w:rPr>
          <w:sz w:val="24"/>
          <w:szCs w:val="24"/>
        </w:rPr>
        <w:t>artikel 1 lid 1bis</w:t>
      </w:r>
      <w:r w:rsidR="00F22637" w:rsidRPr="00121A6A">
        <w:rPr>
          <w:sz w:val="24"/>
          <w:szCs w:val="24"/>
        </w:rPr>
        <w:t xml:space="preserve"> echter </w:t>
      </w:r>
      <w:r w:rsidR="00F22637" w:rsidRPr="001D6C22">
        <w:rPr>
          <w:sz w:val="24"/>
          <w:szCs w:val="24"/>
        </w:rPr>
        <w:t xml:space="preserve">volstrekt niet tot gevolg dat het stakingsrecht wordt uitgesloten van de werkingssfeer van </w:t>
      </w:r>
      <w:r w:rsidR="001D6C22">
        <w:rPr>
          <w:sz w:val="24"/>
          <w:szCs w:val="24"/>
        </w:rPr>
        <w:t xml:space="preserve">het </w:t>
      </w:r>
      <w:r w:rsidR="00F22637" w:rsidRPr="001D6C22">
        <w:rPr>
          <w:sz w:val="24"/>
          <w:szCs w:val="24"/>
        </w:rPr>
        <w:t>Unierecht</w:t>
      </w:r>
      <w:r w:rsidR="002F117B" w:rsidRPr="001D6C22">
        <w:rPr>
          <w:sz w:val="24"/>
          <w:szCs w:val="24"/>
        </w:rPr>
        <w:t>,</w:t>
      </w:r>
      <w:r w:rsidR="002F117B" w:rsidRPr="00121A6A">
        <w:rPr>
          <w:i/>
          <w:iCs/>
          <w:sz w:val="24"/>
          <w:szCs w:val="24"/>
        </w:rPr>
        <w:t xml:space="preserve"> </w:t>
      </w:r>
      <w:r w:rsidR="001D6C22">
        <w:rPr>
          <w:sz w:val="24"/>
          <w:szCs w:val="24"/>
        </w:rPr>
        <w:t>‘</w:t>
      </w:r>
      <w:r w:rsidR="00F22637" w:rsidRPr="001D6C22">
        <w:rPr>
          <w:i/>
          <w:iCs/>
          <w:sz w:val="24"/>
          <w:szCs w:val="24"/>
        </w:rPr>
        <w:t>zoals dat wordt uitgelegd door het Hof</w:t>
      </w:r>
      <w:r w:rsidR="008C28AA">
        <w:rPr>
          <w:i/>
          <w:iCs/>
          <w:sz w:val="24"/>
          <w:szCs w:val="24"/>
        </w:rPr>
        <w:t>.</w:t>
      </w:r>
      <w:r w:rsidRPr="00121A6A">
        <w:rPr>
          <w:sz w:val="24"/>
          <w:szCs w:val="24"/>
        </w:rPr>
        <w:t>’</w:t>
      </w:r>
      <w:r w:rsidR="00F22637" w:rsidRPr="00121A6A">
        <w:rPr>
          <w:sz w:val="24"/>
          <w:szCs w:val="24"/>
        </w:rPr>
        <w:t xml:space="preserve"> Met deze principiële overweging laat het Hof in ieder geval zien dat artikel 1 lid 1bis</w:t>
      </w:r>
      <w:r w:rsidR="00BB60D8" w:rsidRPr="00121A6A">
        <w:rPr>
          <w:sz w:val="24"/>
          <w:szCs w:val="24"/>
        </w:rPr>
        <w:t>,</w:t>
      </w:r>
      <w:r w:rsidR="00F22637" w:rsidRPr="00121A6A">
        <w:rPr>
          <w:sz w:val="24"/>
          <w:szCs w:val="24"/>
        </w:rPr>
        <w:t xml:space="preserve"> net als artikel 2 Monti I</w:t>
      </w:r>
      <w:r w:rsidR="00BB60D8" w:rsidRPr="00121A6A">
        <w:rPr>
          <w:sz w:val="24"/>
          <w:szCs w:val="24"/>
        </w:rPr>
        <w:t xml:space="preserve">, </w:t>
      </w:r>
      <w:r w:rsidR="00F274CD" w:rsidRPr="00121A6A">
        <w:rPr>
          <w:sz w:val="24"/>
          <w:szCs w:val="24"/>
        </w:rPr>
        <w:t xml:space="preserve">het stakingsrecht </w:t>
      </w:r>
      <w:r w:rsidR="006215CA" w:rsidRPr="00121A6A">
        <w:rPr>
          <w:sz w:val="24"/>
          <w:szCs w:val="24"/>
        </w:rPr>
        <w:t>niet ‘immuniseert’ tegen</w:t>
      </w:r>
      <w:r w:rsidR="00F22637" w:rsidRPr="00121A6A">
        <w:rPr>
          <w:sz w:val="24"/>
          <w:szCs w:val="24"/>
        </w:rPr>
        <w:t xml:space="preserve"> de </w:t>
      </w:r>
      <w:r w:rsidR="006215CA" w:rsidRPr="00121A6A">
        <w:rPr>
          <w:sz w:val="24"/>
          <w:szCs w:val="24"/>
        </w:rPr>
        <w:t xml:space="preserve">werking </w:t>
      </w:r>
      <w:r w:rsidR="00F22637" w:rsidRPr="00121A6A">
        <w:rPr>
          <w:sz w:val="24"/>
          <w:szCs w:val="24"/>
        </w:rPr>
        <w:t xml:space="preserve">van marktvrijheden. Bovendien behoudt het Hof zich volledig de bevoegdheid voor om de proportionaliteitstoets dwingend in te vullen. </w:t>
      </w:r>
      <w:r w:rsidR="00F908B1" w:rsidRPr="00121A6A">
        <w:rPr>
          <w:sz w:val="24"/>
          <w:szCs w:val="24"/>
        </w:rPr>
        <w:t xml:space="preserve">Laagland </w:t>
      </w:r>
      <w:r w:rsidR="008A67E9" w:rsidRPr="00121A6A">
        <w:rPr>
          <w:sz w:val="24"/>
          <w:szCs w:val="24"/>
        </w:rPr>
        <w:t xml:space="preserve">stelt </w:t>
      </w:r>
      <w:r w:rsidR="002F117B" w:rsidRPr="00121A6A">
        <w:rPr>
          <w:sz w:val="24"/>
          <w:szCs w:val="24"/>
        </w:rPr>
        <w:t>met</w:t>
      </w:r>
      <w:r w:rsidR="008A67E9" w:rsidRPr="00121A6A">
        <w:rPr>
          <w:sz w:val="24"/>
          <w:szCs w:val="24"/>
        </w:rPr>
        <w:t xml:space="preserve"> andere argumenten </w:t>
      </w:r>
      <w:r w:rsidR="00F908B1" w:rsidRPr="00121A6A">
        <w:rPr>
          <w:sz w:val="24"/>
          <w:szCs w:val="24"/>
        </w:rPr>
        <w:t>dat het maar zeer de vraag is of het Hof zich door artikel 1 lid 1bis zal laten beïnvloeden.</w:t>
      </w:r>
      <w:r w:rsidR="00F908B1" w:rsidRPr="00121A6A">
        <w:rPr>
          <w:rStyle w:val="FootnoteReference"/>
          <w:sz w:val="24"/>
          <w:szCs w:val="24"/>
        </w:rPr>
        <w:footnoteReference w:id="71"/>
      </w:r>
      <w:r w:rsidR="008A67E9" w:rsidRPr="00121A6A">
        <w:rPr>
          <w:sz w:val="24"/>
          <w:szCs w:val="24"/>
        </w:rPr>
        <w:t xml:space="preserve"> </w:t>
      </w:r>
      <w:proofErr w:type="spellStart"/>
      <w:r w:rsidR="0025229B" w:rsidRPr="00121A6A">
        <w:rPr>
          <w:sz w:val="24"/>
          <w:szCs w:val="24"/>
        </w:rPr>
        <w:t>Dorssemont</w:t>
      </w:r>
      <w:proofErr w:type="spellEnd"/>
      <w:r w:rsidR="0025229B" w:rsidRPr="00121A6A">
        <w:rPr>
          <w:sz w:val="24"/>
          <w:szCs w:val="24"/>
        </w:rPr>
        <w:t xml:space="preserve"> </w:t>
      </w:r>
      <w:r w:rsidR="00AE2AE7" w:rsidRPr="00121A6A">
        <w:rPr>
          <w:sz w:val="24"/>
          <w:szCs w:val="24"/>
        </w:rPr>
        <w:t xml:space="preserve">en Graver </w:t>
      </w:r>
      <w:r w:rsidR="00897049" w:rsidRPr="00121A6A">
        <w:rPr>
          <w:sz w:val="24"/>
          <w:szCs w:val="24"/>
        </w:rPr>
        <w:t>zijn eveneens sceptisch</w:t>
      </w:r>
      <w:r w:rsidR="0025229B" w:rsidRPr="00121A6A">
        <w:rPr>
          <w:sz w:val="24"/>
          <w:szCs w:val="24"/>
        </w:rPr>
        <w:t>.</w:t>
      </w:r>
      <w:r w:rsidR="0025229B" w:rsidRPr="00121A6A">
        <w:rPr>
          <w:rStyle w:val="FootnoteReference"/>
          <w:sz w:val="24"/>
          <w:szCs w:val="24"/>
        </w:rPr>
        <w:footnoteReference w:id="72"/>
      </w:r>
      <w:r w:rsidR="0025229B" w:rsidRPr="00121A6A">
        <w:rPr>
          <w:sz w:val="24"/>
          <w:szCs w:val="24"/>
        </w:rPr>
        <w:t xml:space="preserve"> </w:t>
      </w:r>
      <w:r w:rsidR="00AC3B76" w:rsidRPr="00121A6A">
        <w:rPr>
          <w:sz w:val="24"/>
          <w:szCs w:val="24"/>
        </w:rPr>
        <w:t xml:space="preserve">De conclusie </w:t>
      </w:r>
      <w:r w:rsidR="00E12850" w:rsidRPr="00121A6A">
        <w:rPr>
          <w:sz w:val="24"/>
          <w:szCs w:val="24"/>
        </w:rPr>
        <w:t>luidt</w:t>
      </w:r>
      <w:r w:rsidR="008C37E5" w:rsidRPr="00121A6A">
        <w:rPr>
          <w:sz w:val="24"/>
          <w:szCs w:val="24"/>
        </w:rPr>
        <w:t xml:space="preserve"> mijns inziens</w:t>
      </w:r>
      <w:r w:rsidR="00AC3B76" w:rsidRPr="00121A6A">
        <w:rPr>
          <w:sz w:val="24"/>
          <w:szCs w:val="24"/>
        </w:rPr>
        <w:t xml:space="preserve"> dat</w:t>
      </w:r>
      <w:r w:rsidR="005D29B9" w:rsidRPr="00121A6A">
        <w:rPr>
          <w:sz w:val="24"/>
          <w:szCs w:val="24"/>
        </w:rPr>
        <w:t xml:space="preserve"> </w:t>
      </w:r>
      <w:r w:rsidR="00DA5860" w:rsidRPr="00121A6A">
        <w:rPr>
          <w:sz w:val="24"/>
          <w:szCs w:val="24"/>
        </w:rPr>
        <w:t>artikel 1 lid 1bis</w:t>
      </w:r>
      <w:r w:rsidR="005D29B9" w:rsidRPr="00121A6A">
        <w:rPr>
          <w:sz w:val="24"/>
          <w:szCs w:val="24"/>
        </w:rPr>
        <w:t xml:space="preserve"> </w:t>
      </w:r>
      <w:r w:rsidR="007503EA" w:rsidRPr="00121A6A">
        <w:rPr>
          <w:sz w:val="24"/>
          <w:szCs w:val="24"/>
        </w:rPr>
        <w:t xml:space="preserve">geen wijziging heeft gebracht in </w:t>
      </w:r>
      <w:r w:rsidR="005D29B9" w:rsidRPr="00121A6A">
        <w:rPr>
          <w:sz w:val="24"/>
          <w:szCs w:val="24"/>
        </w:rPr>
        <w:t xml:space="preserve">het </w:t>
      </w:r>
      <w:r w:rsidR="00C83663" w:rsidRPr="00121A6A">
        <w:rPr>
          <w:i/>
          <w:iCs/>
          <w:sz w:val="24"/>
          <w:szCs w:val="24"/>
        </w:rPr>
        <w:t>Laval</w:t>
      </w:r>
      <w:r w:rsidR="00C83663" w:rsidRPr="00121A6A">
        <w:rPr>
          <w:sz w:val="24"/>
          <w:szCs w:val="24"/>
        </w:rPr>
        <w:t>-</w:t>
      </w:r>
      <w:r w:rsidR="005D29B9" w:rsidRPr="00121A6A">
        <w:rPr>
          <w:sz w:val="24"/>
          <w:szCs w:val="24"/>
        </w:rPr>
        <w:t>toetsingskader</w:t>
      </w:r>
      <w:r w:rsidR="008C37E5" w:rsidRPr="00121A6A">
        <w:rPr>
          <w:sz w:val="24"/>
          <w:szCs w:val="24"/>
        </w:rPr>
        <w:t>.</w:t>
      </w:r>
    </w:p>
    <w:p w14:paraId="3F1FCBF8" w14:textId="77777777" w:rsidR="002D7928" w:rsidRPr="00121A6A" w:rsidRDefault="002D7928" w:rsidP="00077375">
      <w:pPr>
        <w:spacing w:after="0"/>
        <w:ind w:firstLine="708"/>
        <w:jc w:val="both"/>
        <w:rPr>
          <w:sz w:val="24"/>
          <w:szCs w:val="24"/>
        </w:rPr>
      </w:pPr>
    </w:p>
    <w:p w14:paraId="4D58C36D" w14:textId="77777777" w:rsidR="00C15049" w:rsidRPr="00121A6A" w:rsidRDefault="00C15049" w:rsidP="00C15049">
      <w:pPr>
        <w:pStyle w:val="Heading2"/>
        <w:rPr>
          <w:sz w:val="24"/>
          <w:szCs w:val="24"/>
        </w:rPr>
      </w:pPr>
      <w:bookmarkStart w:id="33" w:name="_Toc169963053"/>
      <w:r w:rsidRPr="00121A6A">
        <w:rPr>
          <w:sz w:val="24"/>
          <w:szCs w:val="24"/>
        </w:rPr>
        <w:lastRenderedPageBreak/>
        <w:t>2.4 Rechtspraak na Viking en Laval</w:t>
      </w:r>
      <w:bookmarkEnd w:id="33"/>
    </w:p>
    <w:p w14:paraId="585169D5" w14:textId="12F986D3" w:rsidR="00AA7580" w:rsidRPr="00121A6A" w:rsidRDefault="001D6C22" w:rsidP="00723B1A">
      <w:pPr>
        <w:spacing w:after="0"/>
        <w:jc w:val="both"/>
        <w:rPr>
          <w:sz w:val="24"/>
          <w:szCs w:val="24"/>
        </w:rPr>
      </w:pPr>
      <w:r>
        <w:rPr>
          <w:sz w:val="24"/>
          <w:szCs w:val="24"/>
        </w:rPr>
        <w:t>D</w:t>
      </w:r>
      <w:r w:rsidR="00681F93" w:rsidRPr="00121A6A">
        <w:rPr>
          <w:sz w:val="24"/>
          <w:szCs w:val="24"/>
        </w:rPr>
        <w:t>iverse</w:t>
      </w:r>
      <w:r w:rsidR="00A72D27" w:rsidRPr="00121A6A">
        <w:rPr>
          <w:sz w:val="24"/>
          <w:szCs w:val="24"/>
        </w:rPr>
        <w:t xml:space="preserve"> wetgevingsinitiatieven</w:t>
      </w:r>
      <w:r w:rsidR="00681F93" w:rsidRPr="00121A6A">
        <w:rPr>
          <w:sz w:val="24"/>
          <w:szCs w:val="24"/>
        </w:rPr>
        <w:t xml:space="preserve"> </w:t>
      </w:r>
      <w:r>
        <w:rPr>
          <w:sz w:val="24"/>
          <w:szCs w:val="24"/>
        </w:rPr>
        <w:t xml:space="preserve">hadden dus </w:t>
      </w:r>
      <w:r w:rsidR="00A72D27" w:rsidRPr="00121A6A">
        <w:rPr>
          <w:sz w:val="24"/>
          <w:szCs w:val="24"/>
        </w:rPr>
        <w:t xml:space="preserve">weliswaar potentie om het toetsingskader </w:t>
      </w:r>
      <w:r w:rsidR="00736A11" w:rsidRPr="00121A6A">
        <w:rPr>
          <w:sz w:val="24"/>
          <w:szCs w:val="24"/>
        </w:rPr>
        <w:t xml:space="preserve">uit </w:t>
      </w:r>
      <w:r w:rsidR="00736A11" w:rsidRPr="00121A6A">
        <w:rPr>
          <w:i/>
          <w:iCs/>
          <w:sz w:val="24"/>
          <w:szCs w:val="24"/>
        </w:rPr>
        <w:t xml:space="preserve">Viking </w:t>
      </w:r>
      <w:r w:rsidR="00736A11" w:rsidRPr="00121A6A">
        <w:rPr>
          <w:sz w:val="24"/>
          <w:szCs w:val="24"/>
        </w:rPr>
        <w:t xml:space="preserve">en </w:t>
      </w:r>
      <w:r w:rsidR="00736A11" w:rsidRPr="00121A6A">
        <w:rPr>
          <w:i/>
          <w:iCs/>
          <w:sz w:val="24"/>
          <w:szCs w:val="24"/>
        </w:rPr>
        <w:t>Laval</w:t>
      </w:r>
      <w:r w:rsidR="00A72D27" w:rsidRPr="00121A6A">
        <w:rPr>
          <w:sz w:val="24"/>
          <w:szCs w:val="24"/>
        </w:rPr>
        <w:t xml:space="preserve"> te beïnvloeden, maar </w:t>
      </w:r>
      <w:r>
        <w:rPr>
          <w:sz w:val="24"/>
          <w:szCs w:val="24"/>
        </w:rPr>
        <w:t xml:space="preserve">zij hebben </w:t>
      </w:r>
      <w:r w:rsidR="00A72D27" w:rsidRPr="00121A6A">
        <w:rPr>
          <w:sz w:val="24"/>
          <w:szCs w:val="24"/>
        </w:rPr>
        <w:t xml:space="preserve">dit </w:t>
      </w:r>
      <w:r w:rsidR="00882E18" w:rsidRPr="00121A6A">
        <w:rPr>
          <w:sz w:val="24"/>
          <w:szCs w:val="24"/>
        </w:rPr>
        <w:t xml:space="preserve">waarschijnlijk </w:t>
      </w:r>
      <w:r w:rsidR="00A72D27" w:rsidRPr="00121A6A">
        <w:rPr>
          <w:sz w:val="24"/>
          <w:szCs w:val="24"/>
        </w:rPr>
        <w:t xml:space="preserve">geen van allen daadwerkelijk gedaan. </w:t>
      </w:r>
      <w:r w:rsidR="00653989" w:rsidRPr="00121A6A">
        <w:rPr>
          <w:sz w:val="24"/>
          <w:szCs w:val="24"/>
        </w:rPr>
        <w:t>Daarom is het nu</w:t>
      </w:r>
      <w:r w:rsidR="00A72D27" w:rsidRPr="00121A6A">
        <w:rPr>
          <w:sz w:val="24"/>
          <w:szCs w:val="24"/>
        </w:rPr>
        <w:t xml:space="preserve"> tijd om na te gaan of in later gewezen rechtspraak van het Hof</w:t>
      </w:r>
      <w:r w:rsidR="00E65C58" w:rsidRPr="00121A6A">
        <w:rPr>
          <w:sz w:val="24"/>
          <w:szCs w:val="24"/>
        </w:rPr>
        <w:t xml:space="preserve"> </w:t>
      </w:r>
      <w:r w:rsidR="00A72D27" w:rsidRPr="00121A6A">
        <w:rPr>
          <w:sz w:val="24"/>
          <w:szCs w:val="24"/>
        </w:rPr>
        <w:t>w</w:t>
      </w:r>
      <w:r w:rsidR="002D4527" w:rsidRPr="00121A6A">
        <w:rPr>
          <w:sz w:val="24"/>
          <w:szCs w:val="24"/>
        </w:rPr>
        <w:t xml:space="preserve">ellicht </w:t>
      </w:r>
      <w:r w:rsidR="00A72D27" w:rsidRPr="00121A6A">
        <w:rPr>
          <w:sz w:val="24"/>
          <w:szCs w:val="24"/>
        </w:rPr>
        <w:t xml:space="preserve">aanwijzingen </w:t>
      </w:r>
      <w:r w:rsidR="003F3F2D" w:rsidRPr="00121A6A">
        <w:rPr>
          <w:sz w:val="24"/>
          <w:szCs w:val="24"/>
        </w:rPr>
        <w:t>te vinden zijn</w:t>
      </w:r>
      <w:r w:rsidR="00A72D27" w:rsidRPr="00121A6A">
        <w:rPr>
          <w:sz w:val="24"/>
          <w:szCs w:val="24"/>
        </w:rPr>
        <w:t xml:space="preserve"> </w:t>
      </w:r>
      <w:r w:rsidR="002D4527" w:rsidRPr="00121A6A">
        <w:rPr>
          <w:sz w:val="24"/>
          <w:szCs w:val="24"/>
        </w:rPr>
        <w:t xml:space="preserve">voor </w:t>
      </w:r>
      <w:r w:rsidR="005859AF" w:rsidRPr="00121A6A">
        <w:rPr>
          <w:sz w:val="24"/>
          <w:szCs w:val="24"/>
        </w:rPr>
        <w:t>een</w:t>
      </w:r>
      <w:r w:rsidR="005B711D" w:rsidRPr="00121A6A">
        <w:rPr>
          <w:sz w:val="24"/>
          <w:szCs w:val="24"/>
        </w:rPr>
        <w:t xml:space="preserve"> ‘sociale</w:t>
      </w:r>
      <w:r w:rsidR="003F3F2D" w:rsidRPr="00121A6A">
        <w:rPr>
          <w:sz w:val="24"/>
          <w:szCs w:val="24"/>
        </w:rPr>
        <w:t>(</w:t>
      </w:r>
      <w:r w:rsidR="005B711D" w:rsidRPr="00121A6A">
        <w:rPr>
          <w:sz w:val="24"/>
          <w:szCs w:val="24"/>
        </w:rPr>
        <w:t>re</w:t>
      </w:r>
      <w:r w:rsidR="003F3F2D" w:rsidRPr="00121A6A">
        <w:rPr>
          <w:sz w:val="24"/>
          <w:szCs w:val="24"/>
        </w:rPr>
        <w:t>)</w:t>
      </w:r>
      <w:r w:rsidR="008865EF">
        <w:rPr>
          <w:sz w:val="24"/>
          <w:szCs w:val="24"/>
        </w:rPr>
        <w:t>’</w:t>
      </w:r>
      <w:r w:rsidR="00A3664E" w:rsidRPr="00121A6A">
        <w:rPr>
          <w:sz w:val="24"/>
          <w:szCs w:val="24"/>
        </w:rPr>
        <w:t xml:space="preserve"> benadering.</w:t>
      </w:r>
    </w:p>
    <w:p w14:paraId="2C43AE6C" w14:textId="77777777" w:rsidR="00BF3F29" w:rsidRPr="00121A6A" w:rsidRDefault="00BF3F29" w:rsidP="00723B1A">
      <w:pPr>
        <w:spacing w:after="0"/>
        <w:jc w:val="both"/>
        <w:rPr>
          <w:sz w:val="24"/>
          <w:szCs w:val="24"/>
        </w:rPr>
      </w:pPr>
    </w:p>
    <w:p w14:paraId="75784DCA" w14:textId="2D98E4C9" w:rsidR="00BF3F29" w:rsidRPr="00121A6A" w:rsidRDefault="008C5C2D" w:rsidP="00D33B14">
      <w:pPr>
        <w:pStyle w:val="Heading3"/>
        <w:jc w:val="both"/>
        <w:rPr>
          <w:sz w:val="24"/>
          <w:szCs w:val="24"/>
        </w:rPr>
      </w:pPr>
      <w:bookmarkStart w:id="34" w:name="_Toc169963054"/>
      <w:r w:rsidRPr="00121A6A">
        <w:rPr>
          <w:sz w:val="24"/>
          <w:szCs w:val="24"/>
        </w:rPr>
        <w:t>Minder juridisch activisme</w:t>
      </w:r>
      <w:bookmarkEnd w:id="34"/>
    </w:p>
    <w:p w14:paraId="24F1768A" w14:textId="0E7A8252" w:rsidR="00544F4A" w:rsidRPr="00121A6A" w:rsidRDefault="00E22D51" w:rsidP="00544F4A">
      <w:pPr>
        <w:spacing w:after="0"/>
        <w:jc w:val="both"/>
        <w:rPr>
          <w:sz w:val="24"/>
          <w:szCs w:val="24"/>
        </w:rPr>
      </w:pPr>
      <w:r w:rsidRPr="00121A6A">
        <w:rPr>
          <w:sz w:val="24"/>
          <w:szCs w:val="24"/>
        </w:rPr>
        <w:t xml:space="preserve">Volgens </w:t>
      </w:r>
      <w:proofErr w:type="spellStart"/>
      <w:r w:rsidRPr="00121A6A">
        <w:rPr>
          <w:sz w:val="24"/>
          <w:szCs w:val="24"/>
        </w:rPr>
        <w:t>Pecinovsky</w:t>
      </w:r>
      <w:proofErr w:type="spellEnd"/>
      <w:r w:rsidRPr="00121A6A">
        <w:rPr>
          <w:sz w:val="24"/>
          <w:szCs w:val="24"/>
        </w:rPr>
        <w:t xml:space="preserve"> vormen</w:t>
      </w:r>
      <w:r w:rsidR="00CB366E" w:rsidRPr="00121A6A">
        <w:rPr>
          <w:sz w:val="24"/>
          <w:szCs w:val="24"/>
        </w:rPr>
        <w:t xml:space="preserve"> de arresten</w:t>
      </w:r>
      <w:r w:rsidRPr="00121A6A">
        <w:rPr>
          <w:sz w:val="24"/>
          <w:szCs w:val="24"/>
        </w:rPr>
        <w:t xml:space="preserve"> </w:t>
      </w:r>
      <w:r w:rsidRPr="00121A6A">
        <w:rPr>
          <w:i/>
          <w:iCs/>
          <w:sz w:val="24"/>
          <w:szCs w:val="24"/>
        </w:rPr>
        <w:t xml:space="preserve">ESA </w:t>
      </w:r>
      <w:r w:rsidRPr="00121A6A">
        <w:rPr>
          <w:sz w:val="24"/>
          <w:szCs w:val="24"/>
        </w:rPr>
        <w:t xml:space="preserve">en </w:t>
      </w:r>
      <w:proofErr w:type="spellStart"/>
      <w:r w:rsidRPr="00121A6A">
        <w:rPr>
          <w:i/>
          <w:iCs/>
          <w:sz w:val="24"/>
          <w:szCs w:val="24"/>
        </w:rPr>
        <w:t>Regio</w:t>
      </w:r>
      <w:r w:rsidR="00123A83" w:rsidRPr="00121A6A">
        <w:rPr>
          <w:i/>
          <w:iCs/>
          <w:sz w:val="24"/>
          <w:szCs w:val="24"/>
        </w:rPr>
        <w:t>P</w:t>
      </w:r>
      <w:r w:rsidRPr="00121A6A">
        <w:rPr>
          <w:i/>
          <w:iCs/>
          <w:sz w:val="24"/>
          <w:szCs w:val="24"/>
        </w:rPr>
        <w:t>ost</w:t>
      </w:r>
      <w:proofErr w:type="spellEnd"/>
      <w:r w:rsidRPr="00121A6A">
        <w:rPr>
          <w:i/>
          <w:iCs/>
          <w:sz w:val="24"/>
          <w:szCs w:val="24"/>
        </w:rPr>
        <w:t xml:space="preserve"> </w:t>
      </w:r>
      <w:r w:rsidR="00E67CF7" w:rsidRPr="00121A6A">
        <w:rPr>
          <w:sz w:val="24"/>
          <w:szCs w:val="24"/>
        </w:rPr>
        <w:t xml:space="preserve">mogelijk </w:t>
      </w:r>
      <w:r w:rsidRPr="00121A6A">
        <w:rPr>
          <w:sz w:val="24"/>
          <w:szCs w:val="24"/>
        </w:rPr>
        <w:t xml:space="preserve">een subtiele </w:t>
      </w:r>
      <w:r w:rsidR="00B25FC1" w:rsidRPr="00121A6A">
        <w:rPr>
          <w:sz w:val="24"/>
          <w:szCs w:val="24"/>
        </w:rPr>
        <w:t>(r)</w:t>
      </w:r>
      <w:r w:rsidRPr="00121A6A">
        <w:rPr>
          <w:sz w:val="24"/>
          <w:szCs w:val="24"/>
        </w:rPr>
        <w:t>evolutie in de redenering van het Hof</w:t>
      </w:r>
      <w:r w:rsidR="0012351D" w:rsidRPr="00121A6A">
        <w:rPr>
          <w:sz w:val="24"/>
          <w:szCs w:val="24"/>
        </w:rPr>
        <w:t>.</w:t>
      </w:r>
      <w:r w:rsidR="00BC3C1A" w:rsidRPr="00121A6A">
        <w:rPr>
          <w:rStyle w:val="FootnoteReference"/>
          <w:sz w:val="24"/>
          <w:szCs w:val="24"/>
        </w:rPr>
        <w:footnoteReference w:id="73"/>
      </w:r>
      <w:r w:rsidR="00BC3C1A" w:rsidRPr="00121A6A">
        <w:rPr>
          <w:sz w:val="24"/>
          <w:szCs w:val="24"/>
        </w:rPr>
        <w:t xml:space="preserve"> </w:t>
      </w:r>
      <w:r w:rsidR="007A7CD6" w:rsidRPr="00121A6A">
        <w:rPr>
          <w:sz w:val="24"/>
          <w:szCs w:val="24"/>
        </w:rPr>
        <w:t>Waar</w:t>
      </w:r>
      <w:r w:rsidR="00CB366E" w:rsidRPr="00121A6A">
        <w:rPr>
          <w:sz w:val="24"/>
          <w:szCs w:val="24"/>
        </w:rPr>
        <w:t xml:space="preserve"> het arrest</w:t>
      </w:r>
      <w:r w:rsidR="007A7CD6" w:rsidRPr="00121A6A">
        <w:rPr>
          <w:sz w:val="24"/>
          <w:szCs w:val="24"/>
        </w:rPr>
        <w:t xml:space="preserve"> </w:t>
      </w:r>
      <w:proofErr w:type="spellStart"/>
      <w:r w:rsidR="007A7CD6" w:rsidRPr="00121A6A">
        <w:rPr>
          <w:i/>
          <w:iCs/>
          <w:sz w:val="24"/>
          <w:szCs w:val="24"/>
        </w:rPr>
        <w:t>Bundesdruckerei</w:t>
      </w:r>
      <w:proofErr w:type="spellEnd"/>
      <w:r w:rsidR="007A7CD6" w:rsidRPr="00121A6A">
        <w:rPr>
          <w:sz w:val="24"/>
          <w:szCs w:val="24"/>
        </w:rPr>
        <w:t xml:space="preserve"> zijns inziens nog kan worden gezien als </w:t>
      </w:r>
      <w:r w:rsidR="00351555" w:rsidRPr="00121A6A">
        <w:rPr>
          <w:sz w:val="24"/>
          <w:szCs w:val="24"/>
        </w:rPr>
        <w:t>in lijn met</w:t>
      </w:r>
      <w:r w:rsidR="007A7CD6" w:rsidRPr="00121A6A">
        <w:rPr>
          <w:sz w:val="24"/>
          <w:szCs w:val="24"/>
        </w:rPr>
        <w:t xml:space="preserve"> </w:t>
      </w:r>
      <w:r w:rsidR="007A7CD6" w:rsidRPr="00121A6A">
        <w:rPr>
          <w:i/>
          <w:iCs/>
          <w:sz w:val="24"/>
          <w:szCs w:val="24"/>
        </w:rPr>
        <w:t>Viking</w:t>
      </w:r>
      <w:r w:rsidR="007A7CD6" w:rsidRPr="00121A6A">
        <w:rPr>
          <w:sz w:val="24"/>
          <w:szCs w:val="24"/>
        </w:rPr>
        <w:t xml:space="preserve"> en </w:t>
      </w:r>
      <w:r w:rsidR="007A7CD6" w:rsidRPr="00121A6A">
        <w:rPr>
          <w:i/>
          <w:iCs/>
          <w:sz w:val="24"/>
          <w:szCs w:val="24"/>
        </w:rPr>
        <w:t>Laval</w:t>
      </w:r>
      <w:r w:rsidR="007A7CD6" w:rsidRPr="00121A6A">
        <w:rPr>
          <w:sz w:val="24"/>
          <w:szCs w:val="24"/>
        </w:rPr>
        <w:t>,</w:t>
      </w:r>
      <w:r w:rsidR="007A7CD6" w:rsidRPr="00121A6A">
        <w:rPr>
          <w:rStyle w:val="FootnoteReference"/>
          <w:sz w:val="24"/>
          <w:szCs w:val="24"/>
        </w:rPr>
        <w:footnoteReference w:id="74"/>
      </w:r>
      <w:r w:rsidR="007A7CD6" w:rsidRPr="00121A6A">
        <w:rPr>
          <w:sz w:val="24"/>
          <w:szCs w:val="24"/>
        </w:rPr>
        <w:t xml:space="preserve"> werd in </w:t>
      </w:r>
      <w:r w:rsidR="007A7CD6" w:rsidRPr="00121A6A">
        <w:rPr>
          <w:i/>
          <w:iCs/>
          <w:sz w:val="24"/>
          <w:szCs w:val="24"/>
        </w:rPr>
        <w:t xml:space="preserve">ESA </w:t>
      </w:r>
      <w:r w:rsidR="007A7CD6" w:rsidRPr="00121A6A">
        <w:rPr>
          <w:sz w:val="24"/>
          <w:szCs w:val="24"/>
        </w:rPr>
        <w:t xml:space="preserve">en </w:t>
      </w:r>
      <w:proofErr w:type="spellStart"/>
      <w:r w:rsidR="007A7CD6" w:rsidRPr="00121A6A">
        <w:rPr>
          <w:i/>
          <w:iCs/>
          <w:sz w:val="24"/>
          <w:szCs w:val="24"/>
        </w:rPr>
        <w:t>Regio</w:t>
      </w:r>
      <w:r w:rsidR="00123A83" w:rsidRPr="00121A6A">
        <w:rPr>
          <w:i/>
          <w:iCs/>
          <w:sz w:val="24"/>
          <w:szCs w:val="24"/>
        </w:rPr>
        <w:t>P</w:t>
      </w:r>
      <w:r w:rsidR="007A7CD6" w:rsidRPr="00121A6A">
        <w:rPr>
          <w:i/>
          <w:iCs/>
          <w:sz w:val="24"/>
          <w:szCs w:val="24"/>
        </w:rPr>
        <w:t>ost</w:t>
      </w:r>
      <w:proofErr w:type="spellEnd"/>
      <w:r w:rsidR="007A7CD6" w:rsidRPr="00121A6A">
        <w:rPr>
          <w:i/>
          <w:iCs/>
          <w:sz w:val="24"/>
          <w:szCs w:val="24"/>
        </w:rPr>
        <w:t xml:space="preserve"> </w:t>
      </w:r>
      <w:r w:rsidR="00E67CF7" w:rsidRPr="00121A6A">
        <w:rPr>
          <w:sz w:val="24"/>
          <w:szCs w:val="24"/>
        </w:rPr>
        <w:t xml:space="preserve">de Detacheringsrichtlijn gebruikt als instrument om sociale beschermingsmaatregelen te rechtvaardigen in plaats van als </w:t>
      </w:r>
      <w:r w:rsidR="00934BA6" w:rsidRPr="00121A6A">
        <w:rPr>
          <w:sz w:val="24"/>
          <w:szCs w:val="24"/>
        </w:rPr>
        <w:t>excuus</w:t>
      </w:r>
      <w:r w:rsidR="00B25FC1" w:rsidRPr="00121A6A">
        <w:rPr>
          <w:sz w:val="24"/>
          <w:szCs w:val="24"/>
        </w:rPr>
        <w:t xml:space="preserve"> om belemmeringen van marktvrijheden tegen te gaan</w:t>
      </w:r>
      <w:r w:rsidR="00E67CF7" w:rsidRPr="00121A6A">
        <w:rPr>
          <w:sz w:val="24"/>
          <w:szCs w:val="24"/>
        </w:rPr>
        <w:t>.</w:t>
      </w:r>
      <w:r w:rsidR="000B4131" w:rsidRPr="00121A6A">
        <w:rPr>
          <w:sz w:val="24"/>
          <w:szCs w:val="24"/>
        </w:rPr>
        <w:t xml:space="preserve"> </w:t>
      </w:r>
      <w:r w:rsidR="007640E8" w:rsidRPr="00121A6A">
        <w:rPr>
          <w:sz w:val="24"/>
          <w:szCs w:val="24"/>
        </w:rPr>
        <w:t>Ofschoon</w:t>
      </w:r>
      <w:r w:rsidR="00B25FC1" w:rsidRPr="00121A6A">
        <w:rPr>
          <w:sz w:val="24"/>
          <w:szCs w:val="24"/>
        </w:rPr>
        <w:t xml:space="preserve"> de uitkomst van deze</w:t>
      </w:r>
      <w:r w:rsidR="008971BC" w:rsidRPr="00121A6A">
        <w:rPr>
          <w:sz w:val="24"/>
          <w:szCs w:val="24"/>
        </w:rPr>
        <w:t xml:space="preserve"> twee</w:t>
      </w:r>
      <w:r w:rsidR="00B25FC1" w:rsidRPr="00121A6A">
        <w:rPr>
          <w:sz w:val="24"/>
          <w:szCs w:val="24"/>
        </w:rPr>
        <w:t xml:space="preserve"> arresten positief uitpakte in het licht van de sociale dimensie van de Unie, zou ik dit toch vooral willen toeschrijven </w:t>
      </w:r>
      <w:r w:rsidR="008971BC" w:rsidRPr="00121A6A">
        <w:rPr>
          <w:sz w:val="24"/>
          <w:szCs w:val="24"/>
        </w:rPr>
        <w:t>aan de specifieke omstandigheden van het geval</w:t>
      </w:r>
      <w:r w:rsidR="009B290D" w:rsidRPr="00121A6A">
        <w:rPr>
          <w:sz w:val="24"/>
          <w:szCs w:val="24"/>
        </w:rPr>
        <w:t xml:space="preserve">. </w:t>
      </w:r>
      <w:bookmarkStart w:id="35" w:name="_Hlk163650879"/>
      <w:r w:rsidR="00D56858" w:rsidRPr="00121A6A">
        <w:rPr>
          <w:sz w:val="24"/>
          <w:szCs w:val="24"/>
        </w:rPr>
        <w:t>In mijn optiek</w:t>
      </w:r>
      <w:r w:rsidR="00185DB5" w:rsidRPr="00121A6A">
        <w:rPr>
          <w:sz w:val="24"/>
          <w:szCs w:val="24"/>
        </w:rPr>
        <w:t xml:space="preserve"> </w:t>
      </w:r>
      <w:r w:rsidR="007310E4" w:rsidRPr="00121A6A">
        <w:rPr>
          <w:sz w:val="24"/>
          <w:szCs w:val="24"/>
        </w:rPr>
        <w:t xml:space="preserve">moet </w:t>
      </w:r>
      <w:r w:rsidR="00683534" w:rsidRPr="00121A6A">
        <w:rPr>
          <w:sz w:val="24"/>
          <w:szCs w:val="24"/>
        </w:rPr>
        <w:t>in beide arresten</w:t>
      </w:r>
      <w:r w:rsidR="008971BC" w:rsidRPr="00121A6A">
        <w:rPr>
          <w:sz w:val="24"/>
          <w:szCs w:val="24"/>
        </w:rPr>
        <w:t xml:space="preserve"> </w:t>
      </w:r>
      <w:r w:rsidR="007310E4" w:rsidRPr="00121A6A">
        <w:rPr>
          <w:sz w:val="24"/>
          <w:szCs w:val="24"/>
        </w:rPr>
        <w:t>niet te veel worden gelezen</w:t>
      </w:r>
      <w:r w:rsidR="008971BC" w:rsidRPr="00121A6A">
        <w:rPr>
          <w:sz w:val="24"/>
          <w:szCs w:val="24"/>
        </w:rPr>
        <w:t xml:space="preserve">; ik </w:t>
      </w:r>
      <w:r w:rsidR="007310E4" w:rsidRPr="00121A6A">
        <w:rPr>
          <w:sz w:val="24"/>
          <w:szCs w:val="24"/>
        </w:rPr>
        <w:t>zie</w:t>
      </w:r>
      <w:r w:rsidR="00B25FC1" w:rsidRPr="00121A6A">
        <w:rPr>
          <w:sz w:val="24"/>
          <w:szCs w:val="24"/>
        </w:rPr>
        <w:t xml:space="preserve"> geen </w:t>
      </w:r>
      <w:r w:rsidR="00BC3C1A" w:rsidRPr="00121A6A">
        <w:rPr>
          <w:sz w:val="24"/>
          <w:szCs w:val="24"/>
        </w:rPr>
        <w:t>(</w:t>
      </w:r>
      <w:r w:rsidR="00B25FC1" w:rsidRPr="00121A6A">
        <w:rPr>
          <w:sz w:val="24"/>
          <w:szCs w:val="24"/>
        </w:rPr>
        <w:t>wezenlijke</w:t>
      </w:r>
      <w:r w:rsidR="00BC3C1A" w:rsidRPr="00121A6A">
        <w:rPr>
          <w:sz w:val="24"/>
          <w:szCs w:val="24"/>
        </w:rPr>
        <w:t>)</w:t>
      </w:r>
      <w:r w:rsidR="00B25FC1" w:rsidRPr="00121A6A">
        <w:rPr>
          <w:sz w:val="24"/>
          <w:szCs w:val="24"/>
        </w:rPr>
        <w:t xml:space="preserve"> </w:t>
      </w:r>
      <w:r w:rsidR="00BC3C1A" w:rsidRPr="00121A6A">
        <w:rPr>
          <w:sz w:val="24"/>
          <w:szCs w:val="24"/>
        </w:rPr>
        <w:t>verandering</w:t>
      </w:r>
      <w:r w:rsidR="00B25FC1" w:rsidRPr="00121A6A">
        <w:rPr>
          <w:sz w:val="24"/>
          <w:szCs w:val="24"/>
        </w:rPr>
        <w:t xml:space="preserve"> in de zienswijze van het Hof</w:t>
      </w:r>
      <w:r w:rsidR="007A7CD6" w:rsidRPr="00121A6A">
        <w:rPr>
          <w:sz w:val="24"/>
          <w:szCs w:val="24"/>
        </w:rPr>
        <w:t xml:space="preserve"> en de manier waarop het de Detacheringsrichtlijn</w:t>
      </w:r>
      <w:r w:rsidR="006A4887" w:rsidRPr="00121A6A">
        <w:rPr>
          <w:sz w:val="24"/>
          <w:szCs w:val="24"/>
        </w:rPr>
        <w:t xml:space="preserve"> uitlegt</w:t>
      </w:r>
      <w:bookmarkEnd w:id="35"/>
      <w:r w:rsidR="00B25FC1" w:rsidRPr="00121A6A">
        <w:rPr>
          <w:sz w:val="24"/>
          <w:szCs w:val="24"/>
        </w:rPr>
        <w:t>.</w:t>
      </w:r>
      <w:r w:rsidR="003A6E15" w:rsidRPr="00121A6A">
        <w:rPr>
          <w:rStyle w:val="FootnoteReference"/>
          <w:sz w:val="24"/>
          <w:szCs w:val="24"/>
        </w:rPr>
        <w:footnoteReference w:id="75"/>
      </w:r>
    </w:p>
    <w:p w14:paraId="633DE710" w14:textId="3F6646EC" w:rsidR="00F92DAD" w:rsidRPr="00121A6A" w:rsidRDefault="00BC3C1A" w:rsidP="005A030A">
      <w:pPr>
        <w:spacing w:after="0"/>
        <w:ind w:firstLine="708"/>
        <w:jc w:val="both"/>
        <w:rPr>
          <w:sz w:val="24"/>
          <w:szCs w:val="24"/>
        </w:rPr>
      </w:pPr>
      <w:r w:rsidRPr="00121A6A">
        <w:rPr>
          <w:sz w:val="24"/>
          <w:szCs w:val="24"/>
        </w:rPr>
        <w:t xml:space="preserve">Relevanter is een door Laagland gesignaleerde </w:t>
      </w:r>
      <w:r w:rsidR="008D5BC6" w:rsidRPr="00121A6A">
        <w:rPr>
          <w:sz w:val="24"/>
          <w:szCs w:val="24"/>
        </w:rPr>
        <w:t>terughoudendere</w:t>
      </w:r>
      <w:r w:rsidR="00BF3F29" w:rsidRPr="00121A6A">
        <w:rPr>
          <w:sz w:val="24"/>
          <w:szCs w:val="24"/>
        </w:rPr>
        <w:t xml:space="preserve"> opstelling van het Hof </w:t>
      </w:r>
      <w:r w:rsidR="008D5BC6" w:rsidRPr="00121A6A">
        <w:rPr>
          <w:sz w:val="24"/>
          <w:szCs w:val="24"/>
        </w:rPr>
        <w:t>bij de</w:t>
      </w:r>
      <w:r w:rsidR="00BF3F29" w:rsidRPr="00121A6A">
        <w:rPr>
          <w:sz w:val="24"/>
          <w:szCs w:val="24"/>
        </w:rPr>
        <w:t xml:space="preserve"> invulling van de proportionaliteitstoets</w:t>
      </w:r>
      <w:r w:rsidRPr="00121A6A">
        <w:rPr>
          <w:sz w:val="24"/>
          <w:szCs w:val="24"/>
        </w:rPr>
        <w:t>.</w:t>
      </w:r>
      <w:r w:rsidR="0089472E" w:rsidRPr="00121A6A">
        <w:rPr>
          <w:rStyle w:val="FootnoteReference"/>
          <w:sz w:val="24"/>
          <w:szCs w:val="24"/>
        </w:rPr>
        <w:footnoteReference w:id="76"/>
      </w:r>
      <w:r w:rsidRPr="00121A6A">
        <w:rPr>
          <w:sz w:val="24"/>
          <w:szCs w:val="24"/>
        </w:rPr>
        <w:t xml:space="preserve"> </w:t>
      </w:r>
      <w:r w:rsidR="00863714" w:rsidRPr="00121A6A">
        <w:rPr>
          <w:sz w:val="24"/>
          <w:szCs w:val="24"/>
        </w:rPr>
        <w:t xml:space="preserve">Zij wijst op arresten als </w:t>
      </w:r>
      <w:r w:rsidR="00863714" w:rsidRPr="00121A6A">
        <w:rPr>
          <w:i/>
          <w:iCs/>
          <w:sz w:val="24"/>
          <w:szCs w:val="24"/>
        </w:rPr>
        <w:t xml:space="preserve">AGET </w:t>
      </w:r>
      <w:proofErr w:type="spellStart"/>
      <w:r w:rsidR="00863714" w:rsidRPr="00121A6A">
        <w:rPr>
          <w:i/>
          <w:iCs/>
          <w:sz w:val="24"/>
          <w:szCs w:val="24"/>
        </w:rPr>
        <w:t>Iraklis</w:t>
      </w:r>
      <w:proofErr w:type="spellEnd"/>
      <w:r w:rsidR="00863714" w:rsidRPr="00121A6A">
        <w:rPr>
          <w:sz w:val="24"/>
          <w:szCs w:val="24"/>
        </w:rPr>
        <w:t xml:space="preserve">, </w:t>
      </w:r>
      <w:proofErr w:type="spellStart"/>
      <w:r w:rsidR="00863714" w:rsidRPr="00121A6A">
        <w:rPr>
          <w:i/>
          <w:iCs/>
          <w:sz w:val="24"/>
          <w:szCs w:val="24"/>
        </w:rPr>
        <w:t>Parkwood</w:t>
      </w:r>
      <w:proofErr w:type="spellEnd"/>
      <w:r w:rsidR="00863714" w:rsidRPr="00121A6A">
        <w:rPr>
          <w:sz w:val="24"/>
          <w:szCs w:val="24"/>
        </w:rPr>
        <w:t xml:space="preserve"> en </w:t>
      </w:r>
      <w:proofErr w:type="spellStart"/>
      <w:r w:rsidR="00863714" w:rsidRPr="00121A6A">
        <w:rPr>
          <w:i/>
          <w:iCs/>
          <w:sz w:val="24"/>
          <w:szCs w:val="24"/>
        </w:rPr>
        <w:t>Asklepios</w:t>
      </w:r>
      <w:proofErr w:type="spellEnd"/>
      <w:r w:rsidR="00863714" w:rsidRPr="00121A6A">
        <w:rPr>
          <w:sz w:val="24"/>
          <w:szCs w:val="24"/>
        </w:rPr>
        <w:t>,</w:t>
      </w:r>
      <w:r w:rsidR="00863714" w:rsidRPr="00121A6A">
        <w:rPr>
          <w:rStyle w:val="FootnoteReference"/>
          <w:sz w:val="24"/>
          <w:szCs w:val="24"/>
        </w:rPr>
        <w:footnoteReference w:id="77"/>
      </w:r>
      <w:r w:rsidR="00863714" w:rsidRPr="00121A6A">
        <w:rPr>
          <w:sz w:val="24"/>
          <w:szCs w:val="24"/>
        </w:rPr>
        <w:t xml:space="preserve"> waarin</w:t>
      </w:r>
      <w:r w:rsidR="00DB13D8" w:rsidRPr="00121A6A">
        <w:rPr>
          <w:sz w:val="24"/>
          <w:szCs w:val="24"/>
        </w:rPr>
        <w:t xml:space="preserve"> steeds</w:t>
      </w:r>
      <w:r w:rsidR="00570B29" w:rsidRPr="00121A6A">
        <w:rPr>
          <w:sz w:val="24"/>
          <w:szCs w:val="24"/>
        </w:rPr>
        <w:t xml:space="preserve"> een</w:t>
      </w:r>
      <w:r w:rsidR="00DB13D8" w:rsidRPr="00121A6A">
        <w:rPr>
          <w:sz w:val="24"/>
          <w:szCs w:val="24"/>
        </w:rPr>
        <w:t xml:space="preserve"> nationale</w:t>
      </w:r>
      <w:r w:rsidR="00343000" w:rsidRPr="00121A6A">
        <w:rPr>
          <w:sz w:val="24"/>
          <w:szCs w:val="24"/>
        </w:rPr>
        <w:t>, op werknemersbescherming gerichte</w:t>
      </w:r>
      <w:r w:rsidR="00DB13D8" w:rsidRPr="00121A6A">
        <w:rPr>
          <w:sz w:val="24"/>
          <w:szCs w:val="24"/>
        </w:rPr>
        <w:t xml:space="preserve"> regeling </w:t>
      </w:r>
      <w:r w:rsidR="00863714" w:rsidRPr="00121A6A">
        <w:rPr>
          <w:sz w:val="24"/>
          <w:szCs w:val="24"/>
        </w:rPr>
        <w:t xml:space="preserve">werd </w:t>
      </w:r>
      <w:r w:rsidR="00430948" w:rsidRPr="00121A6A">
        <w:rPr>
          <w:sz w:val="24"/>
          <w:szCs w:val="24"/>
        </w:rPr>
        <w:t xml:space="preserve">aangevochten </w:t>
      </w:r>
      <w:r w:rsidR="00194D02" w:rsidRPr="00121A6A">
        <w:rPr>
          <w:sz w:val="24"/>
          <w:szCs w:val="24"/>
        </w:rPr>
        <w:t>via</w:t>
      </w:r>
      <w:r w:rsidR="00DB13D8" w:rsidRPr="00121A6A">
        <w:rPr>
          <w:sz w:val="24"/>
          <w:szCs w:val="24"/>
        </w:rPr>
        <w:t xml:space="preserve"> de </w:t>
      </w:r>
      <w:r w:rsidR="00194D02" w:rsidRPr="00121A6A">
        <w:rPr>
          <w:sz w:val="24"/>
          <w:szCs w:val="24"/>
        </w:rPr>
        <w:t>vestigings- en</w:t>
      </w:r>
      <w:r w:rsidR="00D51993" w:rsidRPr="00121A6A">
        <w:rPr>
          <w:sz w:val="24"/>
          <w:szCs w:val="24"/>
        </w:rPr>
        <w:t>/of</w:t>
      </w:r>
      <w:r w:rsidR="00194D02" w:rsidRPr="00121A6A">
        <w:rPr>
          <w:sz w:val="24"/>
          <w:szCs w:val="24"/>
        </w:rPr>
        <w:t xml:space="preserve"> ondernemingsvrijheid</w:t>
      </w:r>
      <w:r w:rsidR="00DB13D8" w:rsidRPr="00121A6A">
        <w:rPr>
          <w:sz w:val="24"/>
          <w:szCs w:val="24"/>
        </w:rPr>
        <w:t xml:space="preserve">. Hoewel </w:t>
      </w:r>
      <w:r w:rsidR="00F94454">
        <w:rPr>
          <w:sz w:val="24"/>
          <w:szCs w:val="24"/>
        </w:rPr>
        <w:t xml:space="preserve">de </w:t>
      </w:r>
      <w:r w:rsidR="00A80B00" w:rsidRPr="00121A6A">
        <w:rPr>
          <w:sz w:val="24"/>
          <w:szCs w:val="24"/>
        </w:rPr>
        <w:t xml:space="preserve">Europese </w:t>
      </w:r>
      <w:r w:rsidR="00DB13D8" w:rsidRPr="00121A6A">
        <w:rPr>
          <w:sz w:val="24"/>
          <w:szCs w:val="24"/>
        </w:rPr>
        <w:t xml:space="preserve">economische vrijheden </w:t>
      </w:r>
      <w:r w:rsidR="00F94454" w:rsidRPr="00121A6A">
        <w:rPr>
          <w:sz w:val="24"/>
          <w:szCs w:val="24"/>
        </w:rPr>
        <w:t xml:space="preserve">in </w:t>
      </w:r>
      <w:r w:rsidR="00F94454">
        <w:rPr>
          <w:sz w:val="24"/>
          <w:szCs w:val="24"/>
        </w:rPr>
        <w:t xml:space="preserve">de arresten </w:t>
      </w:r>
      <w:r w:rsidR="00F94454" w:rsidRPr="00121A6A">
        <w:rPr>
          <w:i/>
          <w:iCs/>
          <w:sz w:val="24"/>
          <w:szCs w:val="24"/>
        </w:rPr>
        <w:t xml:space="preserve">AGET </w:t>
      </w:r>
      <w:proofErr w:type="spellStart"/>
      <w:r w:rsidR="00F94454" w:rsidRPr="00121A6A">
        <w:rPr>
          <w:i/>
          <w:iCs/>
          <w:sz w:val="24"/>
          <w:szCs w:val="24"/>
        </w:rPr>
        <w:t>Iraklis</w:t>
      </w:r>
      <w:proofErr w:type="spellEnd"/>
      <w:r w:rsidR="00F94454" w:rsidRPr="00121A6A">
        <w:rPr>
          <w:sz w:val="24"/>
          <w:szCs w:val="24"/>
        </w:rPr>
        <w:t xml:space="preserve"> en </w:t>
      </w:r>
      <w:proofErr w:type="spellStart"/>
      <w:r w:rsidR="00F94454" w:rsidRPr="00121A6A">
        <w:rPr>
          <w:i/>
          <w:iCs/>
          <w:sz w:val="24"/>
          <w:szCs w:val="24"/>
        </w:rPr>
        <w:t>Parkwood</w:t>
      </w:r>
      <w:proofErr w:type="spellEnd"/>
      <w:r w:rsidR="00F94454" w:rsidRPr="00121A6A">
        <w:rPr>
          <w:sz w:val="24"/>
          <w:szCs w:val="24"/>
        </w:rPr>
        <w:t xml:space="preserve"> uiteindelijk </w:t>
      </w:r>
      <w:r w:rsidR="00DB13D8" w:rsidRPr="00121A6A">
        <w:rPr>
          <w:sz w:val="24"/>
          <w:szCs w:val="24"/>
        </w:rPr>
        <w:t xml:space="preserve">opnieuw prevaleerden boven </w:t>
      </w:r>
      <w:r w:rsidR="00A80B00" w:rsidRPr="00121A6A">
        <w:rPr>
          <w:sz w:val="24"/>
          <w:szCs w:val="24"/>
        </w:rPr>
        <w:t xml:space="preserve">nationale </w:t>
      </w:r>
      <w:r w:rsidR="00DB13D8" w:rsidRPr="00121A6A">
        <w:rPr>
          <w:sz w:val="24"/>
          <w:szCs w:val="24"/>
        </w:rPr>
        <w:t xml:space="preserve">sociale doelstellingen, kwam het Hof pas tot die conclusie nadat het lidstaten </w:t>
      </w:r>
      <w:r w:rsidR="00863714" w:rsidRPr="00121A6A">
        <w:rPr>
          <w:sz w:val="24"/>
          <w:szCs w:val="24"/>
        </w:rPr>
        <w:t>een zekere beoordelings</w:t>
      </w:r>
      <w:r w:rsidR="005A030A" w:rsidRPr="00121A6A">
        <w:rPr>
          <w:sz w:val="24"/>
          <w:szCs w:val="24"/>
        </w:rPr>
        <w:t>vrijheid</w:t>
      </w:r>
      <w:r w:rsidR="00DB13D8" w:rsidRPr="00121A6A">
        <w:rPr>
          <w:sz w:val="24"/>
          <w:szCs w:val="24"/>
        </w:rPr>
        <w:t xml:space="preserve"> </w:t>
      </w:r>
      <w:r w:rsidR="00782B7D" w:rsidRPr="00121A6A">
        <w:rPr>
          <w:sz w:val="24"/>
          <w:szCs w:val="24"/>
        </w:rPr>
        <w:t>had gegund</w:t>
      </w:r>
      <w:r w:rsidR="009C51FC" w:rsidRPr="00121A6A">
        <w:rPr>
          <w:sz w:val="24"/>
          <w:szCs w:val="24"/>
        </w:rPr>
        <w:t>.</w:t>
      </w:r>
      <w:r w:rsidR="00863714" w:rsidRPr="00121A6A">
        <w:rPr>
          <w:sz w:val="24"/>
          <w:szCs w:val="24"/>
        </w:rPr>
        <w:t xml:space="preserve"> </w:t>
      </w:r>
      <w:r w:rsidR="00570B29" w:rsidRPr="00121A6A">
        <w:rPr>
          <w:sz w:val="24"/>
          <w:szCs w:val="24"/>
        </w:rPr>
        <w:t xml:space="preserve">Zo </w:t>
      </w:r>
      <w:r w:rsidR="00C67B6D" w:rsidRPr="00121A6A">
        <w:rPr>
          <w:sz w:val="24"/>
          <w:szCs w:val="24"/>
        </w:rPr>
        <w:t>werd</w:t>
      </w:r>
      <w:r w:rsidR="00570B29" w:rsidRPr="00121A6A">
        <w:rPr>
          <w:sz w:val="24"/>
          <w:szCs w:val="24"/>
        </w:rPr>
        <w:t xml:space="preserve"> in </w:t>
      </w:r>
      <w:proofErr w:type="spellStart"/>
      <w:r w:rsidR="00570B29" w:rsidRPr="00121A6A">
        <w:rPr>
          <w:i/>
          <w:iCs/>
          <w:sz w:val="24"/>
          <w:szCs w:val="24"/>
        </w:rPr>
        <w:t>Parkwood</w:t>
      </w:r>
      <w:proofErr w:type="spellEnd"/>
      <w:r w:rsidR="008D5BC6" w:rsidRPr="00121A6A">
        <w:rPr>
          <w:i/>
          <w:iCs/>
          <w:sz w:val="24"/>
          <w:szCs w:val="24"/>
        </w:rPr>
        <w:t xml:space="preserve"> </w:t>
      </w:r>
      <w:r w:rsidR="00570B29" w:rsidRPr="00121A6A">
        <w:rPr>
          <w:sz w:val="24"/>
          <w:szCs w:val="24"/>
        </w:rPr>
        <w:t>slechts als ondergrens</w:t>
      </w:r>
      <w:r w:rsidR="00C67B6D" w:rsidRPr="00121A6A">
        <w:rPr>
          <w:sz w:val="24"/>
          <w:szCs w:val="24"/>
        </w:rPr>
        <w:t xml:space="preserve"> gesteld</w:t>
      </w:r>
      <w:r w:rsidR="00570B29" w:rsidRPr="00121A6A">
        <w:rPr>
          <w:sz w:val="24"/>
          <w:szCs w:val="24"/>
        </w:rPr>
        <w:t xml:space="preserve"> dat de litigieuze nationale </w:t>
      </w:r>
      <w:r w:rsidR="00F72BAA" w:rsidRPr="00121A6A">
        <w:rPr>
          <w:sz w:val="24"/>
          <w:szCs w:val="24"/>
        </w:rPr>
        <w:t>regel</w:t>
      </w:r>
      <w:r w:rsidR="00AA240F" w:rsidRPr="00121A6A">
        <w:rPr>
          <w:sz w:val="24"/>
          <w:szCs w:val="24"/>
        </w:rPr>
        <w:t>ing</w:t>
      </w:r>
      <w:r w:rsidR="00570B29" w:rsidRPr="00121A6A">
        <w:rPr>
          <w:sz w:val="24"/>
          <w:szCs w:val="24"/>
        </w:rPr>
        <w:t xml:space="preserve"> de </w:t>
      </w:r>
      <w:r w:rsidR="00AA240F" w:rsidRPr="00121A6A">
        <w:rPr>
          <w:sz w:val="24"/>
          <w:szCs w:val="24"/>
        </w:rPr>
        <w:t>ondernemingsvrijheid</w:t>
      </w:r>
      <w:r w:rsidR="00570B29" w:rsidRPr="00121A6A">
        <w:rPr>
          <w:sz w:val="24"/>
          <w:szCs w:val="24"/>
        </w:rPr>
        <w:t xml:space="preserve"> niet in de kern mag aantasten</w:t>
      </w:r>
      <w:r w:rsidR="00C67B6D" w:rsidRPr="00121A6A">
        <w:rPr>
          <w:sz w:val="24"/>
          <w:szCs w:val="24"/>
        </w:rPr>
        <w:t xml:space="preserve">, welk criterium in </w:t>
      </w:r>
      <w:proofErr w:type="spellStart"/>
      <w:r w:rsidR="00B70322" w:rsidRPr="00121A6A">
        <w:rPr>
          <w:i/>
          <w:iCs/>
          <w:sz w:val="24"/>
          <w:szCs w:val="24"/>
        </w:rPr>
        <w:t>Asklepios</w:t>
      </w:r>
      <w:proofErr w:type="spellEnd"/>
      <w:r w:rsidR="00C67B6D" w:rsidRPr="00121A6A">
        <w:rPr>
          <w:i/>
          <w:iCs/>
          <w:sz w:val="24"/>
          <w:szCs w:val="24"/>
        </w:rPr>
        <w:t xml:space="preserve"> </w:t>
      </w:r>
      <w:r w:rsidR="00C67B6D" w:rsidRPr="00121A6A">
        <w:rPr>
          <w:sz w:val="24"/>
          <w:szCs w:val="24"/>
        </w:rPr>
        <w:t xml:space="preserve">nader </w:t>
      </w:r>
      <w:r w:rsidR="008D5BC6" w:rsidRPr="00121A6A">
        <w:rPr>
          <w:sz w:val="24"/>
          <w:szCs w:val="24"/>
        </w:rPr>
        <w:t>is</w:t>
      </w:r>
      <w:r w:rsidR="00C67B6D" w:rsidRPr="00121A6A">
        <w:rPr>
          <w:sz w:val="24"/>
          <w:szCs w:val="24"/>
        </w:rPr>
        <w:t xml:space="preserve"> uitgewerkt. In </w:t>
      </w:r>
      <w:r w:rsidR="00C67B6D" w:rsidRPr="00121A6A">
        <w:rPr>
          <w:i/>
          <w:iCs/>
          <w:sz w:val="24"/>
          <w:szCs w:val="24"/>
        </w:rPr>
        <w:t xml:space="preserve">AGET </w:t>
      </w:r>
      <w:proofErr w:type="spellStart"/>
      <w:r w:rsidR="00C67B6D" w:rsidRPr="00121A6A">
        <w:rPr>
          <w:i/>
          <w:iCs/>
          <w:sz w:val="24"/>
          <w:szCs w:val="24"/>
        </w:rPr>
        <w:t>Iraklis</w:t>
      </w:r>
      <w:proofErr w:type="spellEnd"/>
      <w:r w:rsidR="00C67B6D" w:rsidRPr="00121A6A">
        <w:rPr>
          <w:sz w:val="24"/>
          <w:szCs w:val="24"/>
        </w:rPr>
        <w:t xml:space="preserve"> oordeelde het Hof dat de nationale </w:t>
      </w:r>
      <w:r w:rsidR="006F09E0" w:rsidRPr="00121A6A">
        <w:rPr>
          <w:sz w:val="24"/>
          <w:szCs w:val="24"/>
        </w:rPr>
        <w:t>maat</w:t>
      </w:r>
      <w:r w:rsidR="00C67B6D" w:rsidRPr="00121A6A">
        <w:rPr>
          <w:sz w:val="24"/>
          <w:szCs w:val="24"/>
        </w:rPr>
        <w:t xml:space="preserve">regel ten </w:t>
      </w:r>
      <w:r w:rsidR="006F09E0" w:rsidRPr="00121A6A">
        <w:rPr>
          <w:sz w:val="24"/>
          <w:szCs w:val="24"/>
        </w:rPr>
        <w:t>minste</w:t>
      </w:r>
      <w:r w:rsidR="00C67B6D" w:rsidRPr="00121A6A">
        <w:rPr>
          <w:sz w:val="24"/>
          <w:szCs w:val="24"/>
        </w:rPr>
        <w:t xml:space="preserve"> voldoende transparant moet zijn. </w:t>
      </w:r>
      <w:r w:rsidR="00BF3F29" w:rsidRPr="00121A6A">
        <w:rPr>
          <w:sz w:val="24"/>
          <w:szCs w:val="24"/>
        </w:rPr>
        <w:t xml:space="preserve">Mogelijk is </w:t>
      </w:r>
      <w:r w:rsidR="00DB13D8" w:rsidRPr="00121A6A">
        <w:rPr>
          <w:sz w:val="24"/>
          <w:szCs w:val="24"/>
        </w:rPr>
        <w:t>d</w:t>
      </w:r>
      <w:r w:rsidR="00393F87" w:rsidRPr="00121A6A">
        <w:rPr>
          <w:sz w:val="24"/>
          <w:szCs w:val="24"/>
        </w:rPr>
        <w:t xml:space="preserve">eze </w:t>
      </w:r>
      <w:r w:rsidR="006D2252" w:rsidRPr="00121A6A">
        <w:rPr>
          <w:sz w:val="24"/>
          <w:szCs w:val="24"/>
        </w:rPr>
        <w:t>minder opdringerige</w:t>
      </w:r>
      <w:r w:rsidR="00393F87" w:rsidRPr="00121A6A">
        <w:rPr>
          <w:sz w:val="24"/>
          <w:szCs w:val="24"/>
        </w:rPr>
        <w:t xml:space="preserve"> opstelling </w:t>
      </w:r>
      <w:r w:rsidR="00DB13D8" w:rsidRPr="00121A6A">
        <w:rPr>
          <w:sz w:val="24"/>
          <w:szCs w:val="24"/>
        </w:rPr>
        <w:t xml:space="preserve">ook relevant </w:t>
      </w:r>
      <w:r w:rsidR="00BF3F29" w:rsidRPr="00121A6A">
        <w:rPr>
          <w:sz w:val="24"/>
          <w:szCs w:val="24"/>
        </w:rPr>
        <w:t>voor het stakingsrecht</w:t>
      </w:r>
      <w:r w:rsidR="00DB13D8" w:rsidRPr="00121A6A">
        <w:rPr>
          <w:sz w:val="24"/>
          <w:szCs w:val="24"/>
        </w:rPr>
        <w:t>, maar men</w:t>
      </w:r>
      <w:r w:rsidR="00BF3F29" w:rsidRPr="00121A6A">
        <w:rPr>
          <w:sz w:val="24"/>
          <w:szCs w:val="24"/>
        </w:rPr>
        <w:t xml:space="preserve"> kan hierover louter speculeren.</w:t>
      </w:r>
      <w:r w:rsidR="005A030A" w:rsidRPr="00121A6A">
        <w:rPr>
          <w:sz w:val="24"/>
          <w:szCs w:val="24"/>
        </w:rPr>
        <w:t xml:space="preserve"> Laagland sluit een koerswijziging omtrent de </w:t>
      </w:r>
      <w:r w:rsidR="005A030A" w:rsidRPr="00121A6A">
        <w:rPr>
          <w:i/>
          <w:iCs/>
          <w:sz w:val="24"/>
          <w:szCs w:val="24"/>
        </w:rPr>
        <w:t>ultimum</w:t>
      </w:r>
      <w:r w:rsidR="00455F6E" w:rsidRPr="00121A6A">
        <w:rPr>
          <w:i/>
          <w:iCs/>
          <w:sz w:val="24"/>
          <w:szCs w:val="24"/>
        </w:rPr>
        <w:t xml:space="preserve"> </w:t>
      </w:r>
      <w:r w:rsidR="005A030A" w:rsidRPr="00121A6A">
        <w:rPr>
          <w:i/>
          <w:iCs/>
          <w:sz w:val="24"/>
          <w:szCs w:val="24"/>
        </w:rPr>
        <w:t>remedium</w:t>
      </w:r>
      <w:r w:rsidR="00455F6E" w:rsidRPr="00121A6A">
        <w:rPr>
          <w:sz w:val="24"/>
          <w:szCs w:val="24"/>
        </w:rPr>
        <w:t>-</w:t>
      </w:r>
      <w:r w:rsidR="005A030A" w:rsidRPr="00121A6A">
        <w:rPr>
          <w:sz w:val="24"/>
          <w:szCs w:val="24"/>
        </w:rPr>
        <w:t xml:space="preserve">eis uit </w:t>
      </w:r>
      <w:r w:rsidR="005A030A" w:rsidRPr="00121A6A">
        <w:rPr>
          <w:i/>
          <w:iCs/>
          <w:sz w:val="24"/>
          <w:szCs w:val="24"/>
        </w:rPr>
        <w:t>Viking</w:t>
      </w:r>
      <w:r w:rsidR="00F92DAD" w:rsidRPr="00121A6A">
        <w:rPr>
          <w:i/>
          <w:iCs/>
          <w:sz w:val="24"/>
          <w:szCs w:val="24"/>
        </w:rPr>
        <w:t xml:space="preserve"> </w:t>
      </w:r>
      <w:r w:rsidR="005A030A" w:rsidRPr="00121A6A">
        <w:rPr>
          <w:sz w:val="24"/>
          <w:szCs w:val="24"/>
        </w:rPr>
        <w:t xml:space="preserve">niet uit, maar </w:t>
      </w:r>
      <w:r w:rsidR="00F92DAD" w:rsidRPr="00121A6A">
        <w:rPr>
          <w:sz w:val="24"/>
          <w:szCs w:val="24"/>
        </w:rPr>
        <w:t xml:space="preserve">staat hier toch kritisch tegenover. Zij </w:t>
      </w:r>
      <w:r w:rsidR="005A030A" w:rsidRPr="00121A6A">
        <w:rPr>
          <w:sz w:val="24"/>
          <w:szCs w:val="24"/>
        </w:rPr>
        <w:t xml:space="preserve">schrijft dat </w:t>
      </w:r>
      <w:r w:rsidR="00F92DAD" w:rsidRPr="00121A6A">
        <w:rPr>
          <w:sz w:val="24"/>
          <w:szCs w:val="24"/>
        </w:rPr>
        <w:t xml:space="preserve">een staking in de ogen van </w:t>
      </w:r>
      <w:r w:rsidR="005A030A" w:rsidRPr="00121A6A">
        <w:rPr>
          <w:sz w:val="24"/>
          <w:szCs w:val="24"/>
        </w:rPr>
        <w:t xml:space="preserve">het Hof </w:t>
      </w:r>
      <w:r w:rsidR="00B95F29" w:rsidRPr="00121A6A">
        <w:rPr>
          <w:sz w:val="24"/>
          <w:szCs w:val="24"/>
        </w:rPr>
        <w:t xml:space="preserve">mogelijk </w:t>
      </w:r>
      <w:r w:rsidR="005A030A" w:rsidRPr="00121A6A">
        <w:rPr>
          <w:sz w:val="24"/>
          <w:szCs w:val="24"/>
        </w:rPr>
        <w:t xml:space="preserve">raakt aan de kern van de </w:t>
      </w:r>
      <w:r w:rsidR="006F09E0" w:rsidRPr="00121A6A">
        <w:rPr>
          <w:sz w:val="24"/>
          <w:szCs w:val="24"/>
        </w:rPr>
        <w:t xml:space="preserve">vestigingsvrijheid, </w:t>
      </w:r>
      <w:r w:rsidR="008B022E" w:rsidRPr="00121A6A">
        <w:rPr>
          <w:sz w:val="24"/>
          <w:szCs w:val="24"/>
        </w:rPr>
        <w:t>omdat</w:t>
      </w:r>
      <w:r w:rsidR="006F09E0" w:rsidRPr="00121A6A">
        <w:rPr>
          <w:sz w:val="24"/>
          <w:szCs w:val="24"/>
        </w:rPr>
        <w:t xml:space="preserve"> het stakingsmiddel </w:t>
      </w:r>
      <w:r w:rsidR="008B022E" w:rsidRPr="00121A6A">
        <w:rPr>
          <w:sz w:val="24"/>
          <w:szCs w:val="24"/>
        </w:rPr>
        <w:t xml:space="preserve">een </w:t>
      </w:r>
      <w:r w:rsidR="006F09E0" w:rsidRPr="00121A6A">
        <w:rPr>
          <w:sz w:val="24"/>
          <w:szCs w:val="24"/>
        </w:rPr>
        <w:t>vakbond in staat stelt om arbeidsvoorwaarden af te dwingen met vrijwel iedere inhoud.</w:t>
      </w:r>
      <w:r w:rsidR="00F92DAD" w:rsidRPr="00121A6A">
        <w:rPr>
          <w:rStyle w:val="FootnoteReference"/>
          <w:sz w:val="24"/>
          <w:szCs w:val="24"/>
        </w:rPr>
        <w:footnoteReference w:id="78"/>
      </w:r>
      <w:r w:rsidR="006C1471" w:rsidRPr="00121A6A">
        <w:rPr>
          <w:sz w:val="24"/>
          <w:szCs w:val="24"/>
        </w:rPr>
        <w:t xml:space="preserve"> </w:t>
      </w:r>
      <w:r w:rsidR="00B95F29" w:rsidRPr="00121A6A">
        <w:rPr>
          <w:sz w:val="24"/>
          <w:szCs w:val="24"/>
        </w:rPr>
        <w:t>Vanuit d</w:t>
      </w:r>
      <w:r w:rsidR="005B711D" w:rsidRPr="00121A6A">
        <w:rPr>
          <w:sz w:val="24"/>
          <w:szCs w:val="24"/>
        </w:rPr>
        <w:t>i</w:t>
      </w:r>
      <w:r w:rsidR="000B340C" w:rsidRPr="00121A6A">
        <w:rPr>
          <w:sz w:val="24"/>
          <w:szCs w:val="24"/>
        </w:rPr>
        <w:t>e</w:t>
      </w:r>
      <w:r w:rsidR="00B95F29" w:rsidRPr="00121A6A">
        <w:rPr>
          <w:sz w:val="24"/>
          <w:szCs w:val="24"/>
        </w:rPr>
        <w:t xml:space="preserve"> gedachte bestaat de kans dat het Hof </w:t>
      </w:r>
      <w:r w:rsidR="001576B1">
        <w:rPr>
          <w:sz w:val="24"/>
          <w:szCs w:val="24"/>
        </w:rPr>
        <w:t>inzake</w:t>
      </w:r>
      <w:r w:rsidR="00674B23">
        <w:rPr>
          <w:sz w:val="24"/>
          <w:szCs w:val="24"/>
        </w:rPr>
        <w:t xml:space="preserve"> het stakingsrecht </w:t>
      </w:r>
      <w:r w:rsidR="00B95F29" w:rsidRPr="00121A6A">
        <w:rPr>
          <w:sz w:val="24"/>
          <w:szCs w:val="24"/>
        </w:rPr>
        <w:t xml:space="preserve">nog steeds </w:t>
      </w:r>
      <w:r w:rsidR="003E5AC8" w:rsidRPr="00121A6A">
        <w:rPr>
          <w:sz w:val="24"/>
          <w:szCs w:val="24"/>
        </w:rPr>
        <w:t xml:space="preserve">zelf concreet invulling </w:t>
      </w:r>
      <w:r w:rsidR="000B340C" w:rsidRPr="00121A6A">
        <w:rPr>
          <w:sz w:val="24"/>
          <w:szCs w:val="24"/>
        </w:rPr>
        <w:t>zal geven</w:t>
      </w:r>
      <w:r w:rsidR="003E5AC8" w:rsidRPr="00121A6A">
        <w:rPr>
          <w:sz w:val="24"/>
          <w:szCs w:val="24"/>
        </w:rPr>
        <w:t xml:space="preserve"> </w:t>
      </w:r>
      <w:r w:rsidR="00B95F29" w:rsidRPr="00121A6A">
        <w:rPr>
          <w:sz w:val="24"/>
          <w:szCs w:val="24"/>
        </w:rPr>
        <w:t>aan</w:t>
      </w:r>
      <w:r w:rsidR="003E5AC8" w:rsidRPr="00121A6A">
        <w:rPr>
          <w:sz w:val="24"/>
          <w:szCs w:val="24"/>
        </w:rPr>
        <w:t xml:space="preserve"> de proportionaliteitstoets.</w:t>
      </w:r>
    </w:p>
    <w:p w14:paraId="66089550" w14:textId="54ED92D1" w:rsidR="00225017" w:rsidRPr="00121A6A" w:rsidRDefault="00D13EE9" w:rsidP="005A030A">
      <w:pPr>
        <w:spacing w:after="0"/>
        <w:ind w:firstLine="708"/>
        <w:jc w:val="both"/>
        <w:rPr>
          <w:sz w:val="24"/>
          <w:szCs w:val="24"/>
        </w:rPr>
      </w:pPr>
      <w:r>
        <w:rPr>
          <w:sz w:val="24"/>
          <w:szCs w:val="24"/>
        </w:rPr>
        <w:t>Deze opvatting</w:t>
      </w:r>
      <w:r w:rsidR="009C2EE3">
        <w:rPr>
          <w:sz w:val="24"/>
          <w:szCs w:val="24"/>
        </w:rPr>
        <w:t xml:space="preserve"> </w:t>
      </w:r>
      <w:r w:rsidR="00656F30">
        <w:rPr>
          <w:sz w:val="24"/>
          <w:szCs w:val="24"/>
        </w:rPr>
        <w:t>vindt steun in het feit dat</w:t>
      </w:r>
      <w:r w:rsidR="00236C19">
        <w:rPr>
          <w:sz w:val="24"/>
          <w:szCs w:val="24"/>
        </w:rPr>
        <w:t xml:space="preserve"> het Hof</w:t>
      </w:r>
      <w:r w:rsidR="009602D4" w:rsidRPr="00121A6A">
        <w:rPr>
          <w:sz w:val="24"/>
          <w:szCs w:val="24"/>
        </w:rPr>
        <w:t xml:space="preserve"> </w:t>
      </w:r>
      <w:r w:rsidR="00BF3F29" w:rsidRPr="00121A6A">
        <w:rPr>
          <w:sz w:val="24"/>
          <w:szCs w:val="24"/>
        </w:rPr>
        <w:t xml:space="preserve">in </w:t>
      </w:r>
      <w:r w:rsidR="00683534" w:rsidRPr="00121A6A">
        <w:rPr>
          <w:sz w:val="24"/>
          <w:szCs w:val="24"/>
        </w:rPr>
        <w:t>arresten</w:t>
      </w:r>
      <w:r w:rsidR="00BF3F29" w:rsidRPr="00121A6A">
        <w:rPr>
          <w:sz w:val="24"/>
          <w:szCs w:val="24"/>
        </w:rPr>
        <w:t xml:space="preserve"> </w:t>
      </w:r>
      <w:r w:rsidR="00AA240F" w:rsidRPr="00121A6A">
        <w:rPr>
          <w:sz w:val="24"/>
          <w:szCs w:val="24"/>
        </w:rPr>
        <w:t xml:space="preserve">als </w:t>
      </w:r>
      <w:proofErr w:type="spellStart"/>
      <w:r w:rsidR="00BF3F29" w:rsidRPr="00121A6A">
        <w:rPr>
          <w:i/>
          <w:iCs/>
          <w:sz w:val="24"/>
          <w:szCs w:val="24"/>
        </w:rPr>
        <w:t>Achbita</w:t>
      </w:r>
      <w:proofErr w:type="spellEnd"/>
      <w:r w:rsidR="00BF3F29" w:rsidRPr="00121A6A">
        <w:rPr>
          <w:sz w:val="24"/>
          <w:szCs w:val="24"/>
        </w:rPr>
        <w:t xml:space="preserve"> en </w:t>
      </w:r>
      <w:r w:rsidR="00BF3F29" w:rsidRPr="00121A6A">
        <w:rPr>
          <w:i/>
          <w:iCs/>
          <w:sz w:val="24"/>
          <w:szCs w:val="24"/>
        </w:rPr>
        <w:t>IX</w:t>
      </w:r>
      <w:r w:rsidR="00157C03" w:rsidRPr="00121A6A">
        <w:rPr>
          <w:i/>
          <w:iCs/>
          <w:sz w:val="24"/>
          <w:szCs w:val="24"/>
        </w:rPr>
        <w:t>/</w:t>
      </w:r>
      <w:r w:rsidR="00BF3F29" w:rsidRPr="00121A6A">
        <w:rPr>
          <w:i/>
          <w:iCs/>
          <w:sz w:val="24"/>
          <w:szCs w:val="24"/>
        </w:rPr>
        <w:t>WABE</w:t>
      </w:r>
      <w:r w:rsidR="00BF3F29" w:rsidRPr="00121A6A">
        <w:rPr>
          <w:sz w:val="24"/>
          <w:szCs w:val="24"/>
        </w:rPr>
        <w:t xml:space="preserve"> </w:t>
      </w:r>
      <w:r w:rsidR="00236C19" w:rsidRPr="00121A6A">
        <w:rPr>
          <w:sz w:val="24"/>
          <w:szCs w:val="24"/>
        </w:rPr>
        <w:t xml:space="preserve">de evenredigheidstoets </w:t>
      </w:r>
      <w:r w:rsidR="00BF3F29" w:rsidRPr="00121A6A">
        <w:rPr>
          <w:sz w:val="24"/>
          <w:szCs w:val="24"/>
        </w:rPr>
        <w:t xml:space="preserve">wederom strikt </w:t>
      </w:r>
      <w:r w:rsidR="00236C19">
        <w:rPr>
          <w:sz w:val="24"/>
          <w:szCs w:val="24"/>
        </w:rPr>
        <w:t xml:space="preserve">heeft </w:t>
      </w:r>
      <w:r w:rsidR="00BF3F29" w:rsidRPr="00121A6A">
        <w:rPr>
          <w:sz w:val="24"/>
          <w:szCs w:val="24"/>
        </w:rPr>
        <w:t>ingevuld.</w:t>
      </w:r>
      <w:r w:rsidR="00BF3F29" w:rsidRPr="00121A6A">
        <w:rPr>
          <w:rStyle w:val="FootnoteReference"/>
          <w:sz w:val="24"/>
          <w:szCs w:val="24"/>
        </w:rPr>
        <w:footnoteReference w:id="79"/>
      </w:r>
      <w:r w:rsidR="00BF3F29" w:rsidRPr="00121A6A">
        <w:rPr>
          <w:sz w:val="24"/>
          <w:szCs w:val="24"/>
        </w:rPr>
        <w:t xml:space="preserve"> Anderzijds </w:t>
      </w:r>
      <w:r w:rsidR="008A7677" w:rsidRPr="00121A6A">
        <w:rPr>
          <w:sz w:val="24"/>
          <w:szCs w:val="24"/>
        </w:rPr>
        <w:t>ging het in</w:t>
      </w:r>
      <w:r w:rsidR="00AA240F" w:rsidRPr="00121A6A">
        <w:rPr>
          <w:sz w:val="24"/>
          <w:szCs w:val="24"/>
        </w:rPr>
        <w:t xml:space="preserve"> </w:t>
      </w:r>
      <w:r w:rsidR="002110E4">
        <w:rPr>
          <w:sz w:val="24"/>
          <w:szCs w:val="24"/>
        </w:rPr>
        <w:t>die</w:t>
      </w:r>
      <w:r w:rsidR="008B022E" w:rsidRPr="00121A6A">
        <w:rPr>
          <w:sz w:val="24"/>
          <w:szCs w:val="24"/>
        </w:rPr>
        <w:t xml:space="preserve"> arresten</w:t>
      </w:r>
      <w:r w:rsidR="00BF3F29" w:rsidRPr="00121A6A">
        <w:rPr>
          <w:sz w:val="24"/>
          <w:szCs w:val="24"/>
        </w:rPr>
        <w:t xml:space="preserve"> </w:t>
      </w:r>
      <w:r w:rsidR="008A7677" w:rsidRPr="00121A6A">
        <w:rPr>
          <w:sz w:val="24"/>
          <w:szCs w:val="24"/>
        </w:rPr>
        <w:t xml:space="preserve">om </w:t>
      </w:r>
      <w:r w:rsidR="00BF3F29" w:rsidRPr="00121A6A">
        <w:rPr>
          <w:sz w:val="24"/>
          <w:szCs w:val="24"/>
        </w:rPr>
        <w:t xml:space="preserve">een </w:t>
      </w:r>
      <w:r w:rsidR="00BF3F29" w:rsidRPr="00121A6A">
        <w:rPr>
          <w:sz w:val="24"/>
          <w:szCs w:val="24"/>
        </w:rPr>
        <w:lastRenderedPageBreak/>
        <w:t>zuiver horizonta</w:t>
      </w:r>
      <w:r w:rsidR="007C15F3" w:rsidRPr="00121A6A">
        <w:rPr>
          <w:sz w:val="24"/>
          <w:szCs w:val="24"/>
        </w:rPr>
        <w:t xml:space="preserve">al geschil </w:t>
      </w:r>
      <w:r w:rsidR="00BF3F29" w:rsidRPr="00121A6A">
        <w:rPr>
          <w:sz w:val="24"/>
          <w:szCs w:val="24"/>
        </w:rPr>
        <w:t xml:space="preserve">en niet om de </w:t>
      </w:r>
      <w:r w:rsidR="004B2836" w:rsidRPr="00121A6A">
        <w:rPr>
          <w:sz w:val="24"/>
          <w:szCs w:val="24"/>
        </w:rPr>
        <w:t>(on)</w:t>
      </w:r>
      <w:r w:rsidR="00BF3F29" w:rsidRPr="00121A6A">
        <w:rPr>
          <w:sz w:val="24"/>
          <w:szCs w:val="24"/>
        </w:rPr>
        <w:t xml:space="preserve">verenigbaarheid van het handelen van een lidstaat (of </w:t>
      </w:r>
      <w:r w:rsidR="008B022E" w:rsidRPr="00121A6A">
        <w:rPr>
          <w:sz w:val="24"/>
          <w:szCs w:val="24"/>
        </w:rPr>
        <w:t xml:space="preserve">een </w:t>
      </w:r>
      <w:r w:rsidR="00844B74" w:rsidRPr="00121A6A">
        <w:rPr>
          <w:sz w:val="24"/>
          <w:szCs w:val="24"/>
        </w:rPr>
        <w:t>vakbond</w:t>
      </w:r>
      <w:r w:rsidR="00BF3F29" w:rsidRPr="00121A6A">
        <w:rPr>
          <w:sz w:val="24"/>
          <w:szCs w:val="24"/>
        </w:rPr>
        <w:t xml:space="preserve">) met </w:t>
      </w:r>
      <w:r w:rsidR="00236C19">
        <w:rPr>
          <w:sz w:val="24"/>
          <w:szCs w:val="24"/>
        </w:rPr>
        <w:t xml:space="preserve">het </w:t>
      </w:r>
      <w:r w:rsidR="00BF3F29" w:rsidRPr="00121A6A">
        <w:rPr>
          <w:sz w:val="24"/>
          <w:szCs w:val="24"/>
        </w:rPr>
        <w:t xml:space="preserve">Unierecht. </w:t>
      </w:r>
      <w:r w:rsidR="00236C19">
        <w:rPr>
          <w:sz w:val="24"/>
          <w:szCs w:val="24"/>
        </w:rPr>
        <w:t>Aan deze arresten</w:t>
      </w:r>
      <w:r w:rsidR="00BF3F29" w:rsidRPr="00121A6A">
        <w:rPr>
          <w:sz w:val="24"/>
          <w:szCs w:val="24"/>
        </w:rPr>
        <w:t xml:space="preserve"> kan volgens </w:t>
      </w:r>
      <w:proofErr w:type="spellStart"/>
      <w:r w:rsidR="00BF3F29" w:rsidRPr="00121A6A">
        <w:rPr>
          <w:sz w:val="24"/>
          <w:szCs w:val="24"/>
        </w:rPr>
        <w:t>Lintsen</w:t>
      </w:r>
      <w:proofErr w:type="spellEnd"/>
      <w:r w:rsidR="00BF3F29" w:rsidRPr="00121A6A">
        <w:rPr>
          <w:sz w:val="24"/>
          <w:szCs w:val="24"/>
        </w:rPr>
        <w:t xml:space="preserve"> </w:t>
      </w:r>
      <w:r w:rsidR="00236C19">
        <w:rPr>
          <w:sz w:val="24"/>
          <w:szCs w:val="24"/>
        </w:rPr>
        <w:t xml:space="preserve">dan ook </w:t>
      </w:r>
      <w:r w:rsidR="00BF3F29" w:rsidRPr="00121A6A">
        <w:rPr>
          <w:sz w:val="24"/>
          <w:szCs w:val="24"/>
        </w:rPr>
        <w:t xml:space="preserve">niet in algemene zin de conclusie worden verbonden dat </w:t>
      </w:r>
      <w:r w:rsidR="00AD7A7A">
        <w:rPr>
          <w:sz w:val="24"/>
          <w:szCs w:val="24"/>
        </w:rPr>
        <w:t xml:space="preserve">aan </w:t>
      </w:r>
      <w:r w:rsidR="00BF3F29" w:rsidRPr="00121A6A">
        <w:rPr>
          <w:sz w:val="24"/>
          <w:szCs w:val="24"/>
        </w:rPr>
        <w:t>lidstaten</w:t>
      </w:r>
      <w:r w:rsidR="007C15F3" w:rsidRPr="00121A6A">
        <w:rPr>
          <w:sz w:val="24"/>
          <w:szCs w:val="24"/>
        </w:rPr>
        <w:t xml:space="preserve"> </w:t>
      </w:r>
      <w:r w:rsidR="00BF3F29" w:rsidRPr="00121A6A">
        <w:rPr>
          <w:sz w:val="24"/>
          <w:szCs w:val="24"/>
        </w:rPr>
        <w:t xml:space="preserve">geen of </w:t>
      </w:r>
      <w:r w:rsidR="008A7677" w:rsidRPr="00121A6A">
        <w:rPr>
          <w:sz w:val="24"/>
          <w:szCs w:val="24"/>
        </w:rPr>
        <w:t>minder</w:t>
      </w:r>
      <w:r w:rsidR="00BF3F29" w:rsidRPr="00121A6A">
        <w:rPr>
          <w:sz w:val="24"/>
          <w:szCs w:val="24"/>
        </w:rPr>
        <w:t xml:space="preserve"> beoordelingsmarge toekomt bij het</w:t>
      </w:r>
      <w:r w:rsidR="00F94454">
        <w:rPr>
          <w:sz w:val="24"/>
          <w:szCs w:val="24"/>
        </w:rPr>
        <w:t xml:space="preserve"> beoordelen van de evenredigheid van </w:t>
      </w:r>
      <w:r w:rsidR="00F94454" w:rsidRPr="00121A6A">
        <w:rPr>
          <w:sz w:val="24"/>
          <w:szCs w:val="24"/>
        </w:rPr>
        <w:t>een beperking van economische vrijheden</w:t>
      </w:r>
      <w:r w:rsidR="00BF3F29" w:rsidRPr="00121A6A">
        <w:rPr>
          <w:sz w:val="24"/>
          <w:szCs w:val="24"/>
        </w:rPr>
        <w:t>.</w:t>
      </w:r>
      <w:r w:rsidR="00BF3F29" w:rsidRPr="00121A6A">
        <w:rPr>
          <w:rStyle w:val="FootnoteReference"/>
          <w:sz w:val="24"/>
          <w:szCs w:val="24"/>
        </w:rPr>
        <w:footnoteReference w:id="80"/>
      </w:r>
      <w:r w:rsidR="00BF3F29" w:rsidRPr="00121A6A">
        <w:rPr>
          <w:sz w:val="24"/>
          <w:szCs w:val="24"/>
        </w:rPr>
        <w:t xml:space="preserve"> </w:t>
      </w:r>
      <w:r w:rsidR="00F94454">
        <w:rPr>
          <w:sz w:val="24"/>
          <w:szCs w:val="24"/>
        </w:rPr>
        <w:t>I</w:t>
      </w:r>
      <w:r w:rsidR="00AD7A7A">
        <w:rPr>
          <w:sz w:val="24"/>
          <w:szCs w:val="24"/>
        </w:rPr>
        <w:t xml:space="preserve">n mijn opinie </w:t>
      </w:r>
      <w:r w:rsidR="00F94454">
        <w:rPr>
          <w:sz w:val="24"/>
          <w:szCs w:val="24"/>
        </w:rPr>
        <w:t xml:space="preserve">geldt dat </w:t>
      </w:r>
      <w:r w:rsidR="00AD7A7A">
        <w:rPr>
          <w:sz w:val="24"/>
          <w:szCs w:val="24"/>
        </w:rPr>
        <w:t>des te meer</w:t>
      </w:r>
      <w:r w:rsidR="00B05D8A" w:rsidRPr="00121A6A">
        <w:rPr>
          <w:sz w:val="24"/>
          <w:szCs w:val="24"/>
        </w:rPr>
        <w:t xml:space="preserve"> </w:t>
      </w:r>
      <w:r w:rsidR="00AD7A7A">
        <w:rPr>
          <w:sz w:val="24"/>
          <w:szCs w:val="24"/>
        </w:rPr>
        <w:t xml:space="preserve">nu </w:t>
      </w:r>
      <w:r w:rsidR="00B05D8A" w:rsidRPr="00121A6A">
        <w:rPr>
          <w:sz w:val="24"/>
          <w:szCs w:val="24"/>
        </w:rPr>
        <w:t xml:space="preserve">het Hof in </w:t>
      </w:r>
      <w:r w:rsidR="00B05D8A" w:rsidRPr="00121A6A">
        <w:rPr>
          <w:i/>
          <w:iCs/>
          <w:sz w:val="24"/>
          <w:szCs w:val="24"/>
        </w:rPr>
        <w:t>IX</w:t>
      </w:r>
      <w:r w:rsidR="00157C03" w:rsidRPr="00121A6A">
        <w:rPr>
          <w:i/>
          <w:iCs/>
          <w:sz w:val="24"/>
          <w:szCs w:val="24"/>
        </w:rPr>
        <w:t>/</w:t>
      </w:r>
      <w:r w:rsidR="00B05D8A" w:rsidRPr="00121A6A">
        <w:rPr>
          <w:i/>
          <w:iCs/>
          <w:sz w:val="24"/>
          <w:szCs w:val="24"/>
        </w:rPr>
        <w:t xml:space="preserve">WABE </w:t>
      </w:r>
      <w:r w:rsidR="00B05D8A" w:rsidRPr="00121A6A">
        <w:rPr>
          <w:sz w:val="24"/>
          <w:szCs w:val="24"/>
        </w:rPr>
        <w:t xml:space="preserve">aan lidstaten wél discretionaire </w:t>
      </w:r>
      <w:r w:rsidR="00FF6E19">
        <w:rPr>
          <w:sz w:val="24"/>
          <w:szCs w:val="24"/>
        </w:rPr>
        <w:t>vrijheid</w:t>
      </w:r>
      <w:r w:rsidR="00AD7A7A">
        <w:rPr>
          <w:sz w:val="24"/>
          <w:szCs w:val="24"/>
        </w:rPr>
        <w:t xml:space="preserve"> toekende</w:t>
      </w:r>
      <w:r w:rsidR="00D82D4D" w:rsidRPr="00121A6A">
        <w:rPr>
          <w:sz w:val="24"/>
          <w:szCs w:val="24"/>
        </w:rPr>
        <w:t xml:space="preserve"> </w:t>
      </w:r>
      <w:r w:rsidR="00B05D8A" w:rsidRPr="00121A6A">
        <w:rPr>
          <w:sz w:val="24"/>
          <w:szCs w:val="24"/>
        </w:rPr>
        <w:t xml:space="preserve">om méér bescherming te bieden dan het door </w:t>
      </w:r>
      <w:r w:rsidR="002941DA">
        <w:rPr>
          <w:sz w:val="24"/>
          <w:szCs w:val="24"/>
        </w:rPr>
        <w:t>Richtlijn 2000/78/EG</w:t>
      </w:r>
      <w:r w:rsidR="00B05D8A" w:rsidRPr="00121A6A">
        <w:rPr>
          <w:sz w:val="24"/>
          <w:szCs w:val="24"/>
        </w:rPr>
        <w:t xml:space="preserve"> voorgeschreven minimum</w:t>
      </w:r>
      <w:r w:rsidR="008630A1" w:rsidRPr="00121A6A">
        <w:rPr>
          <w:sz w:val="24"/>
          <w:szCs w:val="24"/>
        </w:rPr>
        <w:t>niveau</w:t>
      </w:r>
      <w:r w:rsidR="00B05D8A" w:rsidRPr="00121A6A">
        <w:rPr>
          <w:sz w:val="24"/>
          <w:szCs w:val="24"/>
        </w:rPr>
        <w:t>.</w:t>
      </w:r>
      <w:r w:rsidR="006D2B84" w:rsidRPr="00121A6A">
        <w:rPr>
          <w:rStyle w:val="FootnoteReference"/>
          <w:sz w:val="24"/>
          <w:szCs w:val="24"/>
        </w:rPr>
        <w:footnoteReference w:id="81"/>
      </w:r>
      <w:r w:rsidR="00D82D4D" w:rsidRPr="00121A6A">
        <w:rPr>
          <w:sz w:val="24"/>
          <w:szCs w:val="24"/>
        </w:rPr>
        <w:t xml:space="preserve"> </w:t>
      </w:r>
      <w:r w:rsidR="00B05D8A" w:rsidRPr="00121A6A">
        <w:rPr>
          <w:sz w:val="24"/>
          <w:szCs w:val="24"/>
        </w:rPr>
        <w:t>Het Hof overwoog</w:t>
      </w:r>
      <w:r w:rsidR="009C51FC" w:rsidRPr="00121A6A">
        <w:rPr>
          <w:sz w:val="24"/>
          <w:szCs w:val="24"/>
        </w:rPr>
        <w:t xml:space="preserve"> </w:t>
      </w:r>
      <w:r w:rsidR="00B05D8A" w:rsidRPr="00121A6A">
        <w:rPr>
          <w:sz w:val="24"/>
          <w:szCs w:val="24"/>
        </w:rPr>
        <w:t>dat</w:t>
      </w:r>
      <w:r w:rsidR="00022AB4">
        <w:rPr>
          <w:sz w:val="24"/>
          <w:szCs w:val="24"/>
        </w:rPr>
        <w:t xml:space="preserve"> de vrijheid van ondernemerschap, zoals verankerd in</w:t>
      </w:r>
      <w:r w:rsidR="00D82D4D" w:rsidRPr="00121A6A">
        <w:rPr>
          <w:sz w:val="24"/>
          <w:szCs w:val="24"/>
        </w:rPr>
        <w:t xml:space="preserve"> artikel 16 </w:t>
      </w:r>
      <w:r w:rsidR="00453DF0" w:rsidRPr="00121A6A">
        <w:rPr>
          <w:sz w:val="24"/>
          <w:szCs w:val="24"/>
        </w:rPr>
        <w:t>Hv</w:t>
      </w:r>
      <w:r w:rsidR="00022AB4">
        <w:rPr>
          <w:sz w:val="24"/>
          <w:szCs w:val="24"/>
        </w:rPr>
        <w:t>,</w:t>
      </w:r>
      <w:r w:rsidR="00D82D4D" w:rsidRPr="00121A6A">
        <w:rPr>
          <w:sz w:val="24"/>
          <w:szCs w:val="24"/>
        </w:rPr>
        <w:t xml:space="preserve"> </w:t>
      </w:r>
      <w:r w:rsidR="008630A1" w:rsidRPr="00121A6A">
        <w:rPr>
          <w:sz w:val="24"/>
          <w:szCs w:val="24"/>
        </w:rPr>
        <w:t xml:space="preserve">niet maakt dat </w:t>
      </w:r>
      <w:r w:rsidR="002941DA">
        <w:rPr>
          <w:sz w:val="24"/>
          <w:szCs w:val="24"/>
        </w:rPr>
        <w:t xml:space="preserve">deze minimumharmonisatierichtlijn </w:t>
      </w:r>
      <w:r w:rsidR="008630A1" w:rsidRPr="00121A6A">
        <w:rPr>
          <w:i/>
          <w:iCs/>
          <w:sz w:val="24"/>
          <w:szCs w:val="24"/>
        </w:rPr>
        <w:t xml:space="preserve">de facto </w:t>
      </w:r>
      <w:r w:rsidR="008630A1" w:rsidRPr="00121A6A">
        <w:rPr>
          <w:sz w:val="24"/>
          <w:szCs w:val="24"/>
        </w:rPr>
        <w:t xml:space="preserve">een standaardkarakter krijgt. </w:t>
      </w:r>
      <w:r w:rsidR="003E191F" w:rsidRPr="00121A6A">
        <w:rPr>
          <w:sz w:val="24"/>
          <w:szCs w:val="24"/>
        </w:rPr>
        <w:t>Hoewel dus argumenten opgaan voor een marginale</w:t>
      </w:r>
      <w:r w:rsidR="001576B1">
        <w:rPr>
          <w:sz w:val="24"/>
          <w:szCs w:val="24"/>
        </w:rPr>
        <w:t>re</w:t>
      </w:r>
      <w:r w:rsidR="003E191F" w:rsidRPr="00121A6A">
        <w:rPr>
          <w:sz w:val="24"/>
          <w:szCs w:val="24"/>
        </w:rPr>
        <w:t xml:space="preserve"> opstelling van het Hof, is vooralsnog </w:t>
      </w:r>
      <w:r w:rsidR="00BF3F29" w:rsidRPr="00121A6A">
        <w:rPr>
          <w:sz w:val="24"/>
          <w:szCs w:val="24"/>
        </w:rPr>
        <w:t>niet uitgekristalliseerd</w:t>
      </w:r>
      <w:r w:rsidR="0048183E" w:rsidRPr="00121A6A">
        <w:rPr>
          <w:sz w:val="24"/>
          <w:szCs w:val="24"/>
        </w:rPr>
        <w:t xml:space="preserve"> wat de invloed</w:t>
      </w:r>
      <w:r w:rsidR="00F94454" w:rsidRPr="00F94454">
        <w:rPr>
          <w:sz w:val="24"/>
          <w:szCs w:val="24"/>
        </w:rPr>
        <w:t xml:space="preserve"> </w:t>
      </w:r>
      <w:r w:rsidR="00F94454" w:rsidRPr="00121A6A">
        <w:rPr>
          <w:sz w:val="24"/>
          <w:szCs w:val="24"/>
        </w:rPr>
        <w:t>hiervan</w:t>
      </w:r>
      <w:r w:rsidR="0048183E" w:rsidRPr="00121A6A">
        <w:rPr>
          <w:sz w:val="24"/>
          <w:szCs w:val="24"/>
        </w:rPr>
        <w:t xml:space="preserve"> is of kan zijn op</w:t>
      </w:r>
      <w:r w:rsidR="00BE6066" w:rsidRPr="00121A6A">
        <w:rPr>
          <w:sz w:val="24"/>
          <w:szCs w:val="24"/>
        </w:rPr>
        <w:t xml:space="preserve"> </w:t>
      </w:r>
      <w:r w:rsidR="0048183E" w:rsidRPr="00121A6A">
        <w:rPr>
          <w:sz w:val="24"/>
          <w:szCs w:val="24"/>
        </w:rPr>
        <w:t xml:space="preserve">een staking die </w:t>
      </w:r>
      <w:r w:rsidR="008B022E" w:rsidRPr="00121A6A">
        <w:rPr>
          <w:sz w:val="24"/>
          <w:szCs w:val="24"/>
        </w:rPr>
        <w:t>markt</w:t>
      </w:r>
      <w:r w:rsidR="0048183E" w:rsidRPr="00121A6A">
        <w:rPr>
          <w:sz w:val="24"/>
          <w:szCs w:val="24"/>
        </w:rPr>
        <w:t>vrijheden belemmert.</w:t>
      </w:r>
      <w:r w:rsidR="00BF3F29" w:rsidRPr="00121A6A">
        <w:rPr>
          <w:sz w:val="24"/>
          <w:szCs w:val="24"/>
        </w:rPr>
        <w:t xml:space="preserve"> </w:t>
      </w:r>
      <w:r w:rsidR="003E191F" w:rsidRPr="00121A6A">
        <w:rPr>
          <w:sz w:val="24"/>
          <w:szCs w:val="24"/>
        </w:rPr>
        <w:t>T</w:t>
      </w:r>
      <w:r w:rsidR="00BF3F29" w:rsidRPr="00121A6A">
        <w:rPr>
          <w:sz w:val="24"/>
          <w:szCs w:val="24"/>
        </w:rPr>
        <w:t>oekomstige jurisprudentie zal</w:t>
      </w:r>
      <w:r w:rsidR="0048183E" w:rsidRPr="00121A6A">
        <w:rPr>
          <w:sz w:val="24"/>
          <w:szCs w:val="24"/>
        </w:rPr>
        <w:t xml:space="preserve"> dit</w:t>
      </w:r>
      <w:r w:rsidR="00BF3F29" w:rsidRPr="00121A6A">
        <w:rPr>
          <w:sz w:val="24"/>
          <w:szCs w:val="24"/>
        </w:rPr>
        <w:t xml:space="preserve"> (moeten) uitwijzen</w:t>
      </w:r>
      <w:r w:rsidR="003E191F" w:rsidRPr="00121A6A">
        <w:rPr>
          <w:sz w:val="24"/>
          <w:szCs w:val="24"/>
        </w:rPr>
        <w:t>.</w:t>
      </w:r>
    </w:p>
    <w:p w14:paraId="089AADC7" w14:textId="77777777" w:rsidR="00AA7580" w:rsidRPr="00121A6A" w:rsidRDefault="00AA7580" w:rsidP="00723B1A">
      <w:pPr>
        <w:spacing w:after="0"/>
        <w:jc w:val="both"/>
        <w:rPr>
          <w:sz w:val="24"/>
          <w:szCs w:val="24"/>
        </w:rPr>
      </w:pPr>
    </w:p>
    <w:p w14:paraId="6B8A1139" w14:textId="44F1F86C" w:rsidR="00AA7580" w:rsidRPr="00121A6A" w:rsidRDefault="00311A24" w:rsidP="00D33B14">
      <w:pPr>
        <w:pStyle w:val="Heading3"/>
        <w:jc w:val="both"/>
        <w:rPr>
          <w:sz w:val="24"/>
          <w:szCs w:val="24"/>
        </w:rPr>
      </w:pPr>
      <w:bookmarkStart w:id="37" w:name="_Toc169963055"/>
      <w:r>
        <w:rPr>
          <w:sz w:val="24"/>
          <w:szCs w:val="24"/>
        </w:rPr>
        <w:t>R</w:t>
      </w:r>
      <w:r w:rsidR="00DA59F7" w:rsidRPr="00121A6A">
        <w:rPr>
          <w:sz w:val="24"/>
          <w:szCs w:val="24"/>
        </w:rPr>
        <w:t xml:space="preserve">echtstreekse werking </w:t>
      </w:r>
      <w:r w:rsidR="00491F7B">
        <w:rPr>
          <w:sz w:val="24"/>
          <w:szCs w:val="24"/>
        </w:rPr>
        <w:t xml:space="preserve">van </w:t>
      </w:r>
      <w:r w:rsidR="00DA59F7" w:rsidRPr="00121A6A">
        <w:rPr>
          <w:sz w:val="24"/>
          <w:szCs w:val="24"/>
        </w:rPr>
        <w:t>a</w:t>
      </w:r>
      <w:r w:rsidR="00AA7580" w:rsidRPr="00121A6A">
        <w:rPr>
          <w:sz w:val="24"/>
          <w:szCs w:val="24"/>
        </w:rPr>
        <w:t xml:space="preserve">rtikel 28 </w:t>
      </w:r>
      <w:r w:rsidR="00453DF0" w:rsidRPr="00121A6A">
        <w:rPr>
          <w:sz w:val="24"/>
          <w:szCs w:val="24"/>
        </w:rPr>
        <w:t>Hv</w:t>
      </w:r>
      <w:bookmarkEnd w:id="37"/>
    </w:p>
    <w:p w14:paraId="58425516" w14:textId="15F21DF6" w:rsidR="000408B7" w:rsidRPr="00121A6A" w:rsidRDefault="009D7CF7" w:rsidP="00723B1A">
      <w:pPr>
        <w:spacing w:after="0"/>
        <w:jc w:val="both"/>
        <w:rPr>
          <w:sz w:val="24"/>
          <w:szCs w:val="24"/>
        </w:rPr>
      </w:pPr>
      <w:r w:rsidRPr="00121A6A">
        <w:rPr>
          <w:sz w:val="24"/>
          <w:szCs w:val="24"/>
        </w:rPr>
        <w:t xml:space="preserve">Behalve een </w:t>
      </w:r>
      <w:r w:rsidR="002C77B3" w:rsidRPr="00121A6A">
        <w:rPr>
          <w:sz w:val="24"/>
          <w:szCs w:val="24"/>
        </w:rPr>
        <w:t xml:space="preserve">mogelijk </w:t>
      </w:r>
      <w:r w:rsidR="00365B05" w:rsidRPr="00121A6A">
        <w:rPr>
          <w:sz w:val="24"/>
          <w:szCs w:val="24"/>
        </w:rPr>
        <w:t>gematigdere</w:t>
      </w:r>
      <w:r w:rsidRPr="00121A6A">
        <w:rPr>
          <w:sz w:val="24"/>
          <w:szCs w:val="24"/>
        </w:rPr>
        <w:t xml:space="preserve"> benadering aan de zijde van het Hof, is ook anderszins het </w:t>
      </w:r>
      <w:r w:rsidR="00F12BD0">
        <w:rPr>
          <w:sz w:val="24"/>
          <w:szCs w:val="24"/>
        </w:rPr>
        <w:t>Unierechtelijke stakingsrecht</w:t>
      </w:r>
      <w:r w:rsidRPr="00121A6A">
        <w:rPr>
          <w:sz w:val="24"/>
          <w:szCs w:val="24"/>
        </w:rPr>
        <w:t xml:space="preserve"> geëvolueerd in de rechtspraak.</w:t>
      </w:r>
      <w:r w:rsidR="008128BC" w:rsidRPr="00121A6A">
        <w:rPr>
          <w:sz w:val="24"/>
          <w:szCs w:val="24"/>
        </w:rPr>
        <w:t xml:space="preserve"> </w:t>
      </w:r>
      <w:r w:rsidR="009F3DC4" w:rsidRPr="00121A6A">
        <w:rPr>
          <w:sz w:val="24"/>
          <w:szCs w:val="24"/>
        </w:rPr>
        <w:t xml:space="preserve">Begin 2020 </w:t>
      </w:r>
      <w:r w:rsidR="00B85133" w:rsidRPr="00121A6A">
        <w:rPr>
          <w:sz w:val="24"/>
          <w:szCs w:val="24"/>
        </w:rPr>
        <w:t>bevestigde</w:t>
      </w:r>
      <w:r w:rsidRPr="00121A6A">
        <w:rPr>
          <w:sz w:val="24"/>
          <w:szCs w:val="24"/>
        </w:rPr>
        <w:t xml:space="preserve"> het Gerecht de</w:t>
      </w:r>
      <w:r w:rsidR="00674954" w:rsidRPr="00121A6A">
        <w:rPr>
          <w:sz w:val="24"/>
          <w:szCs w:val="24"/>
        </w:rPr>
        <w:t xml:space="preserve"> (sterke)</w:t>
      </w:r>
      <w:r w:rsidRPr="00121A6A">
        <w:rPr>
          <w:sz w:val="24"/>
          <w:szCs w:val="24"/>
        </w:rPr>
        <w:t xml:space="preserve"> status van artikel 28 </w:t>
      </w:r>
      <w:r w:rsidR="00453DF0" w:rsidRPr="00121A6A">
        <w:rPr>
          <w:sz w:val="24"/>
          <w:szCs w:val="24"/>
        </w:rPr>
        <w:t>Hv</w:t>
      </w:r>
      <w:r w:rsidRPr="00121A6A">
        <w:rPr>
          <w:sz w:val="24"/>
          <w:szCs w:val="24"/>
        </w:rPr>
        <w:t xml:space="preserve"> als </w:t>
      </w:r>
      <w:r w:rsidR="006F778E" w:rsidRPr="00121A6A">
        <w:rPr>
          <w:sz w:val="24"/>
          <w:szCs w:val="24"/>
        </w:rPr>
        <w:t xml:space="preserve">rechtstreeks werkend </w:t>
      </w:r>
      <w:r w:rsidRPr="00121A6A">
        <w:rPr>
          <w:sz w:val="24"/>
          <w:szCs w:val="24"/>
        </w:rPr>
        <w:t>recht.</w:t>
      </w:r>
      <w:r w:rsidR="00E05B20" w:rsidRPr="00121A6A">
        <w:rPr>
          <w:rStyle w:val="FootnoteReference"/>
          <w:sz w:val="24"/>
          <w:szCs w:val="24"/>
        </w:rPr>
        <w:footnoteReference w:id="82"/>
      </w:r>
      <w:r w:rsidRPr="00121A6A">
        <w:rPr>
          <w:sz w:val="24"/>
          <w:szCs w:val="24"/>
        </w:rPr>
        <w:t xml:space="preserve"> </w:t>
      </w:r>
      <w:r w:rsidR="00BF0F59" w:rsidRPr="00121A6A">
        <w:rPr>
          <w:sz w:val="24"/>
          <w:szCs w:val="24"/>
        </w:rPr>
        <w:t xml:space="preserve">Aanleiding voor </w:t>
      </w:r>
      <w:r w:rsidR="005B65C3" w:rsidRPr="00121A6A">
        <w:rPr>
          <w:sz w:val="24"/>
          <w:szCs w:val="24"/>
        </w:rPr>
        <w:t>deze uitspraak</w:t>
      </w:r>
      <w:r w:rsidR="00BF0F59" w:rsidRPr="00121A6A">
        <w:rPr>
          <w:sz w:val="24"/>
          <w:szCs w:val="24"/>
        </w:rPr>
        <w:t xml:space="preserve"> </w:t>
      </w:r>
      <w:r w:rsidR="00F12BD0">
        <w:rPr>
          <w:sz w:val="24"/>
          <w:szCs w:val="24"/>
        </w:rPr>
        <w:t>was</w:t>
      </w:r>
      <w:r w:rsidR="00BF0F59" w:rsidRPr="00121A6A">
        <w:rPr>
          <w:sz w:val="24"/>
          <w:szCs w:val="24"/>
        </w:rPr>
        <w:t xml:space="preserve"> een collectief arbeidsconflict </w:t>
      </w:r>
      <w:r w:rsidR="00365B05" w:rsidRPr="00121A6A">
        <w:rPr>
          <w:sz w:val="24"/>
          <w:szCs w:val="24"/>
        </w:rPr>
        <w:t>tussen</w:t>
      </w:r>
      <w:r w:rsidR="00BF0F59" w:rsidRPr="00121A6A">
        <w:rPr>
          <w:sz w:val="24"/>
          <w:szCs w:val="24"/>
        </w:rPr>
        <w:t xml:space="preserve"> </w:t>
      </w:r>
      <w:r w:rsidR="00886A80">
        <w:rPr>
          <w:sz w:val="24"/>
          <w:szCs w:val="24"/>
        </w:rPr>
        <w:t xml:space="preserve">de </w:t>
      </w:r>
      <w:r w:rsidR="00BF0F59" w:rsidRPr="00121A6A">
        <w:rPr>
          <w:sz w:val="24"/>
          <w:szCs w:val="24"/>
        </w:rPr>
        <w:t xml:space="preserve">tolken in loondienst van het </w:t>
      </w:r>
      <w:r w:rsidR="00365B05" w:rsidRPr="00121A6A">
        <w:rPr>
          <w:sz w:val="24"/>
          <w:szCs w:val="24"/>
        </w:rPr>
        <w:t>Europees</w:t>
      </w:r>
      <w:r w:rsidR="00BF0F59" w:rsidRPr="00121A6A">
        <w:rPr>
          <w:sz w:val="24"/>
          <w:szCs w:val="24"/>
        </w:rPr>
        <w:t xml:space="preserve"> Parlement en het </w:t>
      </w:r>
      <w:r w:rsidR="00731B5E" w:rsidRPr="00121A6A">
        <w:rPr>
          <w:sz w:val="24"/>
          <w:szCs w:val="24"/>
        </w:rPr>
        <w:t xml:space="preserve">Europees </w:t>
      </w:r>
      <w:r w:rsidR="00BF0F59" w:rsidRPr="00121A6A">
        <w:rPr>
          <w:sz w:val="24"/>
          <w:szCs w:val="24"/>
        </w:rPr>
        <w:t xml:space="preserve">Parlement zelf. De secretaris-generaal van het </w:t>
      </w:r>
      <w:r w:rsidR="00731B5E" w:rsidRPr="00121A6A">
        <w:rPr>
          <w:sz w:val="24"/>
          <w:szCs w:val="24"/>
        </w:rPr>
        <w:t xml:space="preserve">Europees </w:t>
      </w:r>
      <w:r w:rsidR="00BF0F59" w:rsidRPr="00121A6A">
        <w:rPr>
          <w:sz w:val="24"/>
          <w:szCs w:val="24"/>
        </w:rPr>
        <w:t xml:space="preserve">Parlement had </w:t>
      </w:r>
      <w:r w:rsidR="00570B29" w:rsidRPr="00121A6A">
        <w:rPr>
          <w:sz w:val="24"/>
          <w:szCs w:val="24"/>
        </w:rPr>
        <w:t xml:space="preserve">eenzijdig de </w:t>
      </w:r>
      <w:r w:rsidR="00BF0F59" w:rsidRPr="00121A6A">
        <w:rPr>
          <w:sz w:val="24"/>
          <w:szCs w:val="24"/>
        </w:rPr>
        <w:t>arbeidsvoorwaarden van de</w:t>
      </w:r>
      <w:r w:rsidR="00135A50" w:rsidRPr="00121A6A">
        <w:rPr>
          <w:sz w:val="24"/>
          <w:szCs w:val="24"/>
        </w:rPr>
        <w:t>ze</w:t>
      </w:r>
      <w:r w:rsidR="00BF0F59" w:rsidRPr="00121A6A">
        <w:rPr>
          <w:sz w:val="24"/>
          <w:szCs w:val="24"/>
        </w:rPr>
        <w:t xml:space="preserve"> tolken </w:t>
      </w:r>
      <w:r w:rsidR="00674954" w:rsidRPr="00121A6A">
        <w:rPr>
          <w:sz w:val="24"/>
          <w:szCs w:val="24"/>
        </w:rPr>
        <w:t>gewijzigd</w:t>
      </w:r>
      <w:r w:rsidR="00BF0F59" w:rsidRPr="00121A6A">
        <w:rPr>
          <w:sz w:val="24"/>
          <w:szCs w:val="24"/>
        </w:rPr>
        <w:t>. Dit noopt</w:t>
      </w:r>
      <w:r w:rsidR="00D86B1A" w:rsidRPr="00121A6A">
        <w:rPr>
          <w:sz w:val="24"/>
          <w:szCs w:val="24"/>
        </w:rPr>
        <w:t>e</w:t>
      </w:r>
      <w:r w:rsidR="00BF0F59" w:rsidRPr="00121A6A">
        <w:rPr>
          <w:sz w:val="24"/>
          <w:szCs w:val="24"/>
        </w:rPr>
        <w:t xml:space="preserve"> </w:t>
      </w:r>
      <w:r w:rsidR="00D86B1A" w:rsidRPr="00121A6A">
        <w:rPr>
          <w:sz w:val="24"/>
          <w:szCs w:val="24"/>
        </w:rPr>
        <w:t xml:space="preserve">de vakbond voor Europese ambtenaren </w:t>
      </w:r>
      <w:r w:rsidR="00BF0F59" w:rsidRPr="00121A6A">
        <w:rPr>
          <w:sz w:val="24"/>
          <w:szCs w:val="24"/>
        </w:rPr>
        <w:t>tot een stakingsaanzegging</w:t>
      </w:r>
      <w:r w:rsidR="00D86B1A" w:rsidRPr="00121A6A">
        <w:rPr>
          <w:sz w:val="24"/>
          <w:szCs w:val="24"/>
        </w:rPr>
        <w:t>. D</w:t>
      </w:r>
      <w:r w:rsidR="00731B5E" w:rsidRPr="00121A6A">
        <w:rPr>
          <w:sz w:val="24"/>
          <w:szCs w:val="24"/>
        </w:rPr>
        <w:t xml:space="preserve">oor het oproepen van tolken besloot </w:t>
      </w:r>
      <w:r w:rsidR="00E05B20" w:rsidRPr="00121A6A">
        <w:rPr>
          <w:sz w:val="24"/>
          <w:szCs w:val="24"/>
        </w:rPr>
        <w:t xml:space="preserve">de directeur-generaal </w:t>
      </w:r>
      <w:r w:rsidR="00731B5E" w:rsidRPr="00121A6A">
        <w:rPr>
          <w:sz w:val="24"/>
          <w:szCs w:val="24"/>
        </w:rPr>
        <w:t xml:space="preserve">van de afdeling </w:t>
      </w:r>
      <w:r w:rsidR="00FE4E8E">
        <w:rPr>
          <w:sz w:val="24"/>
          <w:szCs w:val="24"/>
        </w:rPr>
        <w:t>P</w:t>
      </w:r>
      <w:r w:rsidR="00E05B20" w:rsidRPr="00121A6A">
        <w:rPr>
          <w:sz w:val="24"/>
          <w:szCs w:val="24"/>
        </w:rPr>
        <w:t xml:space="preserve">ersoneelszaken van het </w:t>
      </w:r>
      <w:r w:rsidR="00731B5E" w:rsidRPr="00121A6A">
        <w:rPr>
          <w:sz w:val="24"/>
          <w:szCs w:val="24"/>
        </w:rPr>
        <w:t xml:space="preserve">Europees </w:t>
      </w:r>
      <w:r w:rsidR="00E05B20" w:rsidRPr="00121A6A">
        <w:rPr>
          <w:sz w:val="24"/>
          <w:szCs w:val="24"/>
        </w:rPr>
        <w:t>Parlement</w:t>
      </w:r>
      <w:r w:rsidR="00731B5E" w:rsidRPr="00121A6A">
        <w:rPr>
          <w:sz w:val="24"/>
          <w:szCs w:val="24"/>
        </w:rPr>
        <w:t xml:space="preserve"> </w:t>
      </w:r>
      <w:r w:rsidR="00FE4E8E">
        <w:rPr>
          <w:sz w:val="24"/>
          <w:szCs w:val="24"/>
        </w:rPr>
        <w:t xml:space="preserve">om </w:t>
      </w:r>
      <w:r w:rsidR="00D86B1A" w:rsidRPr="00121A6A">
        <w:rPr>
          <w:sz w:val="24"/>
          <w:szCs w:val="24"/>
        </w:rPr>
        <w:t>de staking</w:t>
      </w:r>
      <w:r w:rsidR="00731B5E" w:rsidRPr="00121A6A">
        <w:rPr>
          <w:sz w:val="24"/>
          <w:szCs w:val="24"/>
        </w:rPr>
        <w:t xml:space="preserve"> feitelijk</w:t>
      </w:r>
      <w:r w:rsidR="00D86B1A" w:rsidRPr="00121A6A">
        <w:rPr>
          <w:sz w:val="24"/>
          <w:szCs w:val="24"/>
        </w:rPr>
        <w:t xml:space="preserve"> te verbieden. </w:t>
      </w:r>
      <w:r w:rsidR="006F778E" w:rsidRPr="00121A6A">
        <w:rPr>
          <w:sz w:val="24"/>
          <w:szCs w:val="24"/>
        </w:rPr>
        <w:t>De tolken startte</w:t>
      </w:r>
      <w:r w:rsidR="00D86B1A" w:rsidRPr="00121A6A">
        <w:rPr>
          <w:sz w:val="24"/>
          <w:szCs w:val="24"/>
        </w:rPr>
        <w:t>n</w:t>
      </w:r>
      <w:r w:rsidR="006F778E" w:rsidRPr="00121A6A">
        <w:rPr>
          <w:sz w:val="24"/>
          <w:szCs w:val="24"/>
        </w:rPr>
        <w:t xml:space="preserve"> een procedure</w:t>
      </w:r>
      <w:r w:rsidR="00D86B1A" w:rsidRPr="00121A6A">
        <w:rPr>
          <w:sz w:val="24"/>
          <w:szCs w:val="24"/>
        </w:rPr>
        <w:t>, onder meer strekkende</w:t>
      </w:r>
      <w:r w:rsidR="006F778E" w:rsidRPr="00121A6A">
        <w:rPr>
          <w:sz w:val="24"/>
          <w:szCs w:val="24"/>
        </w:rPr>
        <w:t xml:space="preserve"> tot </w:t>
      </w:r>
      <w:r w:rsidR="00135A50" w:rsidRPr="00121A6A">
        <w:rPr>
          <w:sz w:val="24"/>
          <w:szCs w:val="24"/>
        </w:rPr>
        <w:t>nietigverklaring</w:t>
      </w:r>
      <w:r w:rsidR="006F778E" w:rsidRPr="00121A6A">
        <w:rPr>
          <w:sz w:val="24"/>
          <w:szCs w:val="24"/>
        </w:rPr>
        <w:t xml:space="preserve"> van </w:t>
      </w:r>
      <w:r w:rsidR="00135A50" w:rsidRPr="00121A6A">
        <w:rPr>
          <w:sz w:val="24"/>
          <w:szCs w:val="24"/>
        </w:rPr>
        <w:t>het oproep</w:t>
      </w:r>
      <w:r w:rsidR="003F3848" w:rsidRPr="00121A6A">
        <w:rPr>
          <w:sz w:val="24"/>
          <w:szCs w:val="24"/>
        </w:rPr>
        <w:t>ings</w:t>
      </w:r>
      <w:r w:rsidR="00135A50" w:rsidRPr="00121A6A">
        <w:rPr>
          <w:sz w:val="24"/>
          <w:szCs w:val="24"/>
        </w:rPr>
        <w:t>besluit</w:t>
      </w:r>
      <w:r w:rsidR="006F778E" w:rsidRPr="00121A6A">
        <w:rPr>
          <w:sz w:val="24"/>
          <w:szCs w:val="24"/>
        </w:rPr>
        <w:t xml:space="preserve">. </w:t>
      </w:r>
      <w:r w:rsidR="00D86B1A" w:rsidRPr="00121A6A">
        <w:rPr>
          <w:sz w:val="24"/>
          <w:szCs w:val="24"/>
        </w:rPr>
        <w:t xml:space="preserve">Daartoe voerden zij </w:t>
      </w:r>
      <w:r w:rsidR="00674954" w:rsidRPr="00121A6A">
        <w:rPr>
          <w:sz w:val="24"/>
          <w:szCs w:val="24"/>
        </w:rPr>
        <w:t>onder andere</w:t>
      </w:r>
      <w:r w:rsidR="00D86B1A" w:rsidRPr="00121A6A">
        <w:rPr>
          <w:sz w:val="24"/>
          <w:szCs w:val="24"/>
        </w:rPr>
        <w:t xml:space="preserve"> aan dat het besluit in strijd </w:t>
      </w:r>
      <w:r w:rsidR="00674954" w:rsidRPr="00121A6A">
        <w:rPr>
          <w:sz w:val="24"/>
          <w:szCs w:val="24"/>
        </w:rPr>
        <w:t>was</w:t>
      </w:r>
      <w:r w:rsidR="00D86B1A" w:rsidRPr="00121A6A">
        <w:rPr>
          <w:sz w:val="24"/>
          <w:szCs w:val="24"/>
        </w:rPr>
        <w:t xml:space="preserve"> met</w:t>
      </w:r>
      <w:r w:rsidR="000408B7" w:rsidRPr="00121A6A">
        <w:rPr>
          <w:sz w:val="24"/>
          <w:szCs w:val="24"/>
        </w:rPr>
        <w:t xml:space="preserve"> het grondrecht op collectieve actie zoals neergelegd in</w:t>
      </w:r>
      <w:r w:rsidR="00D86B1A" w:rsidRPr="00121A6A">
        <w:rPr>
          <w:sz w:val="24"/>
          <w:szCs w:val="24"/>
        </w:rPr>
        <w:t xml:space="preserve"> artikel 28 </w:t>
      </w:r>
      <w:r w:rsidR="00453DF0" w:rsidRPr="00121A6A">
        <w:rPr>
          <w:sz w:val="24"/>
          <w:szCs w:val="24"/>
        </w:rPr>
        <w:t>Hv</w:t>
      </w:r>
      <w:r w:rsidR="00D86B1A" w:rsidRPr="00121A6A">
        <w:rPr>
          <w:sz w:val="24"/>
          <w:szCs w:val="24"/>
        </w:rPr>
        <w:t xml:space="preserve">. </w:t>
      </w:r>
    </w:p>
    <w:p w14:paraId="1C69D258" w14:textId="36E087E5" w:rsidR="0017583C" w:rsidRPr="00121A6A" w:rsidRDefault="00674954" w:rsidP="0017583C">
      <w:pPr>
        <w:spacing w:after="0"/>
        <w:ind w:firstLine="708"/>
        <w:jc w:val="both"/>
        <w:rPr>
          <w:sz w:val="24"/>
          <w:szCs w:val="24"/>
        </w:rPr>
      </w:pPr>
      <w:r w:rsidRPr="00121A6A">
        <w:rPr>
          <w:sz w:val="24"/>
          <w:szCs w:val="24"/>
        </w:rPr>
        <w:t xml:space="preserve">Het Gerecht </w:t>
      </w:r>
      <w:r w:rsidR="000408B7" w:rsidRPr="00121A6A">
        <w:rPr>
          <w:sz w:val="24"/>
          <w:szCs w:val="24"/>
        </w:rPr>
        <w:t xml:space="preserve">begon met de overweging dat het Handvest overeenkomstig artikel 51 lid 1 </w:t>
      </w:r>
      <w:r w:rsidR="003F3848" w:rsidRPr="00121A6A">
        <w:rPr>
          <w:sz w:val="24"/>
          <w:szCs w:val="24"/>
        </w:rPr>
        <w:t xml:space="preserve">daarvan </w:t>
      </w:r>
      <w:r w:rsidR="000408B7" w:rsidRPr="00121A6A">
        <w:rPr>
          <w:sz w:val="24"/>
          <w:szCs w:val="24"/>
        </w:rPr>
        <w:t xml:space="preserve">onvoorwaardelijk van toepassing is op een geschil </w:t>
      </w:r>
      <w:r w:rsidR="00732665" w:rsidRPr="00121A6A">
        <w:rPr>
          <w:sz w:val="24"/>
          <w:szCs w:val="24"/>
        </w:rPr>
        <w:t>tussen EU-organen</w:t>
      </w:r>
      <w:r w:rsidR="002463F5">
        <w:rPr>
          <w:sz w:val="24"/>
          <w:szCs w:val="24"/>
        </w:rPr>
        <w:t>.</w:t>
      </w:r>
      <w:r w:rsidR="000408B7" w:rsidRPr="00121A6A">
        <w:rPr>
          <w:sz w:val="24"/>
          <w:szCs w:val="24"/>
        </w:rPr>
        <w:t xml:space="preserve"> Vervolgens </w:t>
      </w:r>
      <w:r w:rsidR="008E1BC0" w:rsidRPr="00121A6A">
        <w:rPr>
          <w:sz w:val="24"/>
          <w:szCs w:val="24"/>
        </w:rPr>
        <w:t xml:space="preserve">stelde het </w:t>
      </w:r>
      <w:r w:rsidR="00732665" w:rsidRPr="00121A6A">
        <w:rPr>
          <w:sz w:val="24"/>
          <w:szCs w:val="24"/>
        </w:rPr>
        <w:t xml:space="preserve">Gerecht </w:t>
      </w:r>
      <w:r w:rsidR="008E1BC0" w:rsidRPr="00121A6A">
        <w:rPr>
          <w:sz w:val="24"/>
          <w:szCs w:val="24"/>
        </w:rPr>
        <w:t>vast dat</w:t>
      </w:r>
      <w:r w:rsidR="000945F0">
        <w:rPr>
          <w:sz w:val="24"/>
          <w:szCs w:val="24"/>
        </w:rPr>
        <w:t xml:space="preserve"> </w:t>
      </w:r>
      <w:r w:rsidR="008E1BC0" w:rsidRPr="00121A6A">
        <w:rPr>
          <w:sz w:val="24"/>
          <w:szCs w:val="24"/>
        </w:rPr>
        <w:t>het stakingsrecht</w:t>
      </w:r>
      <w:r w:rsidR="005B65C3" w:rsidRPr="00121A6A">
        <w:rPr>
          <w:sz w:val="24"/>
          <w:szCs w:val="24"/>
        </w:rPr>
        <w:t xml:space="preserve"> </w:t>
      </w:r>
      <w:r w:rsidR="00AA17EE">
        <w:rPr>
          <w:sz w:val="24"/>
          <w:szCs w:val="24"/>
        </w:rPr>
        <w:t>van de tolken</w:t>
      </w:r>
      <w:r w:rsidR="000945F0">
        <w:rPr>
          <w:sz w:val="24"/>
          <w:szCs w:val="24"/>
        </w:rPr>
        <w:t xml:space="preserve"> door </w:t>
      </w:r>
      <w:r w:rsidR="000945F0" w:rsidRPr="00121A6A">
        <w:rPr>
          <w:sz w:val="24"/>
          <w:szCs w:val="24"/>
        </w:rPr>
        <w:t>het oproepingsbesluit</w:t>
      </w:r>
      <w:r w:rsidR="00AA17EE">
        <w:rPr>
          <w:sz w:val="24"/>
          <w:szCs w:val="24"/>
        </w:rPr>
        <w:t xml:space="preserve"> </w:t>
      </w:r>
      <w:r w:rsidR="000945F0">
        <w:rPr>
          <w:sz w:val="24"/>
          <w:szCs w:val="24"/>
        </w:rPr>
        <w:t>werd beperkt</w:t>
      </w:r>
      <w:r w:rsidR="0077099C">
        <w:rPr>
          <w:sz w:val="24"/>
          <w:szCs w:val="24"/>
        </w:rPr>
        <w:t>. Deze beperking moest overeenkomstig</w:t>
      </w:r>
      <w:r w:rsidR="0069677A" w:rsidRPr="00121A6A">
        <w:rPr>
          <w:sz w:val="24"/>
          <w:szCs w:val="24"/>
        </w:rPr>
        <w:t xml:space="preserve"> artikel 52 lid 1 Hv </w:t>
      </w:r>
      <w:r w:rsidR="00207E25" w:rsidRPr="00121A6A">
        <w:rPr>
          <w:sz w:val="24"/>
          <w:szCs w:val="24"/>
        </w:rPr>
        <w:t xml:space="preserve">kunnen </w:t>
      </w:r>
      <w:r w:rsidR="0069677A" w:rsidRPr="00121A6A">
        <w:rPr>
          <w:sz w:val="24"/>
          <w:szCs w:val="24"/>
        </w:rPr>
        <w:t>worden gerechtvaardigd</w:t>
      </w:r>
      <w:r w:rsidR="00207E25" w:rsidRPr="00121A6A">
        <w:rPr>
          <w:sz w:val="24"/>
          <w:szCs w:val="24"/>
        </w:rPr>
        <w:t>. Daarvoor is vereist:</w:t>
      </w:r>
      <w:r w:rsidR="00365B05" w:rsidRPr="00121A6A">
        <w:rPr>
          <w:sz w:val="24"/>
          <w:szCs w:val="24"/>
        </w:rPr>
        <w:t xml:space="preserve"> (1) een wettelijke grondslag</w:t>
      </w:r>
      <w:r w:rsidR="000408B7" w:rsidRPr="00121A6A">
        <w:rPr>
          <w:sz w:val="24"/>
          <w:szCs w:val="24"/>
        </w:rPr>
        <w:t>; (2) een legitiem doel; (3)</w:t>
      </w:r>
      <w:r w:rsidR="008E1BC0" w:rsidRPr="00121A6A">
        <w:rPr>
          <w:sz w:val="24"/>
          <w:szCs w:val="24"/>
        </w:rPr>
        <w:t xml:space="preserve"> </w:t>
      </w:r>
      <w:r w:rsidR="00365B05" w:rsidRPr="00121A6A">
        <w:rPr>
          <w:sz w:val="24"/>
          <w:szCs w:val="24"/>
        </w:rPr>
        <w:t>evenredigheid</w:t>
      </w:r>
      <w:r w:rsidR="00207E25" w:rsidRPr="00121A6A">
        <w:rPr>
          <w:sz w:val="24"/>
          <w:szCs w:val="24"/>
        </w:rPr>
        <w:t xml:space="preserve"> tussen de </w:t>
      </w:r>
      <w:r w:rsidR="00ED7910">
        <w:rPr>
          <w:sz w:val="24"/>
          <w:szCs w:val="24"/>
        </w:rPr>
        <w:t>in</w:t>
      </w:r>
      <w:r w:rsidR="00207E25" w:rsidRPr="00121A6A">
        <w:rPr>
          <w:sz w:val="24"/>
          <w:szCs w:val="24"/>
        </w:rPr>
        <w:t>perking van het grondrecht en het doel dat daarmee wordt nagestreefd</w:t>
      </w:r>
      <w:r w:rsidR="00365B05" w:rsidRPr="00121A6A">
        <w:rPr>
          <w:sz w:val="24"/>
          <w:szCs w:val="24"/>
        </w:rPr>
        <w:t xml:space="preserve">; </w:t>
      </w:r>
      <w:r w:rsidR="00207E25" w:rsidRPr="00121A6A">
        <w:rPr>
          <w:sz w:val="24"/>
          <w:szCs w:val="24"/>
        </w:rPr>
        <w:t xml:space="preserve">en </w:t>
      </w:r>
      <w:r w:rsidR="00365B05" w:rsidRPr="00121A6A">
        <w:rPr>
          <w:sz w:val="24"/>
          <w:szCs w:val="24"/>
        </w:rPr>
        <w:t>(4) eerbiediging van de</w:t>
      </w:r>
      <w:r w:rsidR="000408B7" w:rsidRPr="00121A6A">
        <w:rPr>
          <w:sz w:val="24"/>
          <w:szCs w:val="24"/>
        </w:rPr>
        <w:t xml:space="preserve"> wezenlijke inhoud van het </w:t>
      </w:r>
      <w:r w:rsidR="00207E25" w:rsidRPr="00121A6A">
        <w:rPr>
          <w:sz w:val="24"/>
          <w:szCs w:val="24"/>
        </w:rPr>
        <w:t>grond</w:t>
      </w:r>
      <w:r w:rsidR="000408B7" w:rsidRPr="00121A6A">
        <w:rPr>
          <w:sz w:val="24"/>
          <w:szCs w:val="24"/>
        </w:rPr>
        <w:t>recht</w:t>
      </w:r>
      <w:r w:rsidR="00CD425C" w:rsidRPr="00121A6A">
        <w:rPr>
          <w:sz w:val="24"/>
          <w:szCs w:val="24"/>
        </w:rPr>
        <w:t xml:space="preserve">. </w:t>
      </w:r>
      <w:r w:rsidR="00445D56" w:rsidRPr="00121A6A">
        <w:rPr>
          <w:sz w:val="24"/>
          <w:szCs w:val="24"/>
        </w:rPr>
        <w:t xml:space="preserve">In onderhavige zaak liep het stuk op het eerste </w:t>
      </w:r>
      <w:r w:rsidR="00157C03" w:rsidRPr="00121A6A">
        <w:rPr>
          <w:sz w:val="24"/>
          <w:szCs w:val="24"/>
        </w:rPr>
        <w:t>(</w:t>
      </w:r>
      <w:proofErr w:type="spellStart"/>
      <w:r w:rsidR="00445D56" w:rsidRPr="00121A6A">
        <w:rPr>
          <w:sz w:val="24"/>
          <w:szCs w:val="24"/>
        </w:rPr>
        <w:t>legaliteits</w:t>
      </w:r>
      <w:proofErr w:type="spellEnd"/>
      <w:r w:rsidR="00157C03" w:rsidRPr="00121A6A">
        <w:rPr>
          <w:sz w:val="24"/>
          <w:szCs w:val="24"/>
        </w:rPr>
        <w:t>)</w:t>
      </w:r>
      <w:r w:rsidR="00445D56" w:rsidRPr="00121A6A">
        <w:rPr>
          <w:sz w:val="24"/>
          <w:szCs w:val="24"/>
        </w:rPr>
        <w:t>vereiste, aangezien een (gedegen) rechtsgrondslag voor het oproep</w:t>
      </w:r>
      <w:r w:rsidR="00CF08E1" w:rsidRPr="00121A6A">
        <w:rPr>
          <w:sz w:val="24"/>
          <w:szCs w:val="24"/>
        </w:rPr>
        <w:t>ings</w:t>
      </w:r>
      <w:r w:rsidR="00445D56" w:rsidRPr="00121A6A">
        <w:rPr>
          <w:sz w:val="24"/>
          <w:szCs w:val="24"/>
        </w:rPr>
        <w:t xml:space="preserve">besluit ontbrak. Spijtig genoeg kwam het Gerecht </w:t>
      </w:r>
      <w:r w:rsidR="0017583C" w:rsidRPr="00121A6A">
        <w:rPr>
          <w:sz w:val="24"/>
          <w:szCs w:val="24"/>
        </w:rPr>
        <w:t xml:space="preserve">daardoor </w:t>
      </w:r>
      <w:r w:rsidR="00445D56" w:rsidRPr="00121A6A">
        <w:rPr>
          <w:sz w:val="24"/>
          <w:szCs w:val="24"/>
        </w:rPr>
        <w:t xml:space="preserve">niet </w:t>
      </w:r>
      <w:r w:rsidR="00157C03" w:rsidRPr="00121A6A">
        <w:rPr>
          <w:sz w:val="24"/>
          <w:szCs w:val="24"/>
        </w:rPr>
        <w:t xml:space="preserve">eraan </w:t>
      </w:r>
      <w:r w:rsidR="00445D56" w:rsidRPr="00121A6A">
        <w:rPr>
          <w:sz w:val="24"/>
          <w:szCs w:val="24"/>
        </w:rPr>
        <w:t xml:space="preserve">toe artikel 28 </w:t>
      </w:r>
      <w:r w:rsidR="00453DF0" w:rsidRPr="00121A6A">
        <w:rPr>
          <w:sz w:val="24"/>
          <w:szCs w:val="24"/>
        </w:rPr>
        <w:t>Hv</w:t>
      </w:r>
      <w:r w:rsidR="00445D56" w:rsidRPr="00121A6A">
        <w:rPr>
          <w:sz w:val="24"/>
          <w:szCs w:val="24"/>
        </w:rPr>
        <w:t xml:space="preserve"> nader vorm en inhoud te geven</w:t>
      </w:r>
      <w:r w:rsidR="00214A2A" w:rsidRPr="00121A6A">
        <w:rPr>
          <w:sz w:val="24"/>
          <w:szCs w:val="24"/>
        </w:rPr>
        <w:t>.</w:t>
      </w:r>
      <w:r w:rsidR="00214A2A" w:rsidRPr="00121A6A">
        <w:rPr>
          <w:rStyle w:val="FootnoteReference"/>
          <w:sz w:val="24"/>
          <w:szCs w:val="24"/>
        </w:rPr>
        <w:footnoteReference w:id="83"/>
      </w:r>
      <w:r w:rsidR="00214A2A" w:rsidRPr="00121A6A">
        <w:rPr>
          <w:sz w:val="24"/>
          <w:szCs w:val="24"/>
        </w:rPr>
        <w:t xml:space="preserve"> </w:t>
      </w:r>
      <w:r w:rsidR="00445D56" w:rsidRPr="00121A6A">
        <w:rPr>
          <w:sz w:val="24"/>
          <w:szCs w:val="24"/>
        </w:rPr>
        <w:t xml:space="preserve">Desalniettemin kan uit </w:t>
      </w:r>
      <w:r w:rsidR="0017583C" w:rsidRPr="00121A6A">
        <w:rPr>
          <w:sz w:val="24"/>
          <w:szCs w:val="24"/>
        </w:rPr>
        <w:t>de uitspraak</w:t>
      </w:r>
      <w:r w:rsidR="00445D56" w:rsidRPr="00121A6A">
        <w:rPr>
          <w:sz w:val="24"/>
          <w:szCs w:val="24"/>
        </w:rPr>
        <w:t xml:space="preserve"> een belangrijke conclusie worden getrokken</w:t>
      </w:r>
      <w:r w:rsidR="0069412D" w:rsidRPr="00121A6A">
        <w:rPr>
          <w:sz w:val="24"/>
          <w:szCs w:val="24"/>
        </w:rPr>
        <w:t>:</w:t>
      </w:r>
      <w:r w:rsidR="006C7F94" w:rsidRPr="00121A6A">
        <w:rPr>
          <w:sz w:val="24"/>
          <w:szCs w:val="24"/>
        </w:rPr>
        <w:t xml:space="preserve"> </w:t>
      </w:r>
      <w:r w:rsidR="00445D56" w:rsidRPr="00121A6A">
        <w:rPr>
          <w:sz w:val="24"/>
          <w:szCs w:val="24"/>
        </w:rPr>
        <w:t xml:space="preserve">artikel 28 </w:t>
      </w:r>
      <w:r w:rsidR="00453DF0" w:rsidRPr="00121A6A">
        <w:rPr>
          <w:sz w:val="24"/>
          <w:szCs w:val="24"/>
        </w:rPr>
        <w:t>Hv</w:t>
      </w:r>
      <w:r w:rsidR="00445D56" w:rsidRPr="00121A6A">
        <w:rPr>
          <w:sz w:val="24"/>
          <w:szCs w:val="24"/>
        </w:rPr>
        <w:t xml:space="preserve"> </w:t>
      </w:r>
      <w:r w:rsidR="0069677A" w:rsidRPr="00121A6A">
        <w:rPr>
          <w:sz w:val="24"/>
          <w:szCs w:val="24"/>
        </w:rPr>
        <w:t xml:space="preserve">is voldoende </w:t>
      </w:r>
      <w:r w:rsidR="00CB178C" w:rsidRPr="00121A6A">
        <w:rPr>
          <w:sz w:val="24"/>
          <w:szCs w:val="24"/>
        </w:rPr>
        <w:t>nauwkeurig</w:t>
      </w:r>
      <w:r w:rsidR="0069677A" w:rsidRPr="00121A6A">
        <w:rPr>
          <w:sz w:val="24"/>
          <w:szCs w:val="24"/>
        </w:rPr>
        <w:t xml:space="preserve"> en onvoorwaardelijk </w:t>
      </w:r>
      <w:r w:rsidR="001C48A3" w:rsidRPr="00121A6A">
        <w:rPr>
          <w:sz w:val="24"/>
          <w:szCs w:val="24"/>
        </w:rPr>
        <w:t>geformuleerd</w:t>
      </w:r>
      <w:r w:rsidR="00886A80">
        <w:rPr>
          <w:sz w:val="24"/>
          <w:szCs w:val="24"/>
        </w:rPr>
        <w:t>, zodat het kan</w:t>
      </w:r>
      <w:r w:rsidR="0069677A" w:rsidRPr="00121A6A">
        <w:rPr>
          <w:sz w:val="24"/>
          <w:szCs w:val="24"/>
        </w:rPr>
        <w:t xml:space="preserve"> fungeren</w:t>
      </w:r>
      <w:r w:rsidR="00445D56" w:rsidRPr="00121A6A">
        <w:rPr>
          <w:sz w:val="24"/>
          <w:szCs w:val="24"/>
        </w:rPr>
        <w:t xml:space="preserve"> als autonome </w:t>
      </w:r>
      <w:r w:rsidR="00BA51A7">
        <w:rPr>
          <w:sz w:val="24"/>
          <w:szCs w:val="24"/>
        </w:rPr>
        <w:t>rechts</w:t>
      </w:r>
      <w:r w:rsidR="00445D56" w:rsidRPr="00121A6A">
        <w:rPr>
          <w:sz w:val="24"/>
          <w:szCs w:val="24"/>
        </w:rPr>
        <w:t xml:space="preserve">bron die aan justitiabelen </w:t>
      </w:r>
      <w:r w:rsidR="00DA59F7" w:rsidRPr="00121A6A">
        <w:rPr>
          <w:sz w:val="24"/>
          <w:szCs w:val="24"/>
        </w:rPr>
        <w:t>(</w:t>
      </w:r>
      <w:r w:rsidR="00BA51A7">
        <w:rPr>
          <w:sz w:val="24"/>
          <w:szCs w:val="24"/>
        </w:rPr>
        <w:t>vakbonden</w:t>
      </w:r>
      <w:r w:rsidR="00DA59F7" w:rsidRPr="00121A6A">
        <w:rPr>
          <w:sz w:val="24"/>
          <w:szCs w:val="24"/>
        </w:rPr>
        <w:t xml:space="preserve">) </w:t>
      </w:r>
      <w:r w:rsidR="00445D56" w:rsidRPr="00121A6A">
        <w:rPr>
          <w:sz w:val="24"/>
          <w:szCs w:val="24"/>
        </w:rPr>
        <w:t>een subjectief recht op collectieve actie toekent</w:t>
      </w:r>
      <w:r w:rsidR="007E0659">
        <w:rPr>
          <w:sz w:val="24"/>
          <w:szCs w:val="24"/>
        </w:rPr>
        <w:t xml:space="preserve">. </w:t>
      </w:r>
      <w:r w:rsidR="009952F7">
        <w:rPr>
          <w:sz w:val="24"/>
          <w:szCs w:val="24"/>
        </w:rPr>
        <w:t>Op dit recht</w:t>
      </w:r>
      <w:r w:rsidR="007E0659">
        <w:rPr>
          <w:sz w:val="24"/>
          <w:szCs w:val="24"/>
        </w:rPr>
        <w:t xml:space="preserve"> kunnen </w:t>
      </w:r>
      <w:r w:rsidR="0077099C">
        <w:rPr>
          <w:sz w:val="24"/>
          <w:szCs w:val="24"/>
        </w:rPr>
        <w:t xml:space="preserve">rechtszoekenden </w:t>
      </w:r>
      <w:r w:rsidR="009952F7">
        <w:rPr>
          <w:sz w:val="24"/>
          <w:szCs w:val="24"/>
        </w:rPr>
        <w:t>zich direct in rechte beroepen</w:t>
      </w:r>
      <w:r w:rsidR="0069677A" w:rsidRPr="00121A6A">
        <w:rPr>
          <w:sz w:val="24"/>
          <w:szCs w:val="24"/>
        </w:rPr>
        <w:t>.</w:t>
      </w:r>
      <w:r w:rsidR="00DA59F7" w:rsidRPr="00121A6A">
        <w:rPr>
          <w:rStyle w:val="FootnoteReference"/>
          <w:sz w:val="24"/>
          <w:szCs w:val="24"/>
        </w:rPr>
        <w:footnoteReference w:id="84"/>
      </w:r>
    </w:p>
    <w:p w14:paraId="70818D4E" w14:textId="5FCBB439" w:rsidR="00EB1C63" w:rsidRPr="00121A6A" w:rsidRDefault="00610D57" w:rsidP="00BB4E03">
      <w:pPr>
        <w:spacing w:after="0"/>
        <w:ind w:firstLine="708"/>
        <w:jc w:val="both"/>
        <w:rPr>
          <w:sz w:val="24"/>
          <w:szCs w:val="24"/>
        </w:rPr>
      </w:pPr>
      <w:r w:rsidRPr="00121A6A">
        <w:rPr>
          <w:sz w:val="24"/>
          <w:szCs w:val="24"/>
        </w:rPr>
        <w:lastRenderedPageBreak/>
        <w:t xml:space="preserve">De conclusie </w:t>
      </w:r>
      <w:r w:rsidR="002D365D">
        <w:rPr>
          <w:sz w:val="24"/>
          <w:szCs w:val="24"/>
        </w:rPr>
        <w:t xml:space="preserve">dat artikel 28 Hv </w:t>
      </w:r>
      <w:r w:rsidR="002D365D" w:rsidRPr="00121A6A">
        <w:rPr>
          <w:sz w:val="24"/>
          <w:szCs w:val="24"/>
        </w:rPr>
        <w:t>voldoet aan de voorwaarden voor rechtstreekse werking</w:t>
      </w:r>
      <w:r w:rsidR="00886A80">
        <w:rPr>
          <w:sz w:val="24"/>
          <w:szCs w:val="24"/>
        </w:rPr>
        <w:t>,</w:t>
      </w:r>
      <w:r w:rsidR="002D365D" w:rsidRPr="00121A6A">
        <w:rPr>
          <w:sz w:val="24"/>
          <w:szCs w:val="24"/>
        </w:rPr>
        <w:t xml:space="preserve"> </w:t>
      </w:r>
      <w:r w:rsidRPr="00121A6A">
        <w:rPr>
          <w:sz w:val="24"/>
          <w:szCs w:val="24"/>
        </w:rPr>
        <w:t xml:space="preserve">sluit aan bij het standpunt van </w:t>
      </w:r>
      <w:r w:rsidR="000F47D3" w:rsidRPr="00121A6A">
        <w:rPr>
          <w:sz w:val="24"/>
          <w:szCs w:val="24"/>
        </w:rPr>
        <w:t>diverse</w:t>
      </w:r>
      <w:r w:rsidRPr="00121A6A">
        <w:rPr>
          <w:sz w:val="24"/>
          <w:szCs w:val="24"/>
        </w:rPr>
        <w:t xml:space="preserve"> auteurs.</w:t>
      </w:r>
      <w:r w:rsidRPr="00121A6A">
        <w:rPr>
          <w:rStyle w:val="FootnoteReference"/>
          <w:sz w:val="24"/>
          <w:szCs w:val="24"/>
        </w:rPr>
        <w:footnoteReference w:id="85"/>
      </w:r>
      <w:r w:rsidRPr="00121A6A">
        <w:rPr>
          <w:sz w:val="24"/>
          <w:szCs w:val="24"/>
        </w:rPr>
        <w:t xml:space="preserve"> </w:t>
      </w:r>
      <w:r w:rsidR="00477D84" w:rsidRPr="00121A6A">
        <w:rPr>
          <w:sz w:val="24"/>
          <w:szCs w:val="24"/>
        </w:rPr>
        <w:t xml:space="preserve">Toch was </w:t>
      </w:r>
      <w:r w:rsidR="00886A80">
        <w:rPr>
          <w:sz w:val="24"/>
          <w:szCs w:val="24"/>
        </w:rPr>
        <w:t>deze conclusie</w:t>
      </w:r>
      <w:r w:rsidR="00A52502" w:rsidRPr="00121A6A">
        <w:rPr>
          <w:sz w:val="24"/>
          <w:szCs w:val="24"/>
        </w:rPr>
        <w:t xml:space="preserve"> geen uitgemaakte zaak. </w:t>
      </w:r>
      <w:r w:rsidR="00477D84" w:rsidRPr="00121A6A">
        <w:rPr>
          <w:sz w:val="24"/>
          <w:szCs w:val="24"/>
        </w:rPr>
        <w:t xml:space="preserve">De onzekerheid over de juridische status van </w:t>
      </w:r>
      <w:r w:rsidR="0074451A" w:rsidRPr="00121A6A">
        <w:rPr>
          <w:sz w:val="24"/>
          <w:szCs w:val="24"/>
        </w:rPr>
        <w:t>artikel</w:t>
      </w:r>
      <w:r w:rsidR="00477D84" w:rsidRPr="00121A6A">
        <w:rPr>
          <w:sz w:val="24"/>
          <w:szCs w:val="24"/>
        </w:rPr>
        <w:t xml:space="preserve"> </w:t>
      </w:r>
      <w:r w:rsidR="002D365D">
        <w:rPr>
          <w:sz w:val="24"/>
          <w:szCs w:val="24"/>
        </w:rPr>
        <w:t xml:space="preserve">28 Hv </w:t>
      </w:r>
      <w:r w:rsidR="00477D84" w:rsidRPr="00121A6A">
        <w:rPr>
          <w:sz w:val="24"/>
          <w:szCs w:val="24"/>
        </w:rPr>
        <w:t xml:space="preserve">werd veroorzaakt door de </w:t>
      </w:r>
      <w:r w:rsidR="0074451A" w:rsidRPr="00121A6A">
        <w:rPr>
          <w:sz w:val="24"/>
          <w:szCs w:val="24"/>
        </w:rPr>
        <w:t>zinsnede</w:t>
      </w:r>
      <w:r w:rsidR="00477D84" w:rsidRPr="00121A6A">
        <w:rPr>
          <w:sz w:val="24"/>
          <w:szCs w:val="24"/>
        </w:rPr>
        <w:t xml:space="preserve"> </w:t>
      </w:r>
      <w:r w:rsidR="0074451A" w:rsidRPr="00121A6A">
        <w:rPr>
          <w:sz w:val="24"/>
          <w:szCs w:val="24"/>
        </w:rPr>
        <w:t>‘</w:t>
      </w:r>
      <w:r w:rsidR="0074451A" w:rsidRPr="00121A6A">
        <w:rPr>
          <w:i/>
          <w:iCs/>
          <w:sz w:val="24"/>
          <w:szCs w:val="24"/>
        </w:rPr>
        <w:t>overeenkomstig het recht van de Unie en de nationale wetgevingen en praktijken</w:t>
      </w:r>
      <w:r w:rsidR="0074451A" w:rsidRPr="00121A6A">
        <w:rPr>
          <w:sz w:val="24"/>
          <w:szCs w:val="24"/>
        </w:rPr>
        <w:t>’</w:t>
      </w:r>
      <w:r w:rsidR="002D365D">
        <w:rPr>
          <w:sz w:val="24"/>
          <w:szCs w:val="24"/>
        </w:rPr>
        <w:t xml:space="preserve"> in </w:t>
      </w:r>
      <w:r w:rsidR="00FE4E8E">
        <w:rPr>
          <w:sz w:val="24"/>
          <w:szCs w:val="24"/>
        </w:rPr>
        <w:t xml:space="preserve">de </w:t>
      </w:r>
      <w:r w:rsidR="002D365D">
        <w:rPr>
          <w:sz w:val="24"/>
          <w:szCs w:val="24"/>
        </w:rPr>
        <w:t>genoemde bepaling</w:t>
      </w:r>
      <w:r w:rsidR="0074451A" w:rsidRPr="00121A6A">
        <w:rPr>
          <w:sz w:val="24"/>
          <w:szCs w:val="24"/>
        </w:rPr>
        <w:t xml:space="preserve">. Deze verwijzing kan aldus worden uitgelegd dat </w:t>
      </w:r>
      <w:r w:rsidR="002D365D">
        <w:rPr>
          <w:sz w:val="24"/>
          <w:szCs w:val="24"/>
        </w:rPr>
        <w:t>artikel 28 Hv</w:t>
      </w:r>
      <w:r w:rsidR="0074451A" w:rsidRPr="00121A6A">
        <w:rPr>
          <w:sz w:val="24"/>
          <w:szCs w:val="24"/>
        </w:rPr>
        <w:t xml:space="preserve"> geen onvoorwaardelijk recht om te staken </w:t>
      </w:r>
      <w:r w:rsidR="00F732AB" w:rsidRPr="00121A6A">
        <w:rPr>
          <w:sz w:val="24"/>
          <w:szCs w:val="24"/>
        </w:rPr>
        <w:t>omvat</w:t>
      </w:r>
      <w:r w:rsidR="00FD4FA4" w:rsidRPr="00121A6A">
        <w:rPr>
          <w:sz w:val="24"/>
          <w:szCs w:val="24"/>
        </w:rPr>
        <w:t xml:space="preserve"> dat rechtstreeks voor de rechter kan worden ingeroepen</w:t>
      </w:r>
      <w:r w:rsidR="00365DE7" w:rsidRPr="00121A6A">
        <w:rPr>
          <w:sz w:val="24"/>
          <w:szCs w:val="24"/>
        </w:rPr>
        <w:t xml:space="preserve">, maar dat het </w:t>
      </w:r>
      <w:r w:rsidR="00365DE7" w:rsidRPr="00B37E1F">
        <w:rPr>
          <w:i/>
          <w:iCs/>
          <w:sz w:val="24"/>
          <w:szCs w:val="24"/>
        </w:rPr>
        <w:t>bestaan</w:t>
      </w:r>
      <w:r w:rsidR="00365DE7" w:rsidRPr="00121A6A">
        <w:rPr>
          <w:sz w:val="24"/>
          <w:szCs w:val="24"/>
        </w:rPr>
        <w:t xml:space="preserve"> van het stakingsrecht afhankelijk is van nadere (</w:t>
      </w:r>
      <w:proofErr w:type="spellStart"/>
      <w:r w:rsidR="00365DE7" w:rsidRPr="00121A6A">
        <w:rPr>
          <w:sz w:val="24"/>
          <w:szCs w:val="24"/>
        </w:rPr>
        <w:t>uitvoerings</w:t>
      </w:r>
      <w:proofErr w:type="spellEnd"/>
      <w:r w:rsidR="00365DE7" w:rsidRPr="00121A6A">
        <w:rPr>
          <w:sz w:val="24"/>
          <w:szCs w:val="24"/>
        </w:rPr>
        <w:t>)wetgeving.</w:t>
      </w:r>
      <w:r w:rsidR="00547B32" w:rsidRPr="00121A6A">
        <w:rPr>
          <w:rStyle w:val="FootnoteReference"/>
          <w:sz w:val="24"/>
          <w:szCs w:val="24"/>
        </w:rPr>
        <w:footnoteReference w:id="86"/>
      </w:r>
      <w:r w:rsidR="00365DE7" w:rsidRPr="00121A6A">
        <w:rPr>
          <w:sz w:val="24"/>
          <w:szCs w:val="24"/>
        </w:rPr>
        <w:t xml:space="preserve"> </w:t>
      </w:r>
      <w:r w:rsidR="007C75A0" w:rsidRPr="00121A6A">
        <w:rPr>
          <w:sz w:val="24"/>
          <w:szCs w:val="24"/>
        </w:rPr>
        <w:t>De uitspraak van het Gerecht maakt evenwel duidelijk dat deze redenering niet opgaat</w:t>
      </w:r>
      <w:r w:rsidR="00FB7B9B" w:rsidRPr="00121A6A">
        <w:rPr>
          <w:sz w:val="24"/>
          <w:szCs w:val="24"/>
        </w:rPr>
        <w:t xml:space="preserve"> en dat</w:t>
      </w:r>
      <w:r w:rsidR="00FD15E7" w:rsidRPr="00121A6A">
        <w:rPr>
          <w:sz w:val="24"/>
          <w:szCs w:val="24"/>
        </w:rPr>
        <w:t xml:space="preserve"> </w:t>
      </w:r>
      <w:r w:rsidR="00A87538" w:rsidRPr="00121A6A">
        <w:rPr>
          <w:sz w:val="24"/>
          <w:szCs w:val="24"/>
        </w:rPr>
        <w:t xml:space="preserve">alleen </w:t>
      </w:r>
      <w:r w:rsidR="00FD15E7" w:rsidRPr="00121A6A">
        <w:rPr>
          <w:sz w:val="24"/>
          <w:szCs w:val="24"/>
        </w:rPr>
        <w:t xml:space="preserve">de </w:t>
      </w:r>
      <w:r w:rsidR="00A87538" w:rsidRPr="00B37E1F">
        <w:rPr>
          <w:i/>
          <w:iCs/>
          <w:sz w:val="24"/>
          <w:szCs w:val="24"/>
        </w:rPr>
        <w:t>uitoefening</w:t>
      </w:r>
      <w:r w:rsidR="00A87538" w:rsidRPr="00121A6A">
        <w:rPr>
          <w:sz w:val="24"/>
          <w:szCs w:val="24"/>
        </w:rPr>
        <w:t xml:space="preserve"> </w:t>
      </w:r>
      <w:r w:rsidR="00FB7B9B" w:rsidRPr="00121A6A">
        <w:rPr>
          <w:sz w:val="24"/>
          <w:szCs w:val="24"/>
        </w:rPr>
        <w:t>van het stakingsrecht</w:t>
      </w:r>
      <w:r w:rsidR="00A87538" w:rsidRPr="00121A6A">
        <w:rPr>
          <w:sz w:val="24"/>
          <w:szCs w:val="24"/>
        </w:rPr>
        <w:t xml:space="preserve"> is onderworpen aan </w:t>
      </w:r>
      <w:r w:rsidR="009D6B27" w:rsidRPr="00121A6A">
        <w:rPr>
          <w:sz w:val="24"/>
          <w:szCs w:val="24"/>
        </w:rPr>
        <w:t>nadere wetgeving</w:t>
      </w:r>
      <w:r w:rsidR="00C5376A" w:rsidRPr="00121A6A">
        <w:rPr>
          <w:sz w:val="24"/>
          <w:szCs w:val="24"/>
        </w:rPr>
        <w:t>.</w:t>
      </w:r>
      <w:r w:rsidR="00CA4001" w:rsidRPr="00121A6A">
        <w:rPr>
          <w:sz w:val="24"/>
          <w:szCs w:val="24"/>
        </w:rPr>
        <w:t xml:space="preserve"> H</w:t>
      </w:r>
      <w:r w:rsidR="007C75A0" w:rsidRPr="00121A6A">
        <w:rPr>
          <w:sz w:val="24"/>
          <w:szCs w:val="24"/>
        </w:rPr>
        <w:t xml:space="preserve">oewel </w:t>
      </w:r>
      <w:r w:rsidR="00CA4001" w:rsidRPr="00121A6A">
        <w:rPr>
          <w:sz w:val="24"/>
          <w:szCs w:val="24"/>
        </w:rPr>
        <w:t>deze constatering volgt uit</w:t>
      </w:r>
      <w:r w:rsidR="00A93CCD" w:rsidRPr="00121A6A">
        <w:rPr>
          <w:sz w:val="24"/>
          <w:szCs w:val="24"/>
        </w:rPr>
        <w:t xml:space="preserve"> een </w:t>
      </w:r>
      <w:r w:rsidR="00CA4001" w:rsidRPr="00121A6A">
        <w:rPr>
          <w:sz w:val="24"/>
          <w:szCs w:val="24"/>
        </w:rPr>
        <w:t>uitspraak omtrent een stakingsgeschil</w:t>
      </w:r>
      <w:r w:rsidR="00A93CCD" w:rsidRPr="00121A6A">
        <w:rPr>
          <w:sz w:val="24"/>
          <w:szCs w:val="24"/>
        </w:rPr>
        <w:t xml:space="preserve"> op</w:t>
      </w:r>
      <w:r w:rsidR="002B4343">
        <w:rPr>
          <w:sz w:val="24"/>
          <w:szCs w:val="24"/>
        </w:rPr>
        <w:t xml:space="preserve"> het</w:t>
      </w:r>
      <w:r w:rsidR="00A93CCD" w:rsidRPr="00121A6A">
        <w:rPr>
          <w:sz w:val="24"/>
          <w:szCs w:val="24"/>
        </w:rPr>
        <w:t xml:space="preserve"> </w:t>
      </w:r>
      <w:r w:rsidR="00D03B23" w:rsidRPr="00121A6A">
        <w:rPr>
          <w:sz w:val="24"/>
          <w:szCs w:val="24"/>
        </w:rPr>
        <w:t>Unie</w:t>
      </w:r>
      <w:r w:rsidR="00A93CCD" w:rsidRPr="00121A6A">
        <w:rPr>
          <w:sz w:val="24"/>
          <w:szCs w:val="24"/>
        </w:rPr>
        <w:t>niveau</w:t>
      </w:r>
      <w:r w:rsidR="001F2072" w:rsidRPr="00121A6A">
        <w:rPr>
          <w:sz w:val="24"/>
          <w:szCs w:val="24"/>
        </w:rPr>
        <w:t xml:space="preserve">, </w:t>
      </w:r>
      <w:r w:rsidR="00CA4001" w:rsidRPr="00121A6A">
        <w:rPr>
          <w:sz w:val="24"/>
          <w:szCs w:val="24"/>
        </w:rPr>
        <w:t xml:space="preserve">zou </w:t>
      </w:r>
      <w:r w:rsidR="00FC61C9" w:rsidRPr="00121A6A">
        <w:rPr>
          <w:sz w:val="24"/>
          <w:szCs w:val="24"/>
        </w:rPr>
        <w:t xml:space="preserve">de uitspraak ook consequenties </w:t>
      </w:r>
      <w:r w:rsidR="002D7928" w:rsidRPr="00121A6A">
        <w:rPr>
          <w:sz w:val="24"/>
          <w:szCs w:val="24"/>
        </w:rPr>
        <w:t>kunnen</w:t>
      </w:r>
      <w:r w:rsidR="00F613F6" w:rsidRPr="00121A6A">
        <w:rPr>
          <w:sz w:val="24"/>
          <w:szCs w:val="24"/>
        </w:rPr>
        <w:t xml:space="preserve"> hebben </w:t>
      </w:r>
      <w:r w:rsidR="00FC61C9" w:rsidRPr="00121A6A">
        <w:rPr>
          <w:sz w:val="24"/>
          <w:szCs w:val="24"/>
        </w:rPr>
        <w:t>voor nationale</w:t>
      </w:r>
      <w:r w:rsidR="00FB7B9B" w:rsidRPr="00121A6A">
        <w:rPr>
          <w:sz w:val="24"/>
          <w:szCs w:val="24"/>
        </w:rPr>
        <w:t xml:space="preserve"> </w:t>
      </w:r>
      <w:r w:rsidR="00FC61C9" w:rsidRPr="00121A6A">
        <w:rPr>
          <w:sz w:val="24"/>
          <w:szCs w:val="24"/>
        </w:rPr>
        <w:t xml:space="preserve">stakingsgeschillen. </w:t>
      </w:r>
      <w:r w:rsidR="002D7928" w:rsidRPr="00121A6A">
        <w:rPr>
          <w:sz w:val="24"/>
          <w:szCs w:val="24"/>
        </w:rPr>
        <w:t xml:space="preserve">Het opent namelijk de weg naar </w:t>
      </w:r>
      <w:r w:rsidR="00FB7B9B" w:rsidRPr="00121A6A">
        <w:rPr>
          <w:sz w:val="24"/>
          <w:szCs w:val="24"/>
        </w:rPr>
        <w:t xml:space="preserve">(verticale en/of </w:t>
      </w:r>
      <w:r w:rsidR="00B5057B" w:rsidRPr="00121A6A">
        <w:rPr>
          <w:sz w:val="24"/>
          <w:szCs w:val="24"/>
        </w:rPr>
        <w:t>horizontale</w:t>
      </w:r>
      <w:r w:rsidR="00FB7B9B" w:rsidRPr="00121A6A">
        <w:rPr>
          <w:sz w:val="24"/>
          <w:szCs w:val="24"/>
        </w:rPr>
        <w:t xml:space="preserve">) </w:t>
      </w:r>
      <w:r w:rsidR="002D7928" w:rsidRPr="00121A6A">
        <w:rPr>
          <w:sz w:val="24"/>
          <w:szCs w:val="24"/>
        </w:rPr>
        <w:t>rechtstreekse werking</w:t>
      </w:r>
      <w:r w:rsidR="00F439A9" w:rsidRPr="00121A6A">
        <w:rPr>
          <w:sz w:val="24"/>
          <w:szCs w:val="24"/>
        </w:rPr>
        <w:t xml:space="preserve"> van artikel 28 Hv</w:t>
      </w:r>
      <w:r w:rsidR="00FD15E7" w:rsidRPr="00121A6A">
        <w:rPr>
          <w:sz w:val="24"/>
          <w:szCs w:val="24"/>
        </w:rPr>
        <w:t xml:space="preserve"> in de nationale rechtsorde</w:t>
      </w:r>
      <w:r w:rsidR="002D365D">
        <w:rPr>
          <w:sz w:val="24"/>
          <w:szCs w:val="24"/>
        </w:rPr>
        <w:t xml:space="preserve"> (zie </w:t>
      </w:r>
      <w:r w:rsidR="006D72F8">
        <w:rPr>
          <w:sz w:val="24"/>
          <w:szCs w:val="24"/>
        </w:rPr>
        <w:t>hoofdstuk</w:t>
      </w:r>
      <w:r w:rsidR="002D365D">
        <w:rPr>
          <w:sz w:val="24"/>
          <w:szCs w:val="24"/>
        </w:rPr>
        <w:t xml:space="preserve"> 4)</w:t>
      </w:r>
      <w:r w:rsidR="007C75A0" w:rsidRPr="00121A6A">
        <w:rPr>
          <w:sz w:val="24"/>
          <w:szCs w:val="24"/>
        </w:rPr>
        <w:t>.</w:t>
      </w:r>
    </w:p>
    <w:p w14:paraId="15FDD2EB" w14:textId="77777777" w:rsidR="007244E4" w:rsidRPr="00121A6A" w:rsidRDefault="007244E4" w:rsidP="00BB4E03">
      <w:pPr>
        <w:spacing w:after="0"/>
        <w:rPr>
          <w:sz w:val="24"/>
          <w:szCs w:val="24"/>
        </w:rPr>
      </w:pPr>
    </w:p>
    <w:p w14:paraId="30602C00" w14:textId="78E670BA" w:rsidR="00AA7580" w:rsidRPr="00121A6A" w:rsidRDefault="007E2CAF" w:rsidP="00BB4E03">
      <w:pPr>
        <w:pStyle w:val="Heading3"/>
        <w:jc w:val="both"/>
        <w:rPr>
          <w:sz w:val="24"/>
          <w:szCs w:val="24"/>
        </w:rPr>
      </w:pPr>
      <w:bookmarkStart w:id="38" w:name="_Toc169963056"/>
      <w:r>
        <w:rPr>
          <w:sz w:val="24"/>
          <w:szCs w:val="24"/>
        </w:rPr>
        <w:t>Het s</w:t>
      </w:r>
      <w:r w:rsidR="006B4898" w:rsidRPr="00121A6A">
        <w:rPr>
          <w:sz w:val="24"/>
          <w:szCs w:val="24"/>
        </w:rPr>
        <w:t>takings- en consumentenrecht tegenover</w:t>
      </w:r>
      <w:r>
        <w:rPr>
          <w:sz w:val="24"/>
          <w:szCs w:val="24"/>
        </w:rPr>
        <w:t xml:space="preserve"> de</w:t>
      </w:r>
      <w:r w:rsidR="006B4898" w:rsidRPr="00121A6A">
        <w:rPr>
          <w:sz w:val="24"/>
          <w:szCs w:val="24"/>
        </w:rPr>
        <w:t xml:space="preserve"> </w:t>
      </w:r>
      <w:r w:rsidR="00491F7B">
        <w:rPr>
          <w:sz w:val="24"/>
          <w:szCs w:val="24"/>
        </w:rPr>
        <w:t>vrijheid van ondernemerschap</w:t>
      </w:r>
      <w:bookmarkEnd w:id="38"/>
      <w:r w:rsidR="006B4898" w:rsidRPr="00121A6A">
        <w:rPr>
          <w:sz w:val="24"/>
          <w:szCs w:val="24"/>
        </w:rPr>
        <w:t xml:space="preserve"> </w:t>
      </w:r>
    </w:p>
    <w:p w14:paraId="5DCA05EA" w14:textId="37E930A0" w:rsidR="006075C3" w:rsidRPr="00121A6A" w:rsidRDefault="0094227B" w:rsidP="00C544E6">
      <w:pPr>
        <w:spacing w:after="0"/>
        <w:jc w:val="both"/>
        <w:rPr>
          <w:sz w:val="24"/>
          <w:szCs w:val="24"/>
        </w:rPr>
      </w:pPr>
      <w:r w:rsidRPr="00121A6A">
        <w:rPr>
          <w:sz w:val="24"/>
          <w:szCs w:val="24"/>
        </w:rPr>
        <w:t xml:space="preserve">De laatste ontwikkeling die </w:t>
      </w:r>
      <w:r w:rsidR="000C1D24" w:rsidRPr="00121A6A">
        <w:rPr>
          <w:sz w:val="24"/>
          <w:szCs w:val="24"/>
        </w:rPr>
        <w:t>in dit hoofdstuk wordt besproken</w:t>
      </w:r>
      <w:r w:rsidRPr="00121A6A">
        <w:rPr>
          <w:sz w:val="24"/>
          <w:szCs w:val="24"/>
        </w:rPr>
        <w:t xml:space="preserve">, betreft het </w:t>
      </w:r>
      <w:proofErr w:type="spellStart"/>
      <w:r w:rsidRPr="00121A6A">
        <w:rPr>
          <w:i/>
          <w:iCs/>
          <w:sz w:val="24"/>
          <w:szCs w:val="24"/>
        </w:rPr>
        <w:t>Airhelp</w:t>
      </w:r>
      <w:proofErr w:type="spellEnd"/>
      <w:r w:rsidR="00990F7C" w:rsidRPr="00121A6A">
        <w:rPr>
          <w:sz w:val="24"/>
          <w:szCs w:val="24"/>
        </w:rPr>
        <w:t>-arrest</w:t>
      </w:r>
      <w:r w:rsidRPr="00121A6A">
        <w:rPr>
          <w:sz w:val="24"/>
          <w:szCs w:val="24"/>
        </w:rPr>
        <w:t>.</w:t>
      </w:r>
      <w:r w:rsidRPr="00121A6A">
        <w:rPr>
          <w:rStyle w:val="FootnoteReference"/>
          <w:sz w:val="24"/>
          <w:szCs w:val="24"/>
        </w:rPr>
        <w:footnoteReference w:id="87"/>
      </w:r>
      <w:r w:rsidRPr="00121A6A">
        <w:rPr>
          <w:sz w:val="24"/>
          <w:szCs w:val="24"/>
        </w:rPr>
        <w:t xml:space="preserve"> </w:t>
      </w:r>
      <w:r w:rsidR="00B202FE" w:rsidRPr="00121A6A">
        <w:rPr>
          <w:sz w:val="24"/>
          <w:szCs w:val="24"/>
        </w:rPr>
        <w:t>In deze zaak ging het om</w:t>
      </w:r>
      <w:r w:rsidRPr="00121A6A">
        <w:rPr>
          <w:sz w:val="24"/>
          <w:szCs w:val="24"/>
        </w:rPr>
        <w:t xml:space="preserve"> </w:t>
      </w:r>
      <w:r w:rsidR="00E01059">
        <w:rPr>
          <w:sz w:val="24"/>
          <w:szCs w:val="24"/>
        </w:rPr>
        <w:t xml:space="preserve">de </w:t>
      </w:r>
      <w:r w:rsidRPr="00121A6A">
        <w:rPr>
          <w:sz w:val="24"/>
          <w:szCs w:val="24"/>
        </w:rPr>
        <w:t>uitleg van artikel 5 lid 3 Verordening 261/2004</w:t>
      </w:r>
      <w:r w:rsidR="004F0DAF" w:rsidRPr="00121A6A">
        <w:rPr>
          <w:sz w:val="24"/>
          <w:szCs w:val="24"/>
        </w:rPr>
        <w:t>/EG</w:t>
      </w:r>
      <w:r w:rsidRPr="00121A6A">
        <w:rPr>
          <w:sz w:val="24"/>
          <w:szCs w:val="24"/>
        </w:rPr>
        <w:t>.</w:t>
      </w:r>
      <w:r w:rsidRPr="00121A6A">
        <w:rPr>
          <w:rStyle w:val="FootnoteReference"/>
          <w:sz w:val="24"/>
          <w:szCs w:val="24"/>
        </w:rPr>
        <w:footnoteReference w:id="88"/>
      </w:r>
      <w:r w:rsidRPr="00121A6A">
        <w:rPr>
          <w:i/>
          <w:iCs/>
          <w:sz w:val="24"/>
          <w:szCs w:val="24"/>
        </w:rPr>
        <w:t xml:space="preserve"> </w:t>
      </w:r>
      <w:r w:rsidRPr="00121A6A">
        <w:rPr>
          <w:sz w:val="24"/>
          <w:szCs w:val="24"/>
        </w:rPr>
        <w:t xml:space="preserve">Deze verordening </w:t>
      </w:r>
      <w:r w:rsidR="00514197">
        <w:rPr>
          <w:sz w:val="24"/>
          <w:szCs w:val="24"/>
        </w:rPr>
        <w:t>kent</w:t>
      </w:r>
      <w:r w:rsidRPr="00121A6A">
        <w:rPr>
          <w:sz w:val="24"/>
          <w:szCs w:val="24"/>
        </w:rPr>
        <w:t xml:space="preserve"> </w:t>
      </w:r>
      <w:r w:rsidR="00514197">
        <w:rPr>
          <w:sz w:val="24"/>
          <w:szCs w:val="24"/>
        </w:rPr>
        <w:t xml:space="preserve">aan </w:t>
      </w:r>
      <w:r w:rsidRPr="00121A6A">
        <w:rPr>
          <w:sz w:val="24"/>
          <w:szCs w:val="24"/>
        </w:rPr>
        <w:t>passagiers wie</w:t>
      </w:r>
      <w:r w:rsidR="00E01059">
        <w:rPr>
          <w:sz w:val="24"/>
          <w:szCs w:val="24"/>
        </w:rPr>
        <w:t>r</w:t>
      </w:r>
      <w:r w:rsidRPr="00121A6A">
        <w:rPr>
          <w:sz w:val="24"/>
          <w:szCs w:val="24"/>
        </w:rPr>
        <w:t xml:space="preserve"> vlucht niet tijdig is geannuleerd</w:t>
      </w:r>
      <w:r w:rsidR="00EB0E21" w:rsidRPr="00121A6A">
        <w:rPr>
          <w:sz w:val="24"/>
          <w:szCs w:val="24"/>
        </w:rPr>
        <w:t xml:space="preserve"> </w:t>
      </w:r>
      <w:r w:rsidR="00514197">
        <w:rPr>
          <w:sz w:val="24"/>
          <w:szCs w:val="24"/>
        </w:rPr>
        <w:t>een compensatieclaim toe</w:t>
      </w:r>
      <w:r w:rsidRPr="00121A6A">
        <w:rPr>
          <w:sz w:val="24"/>
          <w:szCs w:val="24"/>
        </w:rPr>
        <w:t>.</w:t>
      </w:r>
      <w:r w:rsidR="00EB0E21" w:rsidRPr="00121A6A">
        <w:rPr>
          <w:sz w:val="24"/>
          <w:szCs w:val="24"/>
        </w:rPr>
        <w:t xml:space="preserve"> D</w:t>
      </w:r>
      <w:r w:rsidRPr="00121A6A">
        <w:rPr>
          <w:sz w:val="24"/>
          <w:szCs w:val="24"/>
        </w:rPr>
        <w:t xml:space="preserve">eze vordering komt </w:t>
      </w:r>
      <w:r w:rsidR="00150803">
        <w:rPr>
          <w:sz w:val="24"/>
          <w:szCs w:val="24"/>
        </w:rPr>
        <w:t>hun</w:t>
      </w:r>
      <w:r w:rsidRPr="00121A6A">
        <w:rPr>
          <w:sz w:val="24"/>
          <w:szCs w:val="24"/>
        </w:rPr>
        <w:t xml:space="preserve"> </w:t>
      </w:r>
      <w:r w:rsidR="00EB0E21" w:rsidRPr="00121A6A">
        <w:rPr>
          <w:sz w:val="24"/>
          <w:szCs w:val="24"/>
        </w:rPr>
        <w:t xml:space="preserve">echter </w:t>
      </w:r>
      <w:r w:rsidRPr="00121A6A">
        <w:rPr>
          <w:sz w:val="24"/>
          <w:szCs w:val="24"/>
        </w:rPr>
        <w:t>niet toe indien de annulering het gevolg is van ‘buitengewone omstandigheden’. Het Hof moest zich buigen over de vraag of een aangekondigde staking als zodanig k</w:t>
      </w:r>
      <w:r w:rsidR="0016143F" w:rsidRPr="00121A6A">
        <w:rPr>
          <w:sz w:val="24"/>
          <w:szCs w:val="24"/>
        </w:rPr>
        <w:t>o</w:t>
      </w:r>
      <w:r w:rsidRPr="00121A6A">
        <w:rPr>
          <w:sz w:val="24"/>
          <w:szCs w:val="24"/>
        </w:rPr>
        <w:t xml:space="preserve">n worden gekwalificeerd. </w:t>
      </w:r>
      <w:r w:rsidR="00774DDB" w:rsidRPr="00121A6A">
        <w:rPr>
          <w:sz w:val="24"/>
          <w:szCs w:val="24"/>
        </w:rPr>
        <w:t xml:space="preserve">Zodoende kwam </w:t>
      </w:r>
      <w:r w:rsidR="00911AD9">
        <w:rPr>
          <w:sz w:val="24"/>
          <w:szCs w:val="24"/>
        </w:rPr>
        <w:t>bij</w:t>
      </w:r>
      <w:r w:rsidR="007F7D32">
        <w:rPr>
          <w:sz w:val="24"/>
          <w:szCs w:val="24"/>
        </w:rPr>
        <w:t xml:space="preserve"> de</w:t>
      </w:r>
      <w:r w:rsidR="00774DDB" w:rsidRPr="00121A6A">
        <w:rPr>
          <w:sz w:val="24"/>
          <w:szCs w:val="24"/>
        </w:rPr>
        <w:t xml:space="preserve"> uitleg van secundair Unierecht artikel 28 Hv aan de orde.</w:t>
      </w:r>
      <w:r w:rsidR="00774DDB" w:rsidRPr="00121A6A">
        <w:rPr>
          <w:rStyle w:val="FootnoteReference"/>
          <w:sz w:val="24"/>
          <w:szCs w:val="24"/>
        </w:rPr>
        <w:footnoteReference w:id="89"/>
      </w:r>
      <w:r w:rsidR="00774DDB" w:rsidRPr="00121A6A">
        <w:rPr>
          <w:sz w:val="24"/>
          <w:szCs w:val="24"/>
        </w:rPr>
        <w:t xml:space="preserve"> </w:t>
      </w:r>
      <w:r w:rsidR="007640E8" w:rsidRPr="00121A6A">
        <w:rPr>
          <w:sz w:val="24"/>
          <w:szCs w:val="24"/>
        </w:rPr>
        <w:t>Niettegenstaande</w:t>
      </w:r>
      <w:r w:rsidR="00A07C25" w:rsidRPr="00121A6A">
        <w:rPr>
          <w:sz w:val="24"/>
          <w:szCs w:val="24"/>
        </w:rPr>
        <w:t xml:space="preserve"> </w:t>
      </w:r>
      <w:r w:rsidRPr="00121A6A">
        <w:rPr>
          <w:sz w:val="24"/>
          <w:szCs w:val="24"/>
        </w:rPr>
        <w:t>de zaak een consumentenrechtelijke insteek heeft en</w:t>
      </w:r>
      <w:r w:rsidR="008C7E7D" w:rsidRPr="00121A6A">
        <w:rPr>
          <w:sz w:val="24"/>
          <w:szCs w:val="24"/>
        </w:rPr>
        <w:t xml:space="preserve"> op het eerste gezicht</w:t>
      </w:r>
      <w:r w:rsidRPr="00121A6A">
        <w:rPr>
          <w:sz w:val="24"/>
          <w:szCs w:val="24"/>
        </w:rPr>
        <w:t xml:space="preserve"> geen betrekking heeft op </w:t>
      </w:r>
      <w:r w:rsidR="00A67F90" w:rsidRPr="00121A6A">
        <w:rPr>
          <w:sz w:val="24"/>
          <w:szCs w:val="24"/>
        </w:rPr>
        <w:t>het stakingsrecht in arbeidsverhouding</w:t>
      </w:r>
      <w:r w:rsidR="00D41BAC" w:rsidRPr="00121A6A">
        <w:rPr>
          <w:sz w:val="24"/>
          <w:szCs w:val="24"/>
        </w:rPr>
        <w:t>en</w:t>
      </w:r>
      <w:r w:rsidR="00A67F90" w:rsidRPr="00121A6A">
        <w:rPr>
          <w:sz w:val="24"/>
          <w:szCs w:val="24"/>
        </w:rPr>
        <w:t xml:space="preserve">, </w:t>
      </w:r>
      <w:r w:rsidR="00131748" w:rsidRPr="00121A6A">
        <w:rPr>
          <w:sz w:val="24"/>
          <w:szCs w:val="24"/>
        </w:rPr>
        <w:t>wordt</w:t>
      </w:r>
      <w:r w:rsidR="00A67F90" w:rsidRPr="00121A6A">
        <w:rPr>
          <w:sz w:val="24"/>
          <w:szCs w:val="24"/>
        </w:rPr>
        <w:t xml:space="preserve"> </w:t>
      </w:r>
      <w:r w:rsidR="00BE5097" w:rsidRPr="00121A6A">
        <w:rPr>
          <w:sz w:val="24"/>
          <w:szCs w:val="24"/>
        </w:rPr>
        <w:t xml:space="preserve">het </w:t>
      </w:r>
      <w:proofErr w:type="spellStart"/>
      <w:r w:rsidR="00BE5097" w:rsidRPr="00121A6A">
        <w:rPr>
          <w:i/>
          <w:iCs/>
          <w:sz w:val="24"/>
          <w:szCs w:val="24"/>
        </w:rPr>
        <w:t>Airhelp</w:t>
      </w:r>
      <w:proofErr w:type="spellEnd"/>
      <w:r w:rsidR="00BE5097" w:rsidRPr="00121A6A">
        <w:rPr>
          <w:sz w:val="24"/>
          <w:szCs w:val="24"/>
        </w:rPr>
        <w:t>-arrest</w:t>
      </w:r>
      <w:r w:rsidR="00A67F90" w:rsidRPr="00121A6A">
        <w:rPr>
          <w:sz w:val="24"/>
          <w:szCs w:val="24"/>
        </w:rPr>
        <w:t xml:space="preserve"> </w:t>
      </w:r>
      <w:r w:rsidR="00131748" w:rsidRPr="00121A6A">
        <w:rPr>
          <w:sz w:val="24"/>
          <w:szCs w:val="24"/>
        </w:rPr>
        <w:t xml:space="preserve">in de literatuur </w:t>
      </w:r>
      <w:r w:rsidR="00F62A05" w:rsidRPr="00121A6A">
        <w:rPr>
          <w:sz w:val="24"/>
          <w:szCs w:val="24"/>
        </w:rPr>
        <w:t>toch</w:t>
      </w:r>
      <w:r w:rsidR="00A67F90" w:rsidRPr="00121A6A">
        <w:rPr>
          <w:sz w:val="24"/>
          <w:szCs w:val="24"/>
        </w:rPr>
        <w:t xml:space="preserve"> </w:t>
      </w:r>
      <w:r w:rsidR="00131748" w:rsidRPr="00121A6A">
        <w:rPr>
          <w:sz w:val="24"/>
          <w:szCs w:val="24"/>
        </w:rPr>
        <w:t xml:space="preserve">in verband gebracht met </w:t>
      </w:r>
      <w:r w:rsidR="00131748" w:rsidRPr="00121A6A">
        <w:rPr>
          <w:i/>
          <w:iCs/>
          <w:sz w:val="24"/>
          <w:szCs w:val="24"/>
        </w:rPr>
        <w:t xml:space="preserve">Viking </w:t>
      </w:r>
      <w:r w:rsidR="00131748" w:rsidRPr="00121A6A">
        <w:rPr>
          <w:sz w:val="24"/>
          <w:szCs w:val="24"/>
        </w:rPr>
        <w:t xml:space="preserve">en </w:t>
      </w:r>
      <w:r w:rsidR="00131748" w:rsidRPr="00121A6A">
        <w:rPr>
          <w:i/>
          <w:iCs/>
          <w:sz w:val="24"/>
          <w:szCs w:val="24"/>
        </w:rPr>
        <w:t>Laval</w:t>
      </w:r>
      <w:r w:rsidR="00131748" w:rsidRPr="00121A6A">
        <w:rPr>
          <w:sz w:val="24"/>
          <w:szCs w:val="24"/>
        </w:rPr>
        <w:t>.</w:t>
      </w:r>
      <w:r w:rsidRPr="00121A6A">
        <w:rPr>
          <w:sz w:val="24"/>
          <w:szCs w:val="24"/>
        </w:rPr>
        <w:t xml:space="preserve"> </w:t>
      </w:r>
      <w:r w:rsidR="00211764" w:rsidRPr="00121A6A">
        <w:rPr>
          <w:sz w:val="24"/>
          <w:szCs w:val="24"/>
        </w:rPr>
        <w:t xml:space="preserve">Dat komt </w:t>
      </w:r>
      <w:r w:rsidR="008513F4">
        <w:rPr>
          <w:sz w:val="24"/>
          <w:szCs w:val="24"/>
        </w:rPr>
        <w:t>om</w:t>
      </w:r>
      <w:r w:rsidR="00211764" w:rsidRPr="00121A6A">
        <w:rPr>
          <w:sz w:val="24"/>
          <w:szCs w:val="24"/>
        </w:rPr>
        <w:t xml:space="preserve">dat </w:t>
      </w:r>
      <w:r w:rsidR="00E237A3" w:rsidRPr="00121A6A">
        <w:rPr>
          <w:sz w:val="24"/>
          <w:szCs w:val="24"/>
        </w:rPr>
        <w:t xml:space="preserve">de uitspraak </w:t>
      </w:r>
      <w:r w:rsidR="003200C6" w:rsidRPr="00121A6A">
        <w:rPr>
          <w:sz w:val="24"/>
          <w:szCs w:val="24"/>
        </w:rPr>
        <w:t xml:space="preserve">raakt aan </w:t>
      </w:r>
      <w:r w:rsidR="00A07C25" w:rsidRPr="00121A6A">
        <w:rPr>
          <w:sz w:val="24"/>
          <w:szCs w:val="24"/>
        </w:rPr>
        <w:t xml:space="preserve">de </w:t>
      </w:r>
      <w:r w:rsidR="00131748" w:rsidRPr="00121A6A">
        <w:rPr>
          <w:sz w:val="24"/>
          <w:szCs w:val="24"/>
        </w:rPr>
        <w:t>verhouding</w:t>
      </w:r>
      <w:r w:rsidR="003200C6" w:rsidRPr="00121A6A">
        <w:rPr>
          <w:sz w:val="24"/>
          <w:szCs w:val="24"/>
        </w:rPr>
        <w:t xml:space="preserve"> tussen</w:t>
      </w:r>
      <w:r w:rsidR="00131748" w:rsidRPr="00121A6A">
        <w:rPr>
          <w:sz w:val="24"/>
          <w:szCs w:val="24"/>
        </w:rPr>
        <w:t xml:space="preserve"> het stakingsrecht van</w:t>
      </w:r>
      <w:r w:rsidR="003200C6" w:rsidRPr="00121A6A">
        <w:rPr>
          <w:sz w:val="24"/>
          <w:szCs w:val="24"/>
        </w:rPr>
        <w:t xml:space="preserve"> artikel 28 Hv en de in </w:t>
      </w:r>
      <w:r w:rsidR="00A07C25" w:rsidRPr="00121A6A">
        <w:rPr>
          <w:sz w:val="24"/>
          <w:szCs w:val="24"/>
        </w:rPr>
        <w:t xml:space="preserve">artikel 16 </w:t>
      </w:r>
      <w:r w:rsidR="00453DF0" w:rsidRPr="00121A6A">
        <w:rPr>
          <w:sz w:val="24"/>
          <w:szCs w:val="24"/>
        </w:rPr>
        <w:t>Hv</w:t>
      </w:r>
      <w:r w:rsidR="00211764" w:rsidRPr="00121A6A">
        <w:rPr>
          <w:sz w:val="24"/>
          <w:szCs w:val="24"/>
        </w:rPr>
        <w:t xml:space="preserve"> neergelegde vrijheid van ondernemerschap</w:t>
      </w:r>
      <w:r w:rsidR="004C4751">
        <w:rPr>
          <w:sz w:val="24"/>
          <w:szCs w:val="24"/>
        </w:rPr>
        <w:t>.</w:t>
      </w:r>
      <w:r w:rsidR="00904CA0">
        <w:rPr>
          <w:sz w:val="24"/>
          <w:szCs w:val="24"/>
        </w:rPr>
        <w:t xml:space="preserve"> </w:t>
      </w:r>
      <w:r w:rsidR="00AD096B">
        <w:rPr>
          <w:sz w:val="24"/>
          <w:szCs w:val="24"/>
        </w:rPr>
        <w:t>De ondernemingsvrijheid</w:t>
      </w:r>
      <w:r w:rsidR="00EC1E5A" w:rsidRPr="00121A6A">
        <w:rPr>
          <w:sz w:val="24"/>
          <w:szCs w:val="24"/>
        </w:rPr>
        <w:t xml:space="preserve"> verwijst naar de vestigingsvrijheid en </w:t>
      </w:r>
      <w:r w:rsidR="004C4751">
        <w:rPr>
          <w:sz w:val="24"/>
          <w:szCs w:val="24"/>
        </w:rPr>
        <w:t xml:space="preserve">houdt </w:t>
      </w:r>
      <w:r w:rsidR="00EC1E5A" w:rsidRPr="00121A6A">
        <w:rPr>
          <w:sz w:val="24"/>
          <w:szCs w:val="24"/>
        </w:rPr>
        <w:t>voor werkgevers dezelfde rechten in.</w:t>
      </w:r>
      <w:r w:rsidR="00EC1E5A" w:rsidRPr="00121A6A">
        <w:rPr>
          <w:rStyle w:val="FootnoteReference"/>
          <w:sz w:val="24"/>
          <w:szCs w:val="24"/>
        </w:rPr>
        <w:footnoteReference w:id="90"/>
      </w:r>
    </w:p>
    <w:p w14:paraId="1FE7F56C" w14:textId="6CB69887" w:rsidR="006075C3" w:rsidRPr="00121A6A" w:rsidRDefault="005645ED" w:rsidP="006075C3">
      <w:pPr>
        <w:spacing w:after="0"/>
        <w:ind w:firstLine="708"/>
        <w:jc w:val="both"/>
        <w:rPr>
          <w:sz w:val="24"/>
          <w:szCs w:val="24"/>
        </w:rPr>
      </w:pPr>
      <w:r w:rsidRPr="00121A6A">
        <w:rPr>
          <w:sz w:val="24"/>
          <w:szCs w:val="24"/>
        </w:rPr>
        <w:t>H</w:t>
      </w:r>
      <w:r w:rsidR="008C7E7D" w:rsidRPr="00121A6A">
        <w:rPr>
          <w:sz w:val="24"/>
          <w:szCs w:val="24"/>
        </w:rPr>
        <w:t xml:space="preserve">et Hof </w:t>
      </w:r>
      <w:r w:rsidRPr="00121A6A">
        <w:rPr>
          <w:sz w:val="24"/>
          <w:szCs w:val="24"/>
        </w:rPr>
        <w:t>oordeelde dat</w:t>
      </w:r>
      <w:r w:rsidR="008C7E7D" w:rsidRPr="00121A6A">
        <w:rPr>
          <w:sz w:val="24"/>
          <w:szCs w:val="24"/>
        </w:rPr>
        <w:t xml:space="preserve"> een staking van </w:t>
      </w:r>
      <w:r w:rsidR="005B5A73">
        <w:rPr>
          <w:sz w:val="24"/>
          <w:szCs w:val="24"/>
        </w:rPr>
        <w:t xml:space="preserve">het </w:t>
      </w:r>
      <w:r w:rsidR="008C7E7D" w:rsidRPr="00121A6A">
        <w:rPr>
          <w:sz w:val="24"/>
          <w:szCs w:val="24"/>
        </w:rPr>
        <w:t xml:space="preserve">‘eigen’ personeel van de luchtvaartmaatschappij niet </w:t>
      </w:r>
      <w:r w:rsidRPr="00121A6A">
        <w:rPr>
          <w:sz w:val="24"/>
          <w:szCs w:val="24"/>
        </w:rPr>
        <w:t xml:space="preserve">kwalificeert </w:t>
      </w:r>
      <w:r w:rsidR="008C7E7D" w:rsidRPr="00121A6A">
        <w:rPr>
          <w:sz w:val="24"/>
          <w:szCs w:val="24"/>
        </w:rPr>
        <w:t>als</w:t>
      </w:r>
      <w:r w:rsidR="0018682F">
        <w:rPr>
          <w:sz w:val="24"/>
          <w:szCs w:val="24"/>
        </w:rPr>
        <w:t xml:space="preserve"> </w:t>
      </w:r>
      <w:r w:rsidR="00A122B3" w:rsidRPr="00121A6A">
        <w:rPr>
          <w:sz w:val="24"/>
          <w:szCs w:val="24"/>
        </w:rPr>
        <w:t>‘</w:t>
      </w:r>
      <w:r w:rsidR="008C7E7D" w:rsidRPr="00121A6A">
        <w:rPr>
          <w:sz w:val="24"/>
          <w:szCs w:val="24"/>
        </w:rPr>
        <w:t>buitengewone omstandigheid</w:t>
      </w:r>
      <w:r w:rsidR="00A122B3" w:rsidRPr="00121A6A">
        <w:rPr>
          <w:sz w:val="24"/>
          <w:szCs w:val="24"/>
        </w:rPr>
        <w:t>’</w:t>
      </w:r>
      <w:r w:rsidR="008C7E7D" w:rsidRPr="00121A6A">
        <w:rPr>
          <w:sz w:val="24"/>
          <w:szCs w:val="24"/>
        </w:rPr>
        <w:t xml:space="preserve">. </w:t>
      </w:r>
      <w:r w:rsidR="00B11139" w:rsidRPr="00121A6A">
        <w:rPr>
          <w:sz w:val="24"/>
          <w:szCs w:val="24"/>
        </w:rPr>
        <w:t>D</w:t>
      </w:r>
      <w:r w:rsidR="00211764" w:rsidRPr="00121A6A">
        <w:rPr>
          <w:sz w:val="24"/>
          <w:szCs w:val="24"/>
        </w:rPr>
        <w:t>e</w:t>
      </w:r>
      <w:r w:rsidR="008C7E7D" w:rsidRPr="00121A6A">
        <w:rPr>
          <w:sz w:val="24"/>
          <w:szCs w:val="24"/>
        </w:rPr>
        <w:t>ze</w:t>
      </w:r>
      <w:r w:rsidR="00211764" w:rsidRPr="00121A6A">
        <w:rPr>
          <w:sz w:val="24"/>
          <w:szCs w:val="24"/>
        </w:rPr>
        <w:t xml:space="preserve"> beslissing </w:t>
      </w:r>
      <w:r w:rsidR="00B11139" w:rsidRPr="00121A6A">
        <w:rPr>
          <w:sz w:val="24"/>
          <w:szCs w:val="24"/>
        </w:rPr>
        <w:t xml:space="preserve">viel </w:t>
      </w:r>
      <w:r w:rsidR="00A122B3" w:rsidRPr="00121A6A">
        <w:rPr>
          <w:sz w:val="24"/>
          <w:szCs w:val="24"/>
        </w:rPr>
        <w:t xml:space="preserve">uit </w:t>
      </w:r>
      <w:r w:rsidR="00EB0E21" w:rsidRPr="00121A6A">
        <w:rPr>
          <w:sz w:val="24"/>
          <w:szCs w:val="24"/>
        </w:rPr>
        <w:t xml:space="preserve">in het voordeel van </w:t>
      </w:r>
      <w:r w:rsidR="00A67F90" w:rsidRPr="00121A6A">
        <w:rPr>
          <w:sz w:val="24"/>
          <w:szCs w:val="24"/>
        </w:rPr>
        <w:t xml:space="preserve">passagiers </w:t>
      </w:r>
      <w:r w:rsidR="00EB0E21" w:rsidRPr="00121A6A">
        <w:rPr>
          <w:sz w:val="24"/>
          <w:szCs w:val="24"/>
        </w:rPr>
        <w:t>en werknemers; de luchtvaartmaatschappij</w:t>
      </w:r>
      <w:r w:rsidR="00A67F90" w:rsidRPr="00121A6A">
        <w:rPr>
          <w:sz w:val="24"/>
          <w:szCs w:val="24"/>
        </w:rPr>
        <w:t xml:space="preserve"> </w:t>
      </w:r>
      <w:r w:rsidR="00EB0E21" w:rsidRPr="00121A6A">
        <w:rPr>
          <w:sz w:val="24"/>
          <w:szCs w:val="24"/>
        </w:rPr>
        <w:t>moe</w:t>
      </w:r>
      <w:r w:rsidR="00F327B6" w:rsidRPr="00121A6A">
        <w:rPr>
          <w:sz w:val="24"/>
          <w:szCs w:val="24"/>
        </w:rPr>
        <w:t>s</w:t>
      </w:r>
      <w:r w:rsidRPr="00121A6A">
        <w:rPr>
          <w:sz w:val="24"/>
          <w:szCs w:val="24"/>
        </w:rPr>
        <w:t>t</w:t>
      </w:r>
      <w:r w:rsidR="00EB0E21" w:rsidRPr="00121A6A">
        <w:rPr>
          <w:sz w:val="24"/>
          <w:szCs w:val="24"/>
        </w:rPr>
        <w:t xml:space="preserve"> compensatie betalen. </w:t>
      </w:r>
      <w:r w:rsidR="00826410" w:rsidRPr="00121A6A">
        <w:rPr>
          <w:sz w:val="24"/>
          <w:szCs w:val="24"/>
        </w:rPr>
        <w:t>H</w:t>
      </w:r>
      <w:r w:rsidR="00A67F90" w:rsidRPr="00121A6A">
        <w:rPr>
          <w:sz w:val="24"/>
          <w:szCs w:val="24"/>
        </w:rPr>
        <w:t xml:space="preserve">et individuele consumentenrecht en </w:t>
      </w:r>
      <w:r w:rsidR="0010164D" w:rsidRPr="00121A6A">
        <w:rPr>
          <w:sz w:val="24"/>
          <w:szCs w:val="24"/>
        </w:rPr>
        <w:t xml:space="preserve">het </w:t>
      </w:r>
      <w:r w:rsidR="00A67F90" w:rsidRPr="00121A6A">
        <w:rPr>
          <w:sz w:val="24"/>
          <w:szCs w:val="24"/>
        </w:rPr>
        <w:t xml:space="preserve">collectieve </w:t>
      </w:r>
      <w:r w:rsidR="00A45039" w:rsidRPr="00121A6A">
        <w:rPr>
          <w:sz w:val="24"/>
          <w:szCs w:val="24"/>
        </w:rPr>
        <w:t>actie</w:t>
      </w:r>
      <w:r w:rsidR="00A67F90" w:rsidRPr="00121A6A">
        <w:rPr>
          <w:sz w:val="24"/>
          <w:szCs w:val="24"/>
        </w:rPr>
        <w:t xml:space="preserve">recht </w:t>
      </w:r>
      <w:r w:rsidRPr="00121A6A">
        <w:rPr>
          <w:sz w:val="24"/>
          <w:szCs w:val="24"/>
        </w:rPr>
        <w:t>overtroef</w:t>
      </w:r>
      <w:r w:rsidR="00A122B3" w:rsidRPr="00121A6A">
        <w:rPr>
          <w:sz w:val="24"/>
          <w:szCs w:val="24"/>
        </w:rPr>
        <w:t>de</w:t>
      </w:r>
      <w:r w:rsidR="00826410" w:rsidRPr="00121A6A">
        <w:rPr>
          <w:sz w:val="24"/>
          <w:szCs w:val="24"/>
        </w:rPr>
        <w:t xml:space="preserve"> </w:t>
      </w:r>
      <w:r w:rsidR="00592DD0">
        <w:rPr>
          <w:sz w:val="24"/>
          <w:szCs w:val="24"/>
        </w:rPr>
        <w:t>daarmee</w:t>
      </w:r>
      <w:r w:rsidR="00A67F90" w:rsidRPr="00121A6A">
        <w:rPr>
          <w:sz w:val="24"/>
          <w:szCs w:val="24"/>
        </w:rPr>
        <w:t xml:space="preserve"> de </w:t>
      </w:r>
      <w:r w:rsidR="00A122B3" w:rsidRPr="00121A6A">
        <w:rPr>
          <w:sz w:val="24"/>
          <w:szCs w:val="24"/>
        </w:rPr>
        <w:t>vrijheid van ondernemerschap</w:t>
      </w:r>
      <w:r w:rsidR="00A67F90" w:rsidRPr="00121A6A">
        <w:rPr>
          <w:sz w:val="24"/>
          <w:szCs w:val="24"/>
        </w:rPr>
        <w:t>.</w:t>
      </w:r>
      <w:r w:rsidR="00211764" w:rsidRPr="00121A6A">
        <w:rPr>
          <w:sz w:val="24"/>
          <w:szCs w:val="24"/>
        </w:rPr>
        <w:t xml:space="preserve"> </w:t>
      </w:r>
      <w:r w:rsidR="00A1569B" w:rsidRPr="00121A6A">
        <w:rPr>
          <w:sz w:val="24"/>
          <w:szCs w:val="24"/>
        </w:rPr>
        <w:t>Volgens</w:t>
      </w:r>
      <w:r w:rsidR="00FB3E8A" w:rsidRPr="00121A6A">
        <w:rPr>
          <w:sz w:val="24"/>
          <w:szCs w:val="24"/>
        </w:rPr>
        <w:t xml:space="preserve"> </w:t>
      </w:r>
      <w:proofErr w:type="spellStart"/>
      <w:r w:rsidR="00FB3E8A" w:rsidRPr="00121A6A">
        <w:rPr>
          <w:sz w:val="24"/>
          <w:szCs w:val="24"/>
        </w:rPr>
        <w:t>Lhernould</w:t>
      </w:r>
      <w:proofErr w:type="spellEnd"/>
      <w:r w:rsidR="00FB3E8A" w:rsidRPr="00121A6A">
        <w:rPr>
          <w:sz w:val="24"/>
          <w:szCs w:val="24"/>
        </w:rPr>
        <w:t>,</w:t>
      </w:r>
      <w:r w:rsidR="00A1569B" w:rsidRPr="00121A6A">
        <w:rPr>
          <w:sz w:val="24"/>
          <w:szCs w:val="24"/>
        </w:rPr>
        <w:t xml:space="preserve"> </w:t>
      </w:r>
      <w:r w:rsidR="008C7E7D" w:rsidRPr="00121A6A">
        <w:rPr>
          <w:sz w:val="24"/>
          <w:szCs w:val="24"/>
        </w:rPr>
        <w:t xml:space="preserve">Verheyen </w:t>
      </w:r>
      <w:r w:rsidR="00592DD0">
        <w:rPr>
          <w:sz w:val="24"/>
          <w:szCs w:val="24"/>
        </w:rPr>
        <w:t>en</w:t>
      </w:r>
      <w:r w:rsidR="008C7E7D" w:rsidRPr="00121A6A">
        <w:rPr>
          <w:sz w:val="24"/>
          <w:szCs w:val="24"/>
        </w:rPr>
        <w:t xml:space="preserve"> </w:t>
      </w:r>
      <w:proofErr w:type="spellStart"/>
      <w:r w:rsidR="008C7E7D" w:rsidRPr="00121A6A">
        <w:rPr>
          <w:sz w:val="24"/>
          <w:szCs w:val="24"/>
        </w:rPr>
        <w:t>Pecinovsky</w:t>
      </w:r>
      <w:proofErr w:type="spellEnd"/>
      <w:r w:rsidR="008C7E7D" w:rsidRPr="00121A6A">
        <w:rPr>
          <w:sz w:val="24"/>
          <w:szCs w:val="24"/>
        </w:rPr>
        <w:t xml:space="preserve"> </w:t>
      </w:r>
      <w:r w:rsidR="00A1569B" w:rsidRPr="00121A6A">
        <w:rPr>
          <w:sz w:val="24"/>
          <w:szCs w:val="24"/>
        </w:rPr>
        <w:t>lijkt het Hof</w:t>
      </w:r>
      <w:r w:rsidR="0089438C" w:rsidRPr="00121A6A">
        <w:rPr>
          <w:sz w:val="24"/>
          <w:szCs w:val="24"/>
        </w:rPr>
        <w:t xml:space="preserve"> </w:t>
      </w:r>
      <w:r w:rsidR="00B91E46">
        <w:rPr>
          <w:sz w:val="24"/>
          <w:szCs w:val="24"/>
        </w:rPr>
        <w:t>met dit oordeel</w:t>
      </w:r>
      <w:r w:rsidR="0089438C" w:rsidRPr="00121A6A">
        <w:rPr>
          <w:sz w:val="24"/>
          <w:szCs w:val="24"/>
        </w:rPr>
        <w:t xml:space="preserve"> </w:t>
      </w:r>
      <w:r w:rsidR="0089438C" w:rsidRPr="00121A6A">
        <w:rPr>
          <w:sz w:val="24"/>
          <w:szCs w:val="24"/>
        </w:rPr>
        <w:lastRenderedPageBreak/>
        <w:t>oude</w:t>
      </w:r>
      <w:r w:rsidR="00FF2195" w:rsidRPr="00121A6A">
        <w:rPr>
          <w:sz w:val="24"/>
          <w:szCs w:val="24"/>
        </w:rPr>
        <w:t>(</w:t>
      </w:r>
      <w:r w:rsidR="0089438C" w:rsidRPr="00121A6A">
        <w:rPr>
          <w:sz w:val="24"/>
          <w:szCs w:val="24"/>
        </w:rPr>
        <w:t>re</w:t>
      </w:r>
      <w:r w:rsidR="00FF2195" w:rsidRPr="00121A6A">
        <w:rPr>
          <w:sz w:val="24"/>
          <w:szCs w:val="24"/>
        </w:rPr>
        <w:t>)</w:t>
      </w:r>
      <w:r w:rsidR="0089438C" w:rsidRPr="00121A6A">
        <w:rPr>
          <w:sz w:val="24"/>
          <w:szCs w:val="24"/>
        </w:rPr>
        <w:t xml:space="preserve"> stakingsrechtspraak</w:t>
      </w:r>
      <w:r w:rsidR="00324671">
        <w:rPr>
          <w:sz w:val="24"/>
          <w:szCs w:val="24"/>
        </w:rPr>
        <w:t xml:space="preserve"> (</w:t>
      </w:r>
      <w:r w:rsidR="00324671">
        <w:rPr>
          <w:i/>
          <w:iCs/>
          <w:sz w:val="24"/>
          <w:szCs w:val="24"/>
        </w:rPr>
        <w:t xml:space="preserve">Viking </w:t>
      </w:r>
      <w:r w:rsidR="00324671">
        <w:rPr>
          <w:sz w:val="24"/>
          <w:szCs w:val="24"/>
        </w:rPr>
        <w:t xml:space="preserve">en </w:t>
      </w:r>
      <w:r w:rsidR="00324671">
        <w:rPr>
          <w:i/>
          <w:iCs/>
          <w:sz w:val="24"/>
          <w:szCs w:val="24"/>
        </w:rPr>
        <w:t>Laval</w:t>
      </w:r>
      <w:r w:rsidR="00324671">
        <w:rPr>
          <w:sz w:val="24"/>
          <w:szCs w:val="24"/>
        </w:rPr>
        <w:t>)</w:t>
      </w:r>
      <w:r w:rsidR="0089438C" w:rsidRPr="00121A6A">
        <w:rPr>
          <w:sz w:val="24"/>
          <w:szCs w:val="24"/>
        </w:rPr>
        <w:t xml:space="preserve"> </w:t>
      </w:r>
      <w:r w:rsidR="00E67C3F" w:rsidRPr="00121A6A">
        <w:rPr>
          <w:sz w:val="24"/>
          <w:szCs w:val="24"/>
        </w:rPr>
        <w:t xml:space="preserve">recht </w:t>
      </w:r>
      <w:r w:rsidR="0089438C" w:rsidRPr="00121A6A">
        <w:rPr>
          <w:sz w:val="24"/>
          <w:szCs w:val="24"/>
        </w:rPr>
        <w:t>te</w:t>
      </w:r>
      <w:r w:rsidR="00E67C3F" w:rsidRPr="00121A6A">
        <w:rPr>
          <w:sz w:val="24"/>
          <w:szCs w:val="24"/>
        </w:rPr>
        <w:t xml:space="preserve"> zetten</w:t>
      </w:r>
      <w:r w:rsidR="00A1569B" w:rsidRPr="00121A6A">
        <w:rPr>
          <w:sz w:val="24"/>
          <w:szCs w:val="24"/>
        </w:rPr>
        <w:t>.</w:t>
      </w:r>
      <w:r w:rsidR="00252DDF" w:rsidRPr="00121A6A">
        <w:rPr>
          <w:rStyle w:val="FootnoteReference"/>
          <w:sz w:val="24"/>
          <w:szCs w:val="24"/>
        </w:rPr>
        <w:footnoteReference w:id="91"/>
      </w:r>
      <w:r w:rsidR="00A1569B" w:rsidRPr="00121A6A">
        <w:rPr>
          <w:sz w:val="24"/>
          <w:szCs w:val="24"/>
        </w:rPr>
        <w:t xml:space="preserve"> </w:t>
      </w:r>
      <w:r w:rsidR="00506439" w:rsidRPr="00121A6A">
        <w:rPr>
          <w:sz w:val="24"/>
          <w:szCs w:val="24"/>
        </w:rPr>
        <w:t>U</w:t>
      </w:r>
      <w:r w:rsidR="003C041F" w:rsidRPr="00121A6A">
        <w:rPr>
          <w:sz w:val="24"/>
          <w:szCs w:val="24"/>
        </w:rPr>
        <w:t xml:space="preserve">it </w:t>
      </w:r>
      <w:r w:rsidR="00B104E8">
        <w:rPr>
          <w:sz w:val="24"/>
          <w:szCs w:val="24"/>
        </w:rPr>
        <w:t>de</w:t>
      </w:r>
      <w:r w:rsidR="0089438C" w:rsidRPr="00121A6A">
        <w:rPr>
          <w:sz w:val="24"/>
          <w:szCs w:val="24"/>
        </w:rPr>
        <w:t xml:space="preserve"> overweging </w:t>
      </w:r>
      <w:r w:rsidR="00B104E8">
        <w:rPr>
          <w:sz w:val="24"/>
          <w:szCs w:val="24"/>
        </w:rPr>
        <w:t xml:space="preserve">van het Hof </w:t>
      </w:r>
      <w:r w:rsidR="0089438C" w:rsidRPr="00121A6A">
        <w:rPr>
          <w:sz w:val="24"/>
          <w:szCs w:val="24"/>
        </w:rPr>
        <w:t>dat een staking inherent is aan de normale bedrijfsuitoefening,</w:t>
      </w:r>
      <w:r w:rsidR="00506439" w:rsidRPr="00121A6A">
        <w:rPr>
          <w:sz w:val="24"/>
          <w:szCs w:val="24"/>
        </w:rPr>
        <w:t xml:space="preserve"> lijkt huns inziens </w:t>
      </w:r>
      <w:r w:rsidR="00AC318A" w:rsidRPr="00121A6A">
        <w:rPr>
          <w:sz w:val="24"/>
          <w:szCs w:val="24"/>
        </w:rPr>
        <w:t>te volgen</w:t>
      </w:r>
      <w:r w:rsidR="003C041F" w:rsidRPr="00121A6A">
        <w:rPr>
          <w:sz w:val="24"/>
          <w:szCs w:val="24"/>
        </w:rPr>
        <w:t xml:space="preserve"> dat het Hof het </w:t>
      </w:r>
      <w:r w:rsidR="00AC318A" w:rsidRPr="00121A6A">
        <w:rPr>
          <w:sz w:val="24"/>
          <w:szCs w:val="24"/>
        </w:rPr>
        <w:t xml:space="preserve">thans </w:t>
      </w:r>
      <w:r w:rsidR="003C041F" w:rsidRPr="00121A6A">
        <w:rPr>
          <w:sz w:val="24"/>
          <w:szCs w:val="24"/>
        </w:rPr>
        <w:t>logisch vindt dat werkgevers tot op zekere hoogte economische schade lijden als gevolg van collectieve acties.</w:t>
      </w:r>
      <w:r w:rsidR="00506439" w:rsidRPr="00121A6A">
        <w:rPr>
          <w:sz w:val="24"/>
          <w:szCs w:val="24"/>
        </w:rPr>
        <w:t xml:space="preserve"> </w:t>
      </w:r>
      <w:proofErr w:type="spellStart"/>
      <w:r w:rsidR="00671A61" w:rsidRPr="00121A6A">
        <w:rPr>
          <w:sz w:val="24"/>
          <w:szCs w:val="24"/>
        </w:rPr>
        <w:t>Truxal</w:t>
      </w:r>
      <w:proofErr w:type="spellEnd"/>
      <w:r w:rsidR="00671A61" w:rsidRPr="00121A6A">
        <w:rPr>
          <w:sz w:val="24"/>
          <w:szCs w:val="24"/>
        </w:rPr>
        <w:t xml:space="preserve"> </w:t>
      </w:r>
      <w:r w:rsidR="003959E3">
        <w:rPr>
          <w:sz w:val="24"/>
          <w:szCs w:val="24"/>
        </w:rPr>
        <w:t>en</w:t>
      </w:r>
      <w:r w:rsidR="00671A61" w:rsidRPr="00121A6A">
        <w:rPr>
          <w:sz w:val="24"/>
          <w:szCs w:val="24"/>
        </w:rPr>
        <w:t xml:space="preserve"> Drew </w:t>
      </w:r>
      <w:r w:rsidR="00A1569B" w:rsidRPr="00121A6A">
        <w:rPr>
          <w:sz w:val="24"/>
          <w:szCs w:val="24"/>
        </w:rPr>
        <w:t xml:space="preserve">sluiten zich </w:t>
      </w:r>
      <w:r w:rsidR="00B104E8">
        <w:rPr>
          <w:sz w:val="24"/>
          <w:szCs w:val="24"/>
        </w:rPr>
        <w:t>bij dit standpunt</w:t>
      </w:r>
      <w:r w:rsidR="00A1569B" w:rsidRPr="00121A6A">
        <w:rPr>
          <w:sz w:val="24"/>
          <w:szCs w:val="24"/>
        </w:rPr>
        <w:t xml:space="preserve"> aan waar zij schrijven dat </w:t>
      </w:r>
      <w:r w:rsidR="00671A61" w:rsidRPr="00121A6A">
        <w:rPr>
          <w:sz w:val="24"/>
          <w:szCs w:val="24"/>
        </w:rPr>
        <w:t xml:space="preserve">de uitspraak van het Hof een beter evenwicht </w:t>
      </w:r>
      <w:r w:rsidR="00A1569B" w:rsidRPr="00121A6A">
        <w:rPr>
          <w:sz w:val="24"/>
          <w:szCs w:val="24"/>
        </w:rPr>
        <w:t xml:space="preserve">laat </w:t>
      </w:r>
      <w:r w:rsidR="00671A61" w:rsidRPr="00121A6A">
        <w:rPr>
          <w:sz w:val="24"/>
          <w:szCs w:val="24"/>
        </w:rPr>
        <w:t>zien tussen de vestigingsvrijheid en het stakingsrecht.</w:t>
      </w:r>
      <w:r w:rsidR="00671A61" w:rsidRPr="00121A6A">
        <w:rPr>
          <w:rStyle w:val="FootnoteReference"/>
          <w:sz w:val="24"/>
          <w:szCs w:val="24"/>
        </w:rPr>
        <w:footnoteReference w:id="92"/>
      </w:r>
      <w:r w:rsidR="00671A61" w:rsidRPr="00121A6A">
        <w:rPr>
          <w:sz w:val="24"/>
          <w:szCs w:val="24"/>
        </w:rPr>
        <w:t xml:space="preserve"> </w:t>
      </w:r>
      <w:r w:rsidR="0010164D" w:rsidRPr="00121A6A">
        <w:rPr>
          <w:sz w:val="24"/>
          <w:szCs w:val="24"/>
        </w:rPr>
        <w:t>In dit verband</w:t>
      </w:r>
      <w:r w:rsidR="008A1C8E" w:rsidRPr="00121A6A">
        <w:rPr>
          <w:sz w:val="24"/>
          <w:szCs w:val="24"/>
        </w:rPr>
        <w:t xml:space="preserve"> is relevant</w:t>
      </w:r>
      <w:r w:rsidR="000578B9" w:rsidRPr="00121A6A">
        <w:rPr>
          <w:sz w:val="24"/>
          <w:szCs w:val="24"/>
        </w:rPr>
        <w:t xml:space="preserve"> dat </w:t>
      </w:r>
      <w:r w:rsidR="001B439F" w:rsidRPr="00121A6A">
        <w:rPr>
          <w:sz w:val="24"/>
          <w:szCs w:val="24"/>
        </w:rPr>
        <w:t xml:space="preserve">de </w:t>
      </w:r>
      <w:r w:rsidR="000578B9" w:rsidRPr="00121A6A">
        <w:rPr>
          <w:sz w:val="24"/>
          <w:szCs w:val="24"/>
        </w:rPr>
        <w:t xml:space="preserve">beslissing </w:t>
      </w:r>
      <w:r w:rsidR="001B439F" w:rsidRPr="00121A6A">
        <w:rPr>
          <w:sz w:val="24"/>
          <w:szCs w:val="24"/>
        </w:rPr>
        <w:t>van het Hof</w:t>
      </w:r>
      <w:r w:rsidR="000578B9" w:rsidRPr="00121A6A">
        <w:rPr>
          <w:sz w:val="24"/>
          <w:szCs w:val="24"/>
        </w:rPr>
        <w:t xml:space="preserve"> haaks </w:t>
      </w:r>
      <w:r w:rsidR="001B439F" w:rsidRPr="00121A6A">
        <w:rPr>
          <w:sz w:val="24"/>
          <w:szCs w:val="24"/>
        </w:rPr>
        <w:t>staat</w:t>
      </w:r>
      <w:r w:rsidR="000578B9" w:rsidRPr="00121A6A">
        <w:rPr>
          <w:sz w:val="24"/>
          <w:szCs w:val="24"/>
        </w:rPr>
        <w:t xml:space="preserve"> op de conclusie van </w:t>
      </w:r>
      <w:r w:rsidR="00671A61" w:rsidRPr="00121A6A">
        <w:rPr>
          <w:sz w:val="24"/>
          <w:szCs w:val="24"/>
        </w:rPr>
        <w:t xml:space="preserve">A-G </w:t>
      </w:r>
      <w:proofErr w:type="spellStart"/>
      <w:r w:rsidR="00671A61" w:rsidRPr="00121A6A">
        <w:rPr>
          <w:sz w:val="24"/>
          <w:szCs w:val="24"/>
        </w:rPr>
        <w:t>Pikamäe</w:t>
      </w:r>
      <w:proofErr w:type="spellEnd"/>
      <w:r w:rsidR="000578B9" w:rsidRPr="00121A6A">
        <w:rPr>
          <w:sz w:val="24"/>
          <w:szCs w:val="24"/>
        </w:rPr>
        <w:t>.</w:t>
      </w:r>
      <w:r w:rsidR="009541C6" w:rsidRPr="00121A6A">
        <w:rPr>
          <w:rStyle w:val="FootnoteReference"/>
          <w:sz w:val="24"/>
          <w:szCs w:val="24"/>
        </w:rPr>
        <w:footnoteReference w:id="93"/>
      </w:r>
      <w:r w:rsidR="000578B9" w:rsidRPr="00121A6A">
        <w:rPr>
          <w:sz w:val="24"/>
          <w:szCs w:val="24"/>
        </w:rPr>
        <w:t xml:space="preserve"> Volgens de A-G zou </w:t>
      </w:r>
      <w:r w:rsidR="00324671">
        <w:rPr>
          <w:sz w:val="24"/>
          <w:szCs w:val="24"/>
        </w:rPr>
        <w:t>het oordeel dat</w:t>
      </w:r>
      <w:r w:rsidR="00671A61" w:rsidRPr="00121A6A">
        <w:rPr>
          <w:sz w:val="24"/>
          <w:szCs w:val="24"/>
        </w:rPr>
        <w:t xml:space="preserve"> een aangekondigde staking </w:t>
      </w:r>
      <w:r w:rsidR="00324671">
        <w:rPr>
          <w:sz w:val="24"/>
          <w:szCs w:val="24"/>
        </w:rPr>
        <w:t>geen</w:t>
      </w:r>
      <w:r w:rsidR="00671A61" w:rsidRPr="00121A6A">
        <w:rPr>
          <w:sz w:val="24"/>
          <w:szCs w:val="24"/>
        </w:rPr>
        <w:t xml:space="preserve"> ‘buitengewone omstandigheid’</w:t>
      </w:r>
      <w:r w:rsidR="00324671">
        <w:rPr>
          <w:sz w:val="24"/>
          <w:szCs w:val="24"/>
        </w:rPr>
        <w:t xml:space="preserve"> oplevert,</w:t>
      </w:r>
      <w:r w:rsidR="00671A61" w:rsidRPr="00121A6A">
        <w:rPr>
          <w:sz w:val="24"/>
          <w:szCs w:val="24"/>
        </w:rPr>
        <w:t xml:space="preserve"> </w:t>
      </w:r>
      <w:r w:rsidR="002A3C15" w:rsidRPr="00121A6A">
        <w:rPr>
          <w:sz w:val="24"/>
          <w:szCs w:val="24"/>
        </w:rPr>
        <w:t>de</w:t>
      </w:r>
      <w:r w:rsidR="00671A61" w:rsidRPr="00121A6A">
        <w:rPr>
          <w:sz w:val="24"/>
          <w:szCs w:val="24"/>
        </w:rPr>
        <w:t xml:space="preserve"> onderhandelings</w:t>
      </w:r>
      <w:r w:rsidR="002A3C15" w:rsidRPr="00121A6A">
        <w:rPr>
          <w:sz w:val="24"/>
          <w:szCs w:val="24"/>
        </w:rPr>
        <w:t>vrijheid</w:t>
      </w:r>
      <w:r w:rsidR="00671A61" w:rsidRPr="00121A6A">
        <w:rPr>
          <w:sz w:val="24"/>
          <w:szCs w:val="24"/>
        </w:rPr>
        <w:t xml:space="preserve"> van de werkgever krachtens (onder meer) artikel 16 </w:t>
      </w:r>
      <w:r w:rsidR="00453DF0" w:rsidRPr="00121A6A">
        <w:rPr>
          <w:sz w:val="24"/>
          <w:szCs w:val="24"/>
        </w:rPr>
        <w:t>Hv</w:t>
      </w:r>
      <w:r w:rsidR="000578B9" w:rsidRPr="00121A6A">
        <w:rPr>
          <w:sz w:val="24"/>
          <w:szCs w:val="24"/>
        </w:rPr>
        <w:t xml:space="preserve"> ernstig aantasten</w:t>
      </w:r>
      <w:r w:rsidR="00324671">
        <w:rPr>
          <w:sz w:val="24"/>
          <w:szCs w:val="24"/>
        </w:rPr>
        <w:t>.</w:t>
      </w:r>
      <w:r w:rsidR="004015C6" w:rsidRPr="00121A6A">
        <w:rPr>
          <w:sz w:val="24"/>
          <w:szCs w:val="24"/>
        </w:rPr>
        <w:t xml:space="preserve"> </w:t>
      </w:r>
      <w:r w:rsidR="00324671">
        <w:rPr>
          <w:sz w:val="24"/>
          <w:szCs w:val="24"/>
        </w:rPr>
        <w:t>D</w:t>
      </w:r>
      <w:r w:rsidR="00A27D56" w:rsidRPr="00121A6A">
        <w:rPr>
          <w:sz w:val="24"/>
          <w:szCs w:val="24"/>
        </w:rPr>
        <w:t xml:space="preserve">e </w:t>
      </w:r>
      <w:r w:rsidR="00A37A43" w:rsidRPr="00121A6A">
        <w:rPr>
          <w:sz w:val="24"/>
          <w:szCs w:val="24"/>
        </w:rPr>
        <w:t xml:space="preserve">luchtvaartmaatschappij </w:t>
      </w:r>
      <w:r w:rsidR="00324671">
        <w:rPr>
          <w:sz w:val="24"/>
          <w:szCs w:val="24"/>
        </w:rPr>
        <w:t xml:space="preserve">zou </w:t>
      </w:r>
      <w:r w:rsidR="004015C6" w:rsidRPr="00121A6A">
        <w:rPr>
          <w:sz w:val="24"/>
          <w:szCs w:val="24"/>
        </w:rPr>
        <w:t>in dat geval</w:t>
      </w:r>
      <w:r w:rsidR="00CB52E6">
        <w:rPr>
          <w:sz w:val="24"/>
          <w:szCs w:val="24"/>
        </w:rPr>
        <w:t xml:space="preserve"> </w:t>
      </w:r>
      <w:r w:rsidR="001976F8">
        <w:rPr>
          <w:sz w:val="24"/>
          <w:szCs w:val="24"/>
        </w:rPr>
        <w:t xml:space="preserve">namelijk </w:t>
      </w:r>
      <w:r w:rsidR="00A37A43" w:rsidRPr="00121A6A">
        <w:rPr>
          <w:sz w:val="24"/>
          <w:szCs w:val="24"/>
        </w:rPr>
        <w:t xml:space="preserve">feitelijk genoodzaakt </w:t>
      </w:r>
      <w:r w:rsidR="004015C6" w:rsidRPr="00121A6A">
        <w:rPr>
          <w:sz w:val="24"/>
          <w:szCs w:val="24"/>
        </w:rPr>
        <w:t>zijn</w:t>
      </w:r>
      <w:r w:rsidR="00473FB9">
        <w:rPr>
          <w:sz w:val="24"/>
          <w:szCs w:val="24"/>
        </w:rPr>
        <w:t xml:space="preserve"> om</w:t>
      </w:r>
      <w:r w:rsidR="002127BC" w:rsidRPr="00121A6A">
        <w:rPr>
          <w:sz w:val="24"/>
          <w:szCs w:val="24"/>
        </w:rPr>
        <w:t xml:space="preserve"> </w:t>
      </w:r>
      <w:r w:rsidR="00A37A43" w:rsidRPr="00121A6A">
        <w:rPr>
          <w:sz w:val="24"/>
          <w:szCs w:val="24"/>
        </w:rPr>
        <w:t>tegemoet te komen aan de eisen van de vakbond</w:t>
      </w:r>
      <w:r w:rsidR="00324671">
        <w:rPr>
          <w:sz w:val="24"/>
          <w:szCs w:val="24"/>
        </w:rPr>
        <w:t>,</w:t>
      </w:r>
      <w:r w:rsidR="00FF2195" w:rsidRPr="00121A6A">
        <w:rPr>
          <w:rStyle w:val="FootnoteReference"/>
          <w:sz w:val="24"/>
          <w:szCs w:val="24"/>
        </w:rPr>
        <w:footnoteReference w:id="94"/>
      </w:r>
      <w:r w:rsidR="002127BC" w:rsidRPr="00121A6A">
        <w:rPr>
          <w:sz w:val="24"/>
          <w:szCs w:val="24"/>
        </w:rPr>
        <w:t xml:space="preserve"> </w:t>
      </w:r>
      <w:r w:rsidR="00324671">
        <w:rPr>
          <w:sz w:val="24"/>
          <w:szCs w:val="24"/>
        </w:rPr>
        <w:t>omdat alleen op die manier</w:t>
      </w:r>
      <w:r w:rsidR="002127BC" w:rsidRPr="00121A6A">
        <w:rPr>
          <w:sz w:val="24"/>
          <w:szCs w:val="24"/>
        </w:rPr>
        <w:t xml:space="preserve"> </w:t>
      </w:r>
      <w:r w:rsidR="009A6A9F" w:rsidRPr="00121A6A">
        <w:rPr>
          <w:sz w:val="24"/>
          <w:szCs w:val="24"/>
        </w:rPr>
        <w:t>de staking en</w:t>
      </w:r>
      <w:r w:rsidR="00A37A43" w:rsidRPr="00121A6A">
        <w:rPr>
          <w:sz w:val="24"/>
          <w:szCs w:val="24"/>
        </w:rPr>
        <w:t xml:space="preserve"> </w:t>
      </w:r>
      <w:r w:rsidR="002127BC" w:rsidRPr="00121A6A">
        <w:rPr>
          <w:sz w:val="24"/>
          <w:szCs w:val="24"/>
        </w:rPr>
        <w:t xml:space="preserve">daarmee </w:t>
      </w:r>
      <w:r w:rsidR="00A37A43" w:rsidRPr="00121A6A">
        <w:rPr>
          <w:sz w:val="24"/>
          <w:szCs w:val="24"/>
        </w:rPr>
        <w:t>hoge</w:t>
      </w:r>
      <w:r w:rsidR="00657DB7" w:rsidRPr="00121A6A">
        <w:rPr>
          <w:sz w:val="24"/>
          <w:szCs w:val="24"/>
        </w:rPr>
        <w:t>(re)</w:t>
      </w:r>
      <w:r w:rsidR="00A37A43" w:rsidRPr="00121A6A">
        <w:rPr>
          <w:sz w:val="24"/>
          <w:szCs w:val="24"/>
        </w:rPr>
        <w:t xml:space="preserve"> compensatieclaims voorkomen</w:t>
      </w:r>
      <w:r w:rsidR="00F30D18">
        <w:rPr>
          <w:sz w:val="24"/>
          <w:szCs w:val="24"/>
        </w:rPr>
        <w:t xml:space="preserve"> zouden kunnen worden</w:t>
      </w:r>
      <w:r w:rsidR="00A37A43" w:rsidRPr="00121A6A">
        <w:rPr>
          <w:sz w:val="24"/>
          <w:szCs w:val="24"/>
        </w:rPr>
        <w:t xml:space="preserve">. </w:t>
      </w:r>
      <w:r w:rsidR="00726297" w:rsidRPr="00121A6A">
        <w:rPr>
          <w:sz w:val="24"/>
          <w:szCs w:val="24"/>
        </w:rPr>
        <w:t xml:space="preserve">Niet uitgesloten was dat het Hof deze redenering zou bekrachtigen, </w:t>
      </w:r>
      <w:bookmarkStart w:id="39" w:name="_Hlk163455961"/>
      <w:r w:rsidR="00726297" w:rsidRPr="00121A6A">
        <w:rPr>
          <w:sz w:val="24"/>
          <w:szCs w:val="24"/>
        </w:rPr>
        <w:t xml:space="preserve">gelet op eerdere rechtspraak waarin </w:t>
      </w:r>
      <w:r w:rsidR="005B5A73">
        <w:rPr>
          <w:sz w:val="24"/>
          <w:szCs w:val="24"/>
        </w:rPr>
        <w:t xml:space="preserve">het </w:t>
      </w:r>
      <w:r w:rsidR="00EE17D6" w:rsidRPr="00121A6A">
        <w:rPr>
          <w:sz w:val="24"/>
          <w:szCs w:val="24"/>
        </w:rPr>
        <w:t>inperk</w:t>
      </w:r>
      <w:r w:rsidR="005B5A73">
        <w:rPr>
          <w:sz w:val="24"/>
          <w:szCs w:val="24"/>
        </w:rPr>
        <w:t xml:space="preserve">en </w:t>
      </w:r>
      <w:r w:rsidR="00ED7910">
        <w:rPr>
          <w:sz w:val="24"/>
          <w:szCs w:val="24"/>
        </w:rPr>
        <w:t>van</w:t>
      </w:r>
      <w:r w:rsidR="00726297" w:rsidRPr="00121A6A">
        <w:rPr>
          <w:sz w:val="24"/>
          <w:szCs w:val="24"/>
        </w:rPr>
        <w:t xml:space="preserve"> </w:t>
      </w:r>
      <w:r w:rsidR="00F327B6" w:rsidRPr="00121A6A">
        <w:rPr>
          <w:sz w:val="24"/>
          <w:szCs w:val="24"/>
        </w:rPr>
        <w:t xml:space="preserve">sociale </w:t>
      </w:r>
      <w:r w:rsidR="00CB52E6">
        <w:rPr>
          <w:sz w:val="24"/>
          <w:szCs w:val="24"/>
        </w:rPr>
        <w:t>(grond)</w:t>
      </w:r>
      <w:r w:rsidR="00F327B6" w:rsidRPr="00121A6A">
        <w:rPr>
          <w:sz w:val="24"/>
          <w:szCs w:val="24"/>
        </w:rPr>
        <w:t>rechten</w:t>
      </w:r>
      <w:r w:rsidR="00726297" w:rsidRPr="00121A6A">
        <w:rPr>
          <w:sz w:val="24"/>
          <w:szCs w:val="24"/>
        </w:rPr>
        <w:t xml:space="preserve"> </w:t>
      </w:r>
      <w:r w:rsidR="00EE17D6" w:rsidRPr="00121A6A">
        <w:rPr>
          <w:sz w:val="24"/>
          <w:szCs w:val="24"/>
        </w:rPr>
        <w:t xml:space="preserve">werd </w:t>
      </w:r>
      <w:r w:rsidR="00726297" w:rsidRPr="00121A6A">
        <w:rPr>
          <w:sz w:val="24"/>
          <w:szCs w:val="24"/>
        </w:rPr>
        <w:t xml:space="preserve">gerechtvaardigd </w:t>
      </w:r>
      <w:bookmarkEnd w:id="39"/>
      <w:r w:rsidR="00324671">
        <w:rPr>
          <w:sz w:val="24"/>
          <w:szCs w:val="24"/>
        </w:rPr>
        <w:t>onder verwijzing naar</w:t>
      </w:r>
      <w:r w:rsidR="00726297" w:rsidRPr="00121A6A">
        <w:rPr>
          <w:sz w:val="24"/>
          <w:szCs w:val="24"/>
        </w:rPr>
        <w:t xml:space="preserve"> artikel 16 Hv.</w:t>
      </w:r>
      <w:r w:rsidR="00726297" w:rsidRPr="00121A6A">
        <w:rPr>
          <w:rStyle w:val="FootnoteReference"/>
          <w:sz w:val="24"/>
          <w:szCs w:val="24"/>
        </w:rPr>
        <w:footnoteReference w:id="95"/>
      </w:r>
    </w:p>
    <w:p w14:paraId="764A6449" w14:textId="6C40A93D" w:rsidR="006075C3" w:rsidRPr="00121A6A" w:rsidRDefault="00703CF2" w:rsidP="006075C3">
      <w:pPr>
        <w:spacing w:after="0"/>
        <w:ind w:firstLine="708"/>
        <w:jc w:val="both"/>
        <w:rPr>
          <w:sz w:val="24"/>
          <w:szCs w:val="24"/>
        </w:rPr>
      </w:pPr>
      <w:r w:rsidRPr="00121A6A">
        <w:rPr>
          <w:sz w:val="24"/>
          <w:szCs w:val="24"/>
        </w:rPr>
        <w:t xml:space="preserve">De vraag is echter </w:t>
      </w:r>
      <w:r w:rsidR="00252DDF" w:rsidRPr="00121A6A">
        <w:rPr>
          <w:sz w:val="24"/>
          <w:szCs w:val="24"/>
        </w:rPr>
        <w:t>in hoeverre</w:t>
      </w:r>
      <w:r w:rsidR="00FF2195" w:rsidRPr="00121A6A">
        <w:rPr>
          <w:sz w:val="24"/>
          <w:szCs w:val="24"/>
        </w:rPr>
        <w:t xml:space="preserve"> het</w:t>
      </w:r>
      <w:r w:rsidR="00252DDF" w:rsidRPr="00121A6A">
        <w:rPr>
          <w:sz w:val="24"/>
          <w:szCs w:val="24"/>
        </w:rPr>
        <w:t xml:space="preserve"> </w:t>
      </w:r>
      <w:proofErr w:type="spellStart"/>
      <w:r w:rsidR="00F614CE" w:rsidRPr="00121A6A">
        <w:rPr>
          <w:i/>
          <w:iCs/>
          <w:sz w:val="24"/>
          <w:szCs w:val="24"/>
        </w:rPr>
        <w:t>Airhelp</w:t>
      </w:r>
      <w:proofErr w:type="spellEnd"/>
      <w:r w:rsidR="00FF2195" w:rsidRPr="00121A6A">
        <w:rPr>
          <w:sz w:val="24"/>
          <w:szCs w:val="24"/>
        </w:rPr>
        <w:t>-arrest</w:t>
      </w:r>
      <w:r w:rsidR="00252DDF" w:rsidRPr="00121A6A">
        <w:rPr>
          <w:sz w:val="24"/>
          <w:szCs w:val="24"/>
        </w:rPr>
        <w:t xml:space="preserve"> daadwerkelijk een andere verhouding</w:t>
      </w:r>
      <w:r w:rsidR="00A37A43" w:rsidRPr="00121A6A">
        <w:rPr>
          <w:sz w:val="24"/>
          <w:szCs w:val="24"/>
        </w:rPr>
        <w:t xml:space="preserve"> laat zien</w:t>
      </w:r>
      <w:r w:rsidR="00252DDF" w:rsidRPr="00121A6A">
        <w:rPr>
          <w:sz w:val="24"/>
          <w:szCs w:val="24"/>
        </w:rPr>
        <w:t xml:space="preserve"> tussen het stakingsrecht en</w:t>
      </w:r>
      <w:r w:rsidR="00AD096B">
        <w:rPr>
          <w:sz w:val="24"/>
          <w:szCs w:val="24"/>
        </w:rPr>
        <w:t xml:space="preserve"> de</w:t>
      </w:r>
      <w:r w:rsidR="00252DDF" w:rsidRPr="00121A6A">
        <w:rPr>
          <w:sz w:val="24"/>
          <w:szCs w:val="24"/>
        </w:rPr>
        <w:t xml:space="preserve"> economische vrijheden.</w:t>
      </w:r>
      <w:r w:rsidR="00A37A43" w:rsidRPr="00121A6A">
        <w:rPr>
          <w:sz w:val="24"/>
          <w:szCs w:val="24"/>
        </w:rPr>
        <w:t xml:space="preserve"> Zoals Verheyen </w:t>
      </w:r>
      <w:r w:rsidR="003959E3">
        <w:rPr>
          <w:sz w:val="24"/>
          <w:szCs w:val="24"/>
        </w:rPr>
        <w:t>en</w:t>
      </w:r>
      <w:r w:rsidR="00A37A43" w:rsidRPr="00121A6A">
        <w:rPr>
          <w:sz w:val="24"/>
          <w:szCs w:val="24"/>
        </w:rPr>
        <w:t xml:space="preserve"> </w:t>
      </w:r>
      <w:proofErr w:type="spellStart"/>
      <w:r w:rsidR="00A37A43" w:rsidRPr="00121A6A">
        <w:rPr>
          <w:sz w:val="24"/>
          <w:szCs w:val="24"/>
        </w:rPr>
        <w:t>Pecinovsky</w:t>
      </w:r>
      <w:proofErr w:type="spellEnd"/>
      <w:r w:rsidR="00A37A43" w:rsidRPr="00121A6A">
        <w:rPr>
          <w:sz w:val="24"/>
          <w:szCs w:val="24"/>
        </w:rPr>
        <w:t xml:space="preserve"> terecht opmerken, moet men</w:t>
      </w:r>
      <w:r w:rsidR="00252DDF" w:rsidRPr="00121A6A">
        <w:rPr>
          <w:sz w:val="24"/>
          <w:szCs w:val="24"/>
        </w:rPr>
        <w:t xml:space="preserve"> niet vergeten dat </w:t>
      </w:r>
      <w:r w:rsidR="00D03FB9" w:rsidRPr="00121A6A">
        <w:rPr>
          <w:sz w:val="24"/>
          <w:szCs w:val="24"/>
        </w:rPr>
        <w:t xml:space="preserve">het consumentenrecht </w:t>
      </w:r>
      <w:r w:rsidR="006F1698" w:rsidRPr="00121A6A">
        <w:rPr>
          <w:sz w:val="24"/>
          <w:szCs w:val="24"/>
        </w:rPr>
        <w:t xml:space="preserve">van </w:t>
      </w:r>
      <w:r w:rsidR="009F5D8A" w:rsidRPr="00121A6A">
        <w:rPr>
          <w:sz w:val="24"/>
          <w:szCs w:val="24"/>
        </w:rPr>
        <w:t xml:space="preserve">artikel 38 Hv </w:t>
      </w:r>
      <w:r w:rsidR="00A078D2">
        <w:rPr>
          <w:sz w:val="24"/>
          <w:szCs w:val="24"/>
        </w:rPr>
        <w:t xml:space="preserve">in deze zaak </w:t>
      </w:r>
      <w:r w:rsidR="00D03FB9" w:rsidRPr="00121A6A">
        <w:rPr>
          <w:sz w:val="24"/>
          <w:szCs w:val="24"/>
        </w:rPr>
        <w:t xml:space="preserve">een belangrijke rol </w:t>
      </w:r>
      <w:r w:rsidR="00F614CE" w:rsidRPr="00121A6A">
        <w:rPr>
          <w:sz w:val="24"/>
          <w:szCs w:val="24"/>
        </w:rPr>
        <w:t>innam</w:t>
      </w:r>
      <w:r w:rsidR="00D03FB9" w:rsidRPr="00121A6A">
        <w:rPr>
          <w:sz w:val="24"/>
          <w:szCs w:val="24"/>
        </w:rPr>
        <w:t>.</w:t>
      </w:r>
      <w:r w:rsidR="00A37A43" w:rsidRPr="00121A6A">
        <w:rPr>
          <w:rStyle w:val="FootnoteReference"/>
          <w:sz w:val="24"/>
          <w:szCs w:val="24"/>
        </w:rPr>
        <w:footnoteReference w:id="96"/>
      </w:r>
      <w:r w:rsidR="00D03FB9" w:rsidRPr="00121A6A">
        <w:rPr>
          <w:sz w:val="24"/>
          <w:szCs w:val="24"/>
        </w:rPr>
        <w:t xml:space="preserve"> Binnen het Unierecht is veel aandacht voor consumentenbescherming</w:t>
      </w:r>
      <w:r w:rsidR="00F614CE" w:rsidRPr="00121A6A">
        <w:rPr>
          <w:sz w:val="24"/>
          <w:szCs w:val="24"/>
        </w:rPr>
        <w:t>, daar h</w:t>
      </w:r>
      <w:r w:rsidR="00D03FB9" w:rsidRPr="00121A6A">
        <w:rPr>
          <w:sz w:val="24"/>
          <w:szCs w:val="24"/>
        </w:rPr>
        <w:t xml:space="preserve">et wordt gezien als essentieel voor </w:t>
      </w:r>
      <w:r w:rsidR="009B5DEF" w:rsidRPr="00121A6A">
        <w:rPr>
          <w:sz w:val="24"/>
          <w:szCs w:val="24"/>
        </w:rPr>
        <w:t xml:space="preserve">een </w:t>
      </w:r>
      <w:r w:rsidR="00D03FB9" w:rsidRPr="00121A6A">
        <w:rPr>
          <w:sz w:val="24"/>
          <w:szCs w:val="24"/>
        </w:rPr>
        <w:t>effectieve werking van de interne markt.</w:t>
      </w:r>
      <w:r w:rsidR="00D03FB9" w:rsidRPr="00121A6A">
        <w:rPr>
          <w:rStyle w:val="FootnoteReference"/>
          <w:sz w:val="24"/>
          <w:szCs w:val="24"/>
        </w:rPr>
        <w:footnoteReference w:id="97"/>
      </w:r>
      <w:r w:rsidR="00D03FB9" w:rsidRPr="00121A6A">
        <w:rPr>
          <w:sz w:val="24"/>
          <w:szCs w:val="24"/>
        </w:rPr>
        <w:t xml:space="preserve"> </w:t>
      </w:r>
      <w:r w:rsidR="003D4329" w:rsidRPr="00121A6A">
        <w:rPr>
          <w:sz w:val="24"/>
          <w:szCs w:val="24"/>
        </w:rPr>
        <w:t>N</w:t>
      </w:r>
      <w:r w:rsidR="00FB3E8A" w:rsidRPr="00121A6A">
        <w:rPr>
          <w:sz w:val="24"/>
          <w:szCs w:val="24"/>
        </w:rPr>
        <w:t>u</w:t>
      </w:r>
      <w:r w:rsidR="00F614CE" w:rsidRPr="00121A6A">
        <w:rPr>
          <w:sz w:val="24"/>
          <w:szCs w:val="24"/>
        </w:rPr>
        <w:t xml:space="preserve"> artikel 16 Hv eveneens een economische</w:t>
      </w:r>
      <w:r w:rsidR="009F5D8A" w:rsidRPr="00121A6A">
        <w:rPr>
          <w:sz w:val="24"/>
          <w:szCs w:val="24"/>
        </w:rPr>
        <w:t>, op de interne markt gerichte</w:t>
      </w:r>
      <w:r w:rsidR="00F614CE" w:rsidRPr="00121A6A">
        <w:rPr>
          <w:sz w:val="24"/>
          <w:szCs w:val="24"/>
        </w:rPr>
        <w:t xml:space="preserve"> achtergrond heeft, </w:t>
      </w:r>
      <w:r w:rsidR="003D4329" w:rsidRPr="00121A6A">
        <w:rPr>
          <w:sz w:val="24"/>
          <w:szCs w:val="24"/>
        </w:rPr>
        <w:t xml:space="preserve">zou men kunnen betogen dat </w:t>
      </w:r>
      <w:r w:rsidR="006F1698" w:rsidRPr="00121A6A">
        <w:rPr>
          <w:sz w:val="24"/>
          <w:szCs w:val="24"/>
        </w:rPr>
        <w:t>het Hof</w:t>
      </w:r>
      <w:r w:rsidR="00F614CE" w:rsidRPr="00121A6A">
        <w:rPr>
          <w:sz w:val="24"/>
          <w:szCs w:val="24"/>
        </w:rPr>
        <w:t xml:space="preserve"> </w:t>
      </w:r>
      <w:r w:rsidR="006F1698" w:rsidRPr="00121A6A">
        <w:rPr>
          <w:sz w:val="24"/>
          <w:szCs w:val="24"/>
        </w:rPr>
        <w:t xml:space="preserve">aan beide rechten eenzelfde waarde heeft toegekend </w:t>
      </w:r>
      <w:r w:rsidR="001E7AC6" w:rsidRPr="00121A6A">
        <w:rPr>
          <w:sz w:val="24"/>
          <w:szCs w:val="24"/>
        </w:rPr>
        <w:t xml:space="preserve">bij de uitleg van Verordening </w:t>
      </w:r>
      <w:r w:rsidR="003D4329" w:rsidRPr="00121A6A">
        <w:rPr>
          <w:sz w:val="24"/>
          <w:szCs w:val="24"/>
        </w:rPr>
        <w:t>261/2004/EG</w:t>
      </w:r>
      <w:r w:rsidR="00863342" w:rsidRPr="00121A6A">
        <w:rPr>
          <w:sz w:val="24"/>
          <w:szCs w:val="24"/>
        </w:rPr>
        <w:t>. Natuurlijk is</w:t>
      </w:r>
      <w:r w:rsidR="00A078D2">
        <w:rPr>
          <w:sz w:val="24"/>
          <w:szCs w:val="24"/>
        </w:rPr>
        <w:t xml:space="preserve"> </w:t>
      </w:r>
      <w:r w:rsidR="00863342" w:rsidRPr="00121A6A">
        <w:rPr>
          <w:sz w:val="24"/>
          <w:szCs w:val="24"/>
        </w:rPr>
        <w:t xml:space="preserve">niet </w:t>
      </w:r>
      <w:r w:rsidR="00A078D2">
        <w:rPr>
          <w:sz w:val="24"/>
          <w:szCs w:val="24"/>
        </w:rPr>
        <w:t>ondenkbaar</w:t>
      </w:r>
      <w:r w:rsidR="00863342" w:rsidRPr="00121A6A">
        <w:rPr>
          <w:sz w:val="24"/>
          <w:szCs w:val="24"/>
        </w:rPr>
        <w:t xml:space="preserve"> dat het Hof</w:t>
      </w:r>
      <w:r w:rsidR="00045BE1">
        <w:rPr>
          <w:sz w:val="24"/>
          <w:szCs w:val="24"/>
        </w:rPr>
        <w:t xml:space="preserve"> het belang van</w:t>
      </w:r>
      <w:r w:rsidR="00863342" w:rsidRPr="00121A6A">
        <w:rPr>
          <w:sz w:val="24"/>
          <w:szCs w:val="24"/>
        </w:rPr>
        <w:t xml:space="preserve"> consumentenbescherming </w:t>
      </w:r>
      <w:r w:rsidR="006F1698" w:rsidRPr="00121A6A">
        <w:rPr>
          <w:sz w:val="24"/>
          <w:szCs w:val="24"/>
        </w:rPr>
        <w:t>zwaarw</w:t>
      </w:r>
      <w:r w:rsidR="005C3ED7">
        <w:rPr>
          <w:sz w:val="24"/>
          <w:szCs w:val="24"/>
        </w:rPr>
        <w:t>egender</w:t>
      </w:r>
      <w:r w:rsidR="00863342" w:rsidRPr="00121A6A">
        <w:rPr>
          <w:sz w:val="24"/>
          <w:szCs w:val="24"/>
        </w:rPr>
        <w:t xml:space="preserve"> </w:t>
      </w:r>
      <w:r w:rsidR="006F1698" w:rsidRPr="00121A6A">
        <w:rPr>
          <w:sz w:val="24"/>
          <w:szCs w:val="24"/>
        </w:rPr>
        <w:t>heeft geacht</w:t>
      </w:r>
      <w:r w:rsidR="00863342" w:rsidRPr="00121A6A">
        <w:rPr>
          <w:sz w:val="24"/>
          <w:szCs w:val="24"/>
        </w:rPr>
        <w:t xml:space="preserve">, gelet op het verschil in </w:t>
      </w:r>
      <w:r w:rsidR="00DF65E1" w:rsidRPr="00121A6A">
        <w:rPr>
          <w:sz w:val="24"/>
          <w:szCs w:val="24"/>
        </w:rPr>
        <w:t xml:space="preserve">machtspositie en </w:t>
      </w:r>
      <w:r w:rsidR="00863342" w:rsidRPr="00121A6A">
        <w:rPr>
          <w:sz w:val="24"/>
          <w:szCs w:val="24"/>
        </w:rPr>
        <w:t>economische</w:t>
      </w:r>
      <w:r w:rsidR="00DF65E1" w:rsidRPr="00121A6A">
        <w:rPr>
          <w:sz w:val="24"/>
          <w:szCs w:val="24"/>
        </w:rPr>
        <w:t xml:space="preserve"> draagkracht </w:t>
      </w:r>
      <w:r w:rsidR="00863342" w:rsidRPr="00121A6A">
        <w:rPr>
          <w:sz w:val="24"/>
          <w:szCs w:val="24"/>
        </w:rPr>
        <w:t xml:space="preserve">tussen </w:t>
      </w:r>
      <w:r w:rsidR="006F1698" w:rsidRPr="00121A6A">
        <w:rPr>
          <w:sz w:val="24"/>
          <w:szCs w:val="24"/>
        </w:rPr>
        <w:t>de</w:t>
      </w:r>
      <w:r w:rsidR="00963A9F" w:rsidRPr="00121A6A">
        <w:rPr>
          <w:sz w:val="24"/>
          <w:szCs w:val="24"/>
        </w:rPr>
        <w:t xml:space="preserve"> </w:t>
      </w:r>
      <w:r w:rsidR="00863342" w:rsidRPr="00121A6A">
        <w:rPr>
          <w:sz w:val="24"/>
          <w:szCs w:val="24"/>
        </w:rPr>
        <w:t>luchtvaartmaatschappij</w:t>
      </w:r>
      <w:r w:rsidR="00963A9F" w:rsidRPr="00121A6A">
        <w:rPr>
          <w:sz w:val="24"/>
          <w:szCs w:val="24"/>
        </w:rPr>
        <w:t xml:space="preserve"> </w:t>
      </w:r>
      <w:r w:rsidR="00863342" w:rsidRPr="00121A6A">
        <w:rPr>
          <w:sz w:val="24"/>
          <w:szCs w:val="24"/>
        </w:rPr>
        <w:t xml:space="preserve">en </w:t>
      </w:r>
      <w:r w:rsidR="00963A9F" w:rsidRPr="00121A6A">
        <w:rPr>
          <w:sz w:val="24"/>
          <w:szCs w:val="24"/>
        </w:rPr>
        <w:t xml:space="preserve">een </w:t>
      </w:r>
      <w:r w:rsidR="00864107" w:rsidRPr="00121A6A">
        <w:rPr>
          <w:sz w:val="24"/>
          <w:szCs w:val="24"/>
        </w:rPr>
        <w:t xml:space="preserve">individuele </w:t>
      </w:r>
      <w:r w:rsidR="00863342" w:rsidRPr="00121A6A">
        <w:rPr>
          <w:sz w:val="24"/>
          <w:szCs w:val="24"/>
        </w:rPr>
        <w:t>consument</w:t>
      </w:r>
      <w:r w:rsidR="00F614CE" w:rsidRPr="00121A6A">
        <w:rPr>
          <w:sz w:val="24"/>
          <w:szCs w:val="24"/>
        </w:rPr>
        <w:t>.</w:t>
      </w:r>
      <w:r w:rsidR="00863342" w:rsidRPr="00121A6A">
        <w:rPr>
          <w:sz w:val="24"/>
          <w:szCs w:val="24"/>
        </w:rPr>
        <w:t xml:space="preserve"> </w:t>
      </w:r>
      <w:r w:rsidR="00131748" w:rsidRPr="00121A6A">
        <w:rPr>
          <w:sz w:val="24"/>
          <w:szCs w:val="24"/>
        </w:rPr>
        <w:t>Daar staat</w:t>
      </w:r>
      <w:r w:rsidR="00CC47ED" w:rsidRPr="00121A6A">
        <w:rPr>
          <w:sz w:val="24"/>
          <w:szCs w:val="24"/>
        </w:rPr>
        <w:t xml:space="preserve"> evenwel</w:t>
      </w:r>
      <w:r w:rsidR="00131748" w:rsidRPr="00121A6A">
        <w:rPr>
          <w:sz w:val="24"/>
          <w:szCs w:val="24"/>
        </w:rPr>
        <w:t xml:space="preserve"> tegenover dat</w:t>
      </w:r>
      <w:r w:rsidR="00863342" w:rsidRPr="00121A6A">
        <w:rPr>
          <w:sz w:val="24"/>
          <w:szCs w:val="24"/>
        </w:rPr>
        <w:t xml:space="preserve"> het financiële belang van </w:t>
      </w:r>
      <w:r w:rsidR="008919C3" w:rsidRPr="00121A6A">
        <w:rPr>
          <w:sz w:val="24"/>
          <w:szCs w:val="24"/>
        </w:rPr>
        <w:t xml:space="preserve">een </w:t>
      </w:r>
      <w:r w:rsidR="00863342" w:rsidRPr="00121A6A">
        <w:rPr>
          <w:sz w:val="24"/>
          <w:szCs w:val="24"/>
        </w:rPr>
        <w:t>individuele consument</w:t>
      </w:r>
      <w:r w:rsidR="008919C3" w:rsidRPr="00121A6A">
        <w:rPr>
          <w:sz w:val="24"/>
          <w:szCs w:val="24"/>
        </w:rPr>
        <w:t xml:space="preserve"> </w:t>
      </w:r>
      <w:r w:rsidR="00DF65E1" w:rsidRPr="00121A6A">
        <w:rPr>
          <w:sz w:val="24"/>
          <w:szCs w:val="24"/>
        </w:rPr>
        <w:t xml:space="preserve">in absolute zin een stuk kleiner </w:t>
      </w:r>
      <w:r w:rsidR="00131748" w:rsidRPr="00121A6A">
        <w:rPr>
          <w:sz w:val="24"/>
          <w:szCs w:val="24"/>
        </w:rPr>
        <w:t>is</w:t>
      </w:r>
      <w:r w:rsidR="00CC47ED" w:rsidRPr="00121A6A">
        <w:rPr>
          <w:sz w:val="24"/>
          <w:szCs w:val="24"/>
        </w:rPr>
        <w:t xml:space="preserve">, </w:t>
      </w:r>
      <w:r w:rsidR="006F1698" w:rsidRPr="00121A6A">
        <w:rPr>
          <w:sz w:val="24"/>
          <w:szCs w:val="24"/>
        </w:rPr>
        <w:t xml:space="preserve">aangezien de luchtvaartmaatschappij </w:t>
      </w:r>
      <w:r w:rsidR="00DF65E1" w:rsidRPr="00121A6A">
        <w:rPr>
          <w:sz w:val="24"/>
          <w:szCs w:val="24"/>
        </w:rPr>
        <w:t>geheel</w:t>
      </w:r>
      <w:r w:rsidR="00863342" w:rsidRPr="00121A6A">
        <w:rPr>
          <w:sz w:val="24"/>
          <w:szCs w:val="24"/>
        </w:rPr>
        <w:t xml:space="preserve"> zelfstandig het volledige bedrag aan compensatieclaims </w:t>
      </w:r>
      <w:r w:rsidR="00F82350">
        <w:rPr>
          <w:sz w:val="24"/>
          <w:szCs w:val="24"/>
        </w:rPr>
        <w:t>zou moeten</w:t>
      </w:r>
      <w:r w:rsidR="00C3264B" w:rsidRPr="00121A6A">
        <w:rPr>
          <w:sz w:val="24"/>
          <w:szCs w:val="24"/>
        </w:rPr>
        <w:t xml:space="preserve"> </w:t>
      </w:r>
      <w:r w:rsidR="00863342" w:rsidRPr="00121A6A">
        <w:rPr>
          <w:sz w:val="24"/>
          <w:szCs w:val="24"/>
        </w:rPr>
        <w:t>dragen.</w:t>
      </w:r>
      <w:r w:rsidR="00F614CE" w:rsidRPr="00121A6A">
        <w:rPr>
          <w:sz w:val="24"/>
          <w:szCs w:val="24"/>
        </w:rPr>
        <w:t xml:space="preserve"> </w:t>
      </w:r>
      <w:r w:rsidR="00863342" w:rsidRPr="00121A6A">
        <w:rPr>
          <w:sz w:val="24"/>
          <w:szCs w:val="24"/>
        </w:rPr>
        <w:t xml:space="preserve">Al met al </w:t>
      </w:r>
      <w:r w:rsidR="003D52DA" w:rsidRPr="00121A6A">
        <w:rPr>
          <w:sz w:val="24"/>
          <w:szCs w:val="24"/>
        </w:rPr>
        <w:t xml:space="preserve">is daarom verdedigbaar dat </w:t>
      </w:r>
      <w:r w:rsidR="00F042FD" w:rsidRPr="00121A6A">
        <w:rPr>
          <w:sz w:val="24"/>
          <w:szCs w:val="24"/>
        </w:rPr>
        <w:t xml:space="preserve">het </w:t>
      </w:r>
      <w:r w:rsidR="00611252" w:rsidRPr="00121A6A">
        <w:rPr>
          <w:sz w:val="24"/>
          <w:szCs w:val="24"/>
        </w:rPr>
        <w:t>consumentenbelang</w:t>
      </w:r>
      <w:r w:rsidR="00C3264B" w:rsidRPr="00121A6A">
        <w:rPr>
          <w:sz w:val="24"/>
          <w:szCs w:val="24"/>
        </w:rPr>
        <w:t xml:space="preserve"> en</w:t>
      </w:r>
      <w:r w:rsidR="00611252" w:rsidRPr="00121A6A">
        <w:rPr>
          <w:sz w:val="24"/>
          <w:szCs w:val="24"/>
        </w:rPr>
        <w:t xml:space="preserve"> het </w:t>
      </w:r>
      <w:r w:rsidR="00A078D2">
        <w:rPr>
          <w:sz w:val="24"/>
          <w:szCs w:val="24"/>
        </w:rPr>
        <w:t xml:space="preserve">economisch </w:t>
      </w:r>
      <w:r w:rsidR="00611252" w:rsidRPr="00121A6A">
        <w:rPr>
          <w:sz w:val="24"/>
          <w:szCs w:val="24"/>
        </w:rPr>
        <w:t>belang van</w:t>
      </w:r>
      <w:r w:rsidR="00C3264B" w:rsidRPr="00121A6A">
        <w:rPr>
          <w:sz w:val="24"/>
          <w:szCs w:val="24"/>
        </w:rPr>
        <w:t xml:space="preserve"> </w:t>
      </w:r>
      <w:r w:rsidR="004E4C68" w:rsidRPr="00121A6A">
        <w:rPr>
          <w:sz w:val="24"/>
          <w:szCs w:val="24"/>
        </w:rPr>
        <w:t>de</w:t>
      </w:r>
      <w:r w:rsidR="00F042FD" w:rsidRPr="00121A6A">
        <w:rPr>
          <w:sz w:val="24"/>
          <w:szCs w:val="24"/>
        </w:rPr>
        <w:t xml:space="preserve"> luchtvaartmaatschappij </w:t>
      </w:r>
      <w:r w:rsidR="00DF65E1" w:rsidRPr="00121A6A">
        <w:rPr>
          <w:sz w:val="24"/>
          <w:szCs w:val="24"/>
        </w:rPr>
        <w:t>even</w:t>
      </w:r>
      <w:r w:rsidR="00A078D2">
        <w:rPr>
          <w:sz w:val="24"/>
          <w:szCs w:val="24"/>
        </w:rPr>
        <w:t>veel gewicht in de schaal hebben gelegd bij</w:t>
      </w:r>
      <w:r w:rsidR="003D4329" w:rsidRPr="00121A6A">
        <w:rPr>
          <w:sz w:val="24"/>
          <w:szCs w:val="24"/>
        </w:rPr>
        <w:t xml:space="preserve"> de interpretatie van Verordening 261/2004/EG</w:t>
      </w:r>
      <w:r w:rsidR="00DF65E1" w:rsidRPr="00121A6A">
        <w:rPr>
          <w:sz w:val="24"/>
          <w:szCs w:val="24"/>
        </w:rPr>
        <w:t>.</w:t>
      </w:r>
      <w:r w:rsidR="009170AA" w:rsidRPr="00121A6A">
        <w:rPr>
          <w:sz w:val="24"/>
          <w:szCs w:val="24"/>
        </w:rPr>
        <w:t xml:space="preserve"> </w:t>
      </w:r>
    </w:p>
    <w:p w14:paraId="688FEA25" w14:textId="27A0DA14" w:rsidR="00FB3E8A" w:rsidRPr="00121A6A" w:rsidRDefault="009F5D8A" w:rsidP="006075C3">
      <w:pPr>
        <w:spacing w:after="0"/>
        <w:ind w:firstLine="708"/>
        <w:jc w:val="both"/>
        <w:rPr>
          <w:sz w:val="24"/>
          <w:szCs w:val="24"/>
        </w:rPr>
      </w:pPr>
      <w:r w:rsidRPr="00121A6A">
        <w:rPr>
          <w:sz w:val="24"/>
          <w:szCs w:val="24"/>
        </w:rPr>
        <w:t>Dit betekent echter niet dat het collectieve actie</w:t>
      </w:r>
      <w:r w:rsidR="00611252" w:rsidRPr="00121A6A">
        <w:rPr>
          <w:sz w:val="24"/>
          <w:szCs w:val="24"/>
        </w:rPr>
        <w:t>recht</w:t>
      </w:r>
      <w:r w:rsidRPr="00121A6A">
        <w:rPr>
          <w:sz w:val="24"/>
          <w:szCs w:val="24"/>
        </w:rPr>
        <w:t xml:space="preserve"> </w:t>
      </w:r>
      <w:r w:rsidR="006B4898" w:rsidRPr="00121A6A">
        <w:rPr>
          <w:sz w:val="24"/>
          <w:szCs w:val="24"/>
        </w:rPr>
        <w:t xml:space="preserve">eenvoudigweg </w:t>
      </w:r>
      <w:r w:rsidR="00303C89" w:rsidRPr="00121A6A">
        <w:rPr>
          <w:sz w:val="24"/>
          <w:szCs w:val="24"/>
        </w:rPr>
        <w:t xml:space="preserve">met </w:t>
      </w:r>
      <w:r w:rsidR="00AC7925" w:rsidRPr="00121A6A">
        <w:rPr>
          <w:sz w:val="24"/>
          <w:szCs w:val="24"/>
        </w:rPr>
        <w:t>twee tegen één</w:t>
      </w:r>
      <w:r w:rsidR="00F614CE" w:rsidRPr="00121A6A">
        <w:rPr>
          <w:sz w:val="24"/>
          <w:szCs w:val="24"/>
        </w:rPr>
        <w:t xml:space="preserve"> de doorslag gaf.</w:t>
      </w:r>
      <w:r w:rsidR="00C544E6" w:rsidRPr="00121A6A">
        <w:rPr>
          <w:sz w:val="24"/>
          <w:szCs w:val="24"/>
        </w:rPr>
        <w:t xml:space="preserve"> </w:t>
      </w:r>
      <w:r w:rsidR="00C97020" w:rsidRPr="00121A6A">
        <w:rPr>
          <w:sz w:val="24"/>
          <w:szCs w:val="24"/>
        </w:rPr>
        <w:t>A</w:t>
      </w:r>
      <w:r w:rsidRPr="00121A6A">
        <w:rPr>
          <w:sz w:val="24"/>
          <w:szCs w:val="24"/>
        </w:rPr>
        <w:t xml:space="preserve">rtikel 28 Hv </w:t>
      </w:r>
      <w:r w:rsidR="00283728" w:rsidRPr="00121A6A">
        <w:rPr>
          <w:sz w:val="24"/>
          <w:szCs w:val="24"/>
        </w:rPr>
        <w:t>omvat</w:t>
      </w:r>
      <w:r w:rsidR="00C97020" w:rsidRPr="00121A6A">
        <w:rPr>
          <w:sz w:val="24"/>
          <w:szCs w:val="24"/>
        </w:rPr>
        <w:t xml:space="preserve"> immers</w:t>
      </w:r>
      <w:r w:rsidRPr="00121A6A">
        <w:rPr>
          <w:sz w:val="24"/>
          <w:szCs w:val="24"/>
        </w:rPr>
        <w:t xml:space="preserve"> </w:t>
      </w:r>
      <w:r w:rsidR="006B4898" w:rsidRPr="00121A6A">
        <w:rPr>
          <w:sz w:val="24"/>
          <w:szCs w:val="24"/>
        </w:rPr>
        <w:t>net zo goed</w:t>
      </w:r>
      <w:r w:rsidRPr="00121A6A">
        <w:rPr>
          <w:sz w:val="24"/>
          <w:szCs w:val="24"/>
        </w:rPr>
        <w:t xml:space="preserve"> </w:t>
      </w:r>
      <w:r w:rsidR="00611252" w:rsidRPr="00121A6A">
        <w:rPr>
          <w:sz w:val="24"/>
          <w:szCs w:val="24"/>
        </w:rPr>
        <w:t>de</w:t>
      </w:r>
      <w:r w:rsidRPr="00121A6A">
        <w:rPr>
          <w:sz w:val="24"/>
          <w:szCs w:val="24"/>
        </w:rPr>
        <w:t xml:space="preserve"> collectieve onderhandelingsvrijheid </w:t>
      </w:r>
      <w:r w:rsidR="00283728" w:rsidRPr="00121A6A">
        <w:rPr>
          <w:sz w:val="24"/>
          <w:szCs w:val="24"/>
        </w:rPr>
        <w:t xml:space="preserve">van </w:t>
      </w:r>
      <w:r w:rsidR="00D422B3" w:rsidRPr="00121A6A">
        <w:rPr>
          <w:sz w:val="24"/>
          <w:szCs w:val="24"/>
        </w:rPr>
        <w:t xml:space="preserve">de </w:t>
      </w:r>
      <w:r w:rsidR="00283728" w:rsidRPr="00121A6A">
        <w:rPr>
          <w:sz w:val="24"/>
          <w:szCs w:val="24"/>
        </w:rPr>
        <w:t>werkgever</w:t>
      </w:r>
      <w:r w:rsidRPr="00121A6A">
        <w:rPr>
          <w:sz w:val="24"/>
          <w:szCs w:val="24"/>
        </w:rPr>
        <w:t>,</w:t>
      </w:r>
      <w:r w:rsidR="006B4898" w:rsidRPr="00121A6A">
        <w:rPr>
          <w:sz w:val="24"/>
          <w:szCs w:val="24"/>
        </w:rPr>
        <w:t xml:space="preserve"> </w:t>
      </w:r>
      <w:r w:rsidR="00283728" w:rsidRPr="00121A6A">
        <w:rPr>
          <w:sz w:val="24"/>
          <w:szCs w:val="24"/>
        </w:rPr>
        <w:t>d</w:t>
      </w:r>
      <w:r w:rsidR="003D4329" w:rsidRPr="00121A6A">
        <w:rPr>
          <w:sz w:val="24"/>
          <w:szCs w:val="24"/>
        </w:rPr>
        <w:t>ie</w:t>
      </w:r>
      <w:r w:rsidR="006B4898" w:rsidRPr="00121A6A">
        <w:rPr>
          <w:sz w:val="24"/>
          <w:szCs w:val="24"/>
        </w:rPr>
        <w:t xml:space="preserve"> door </w:t>
      </w:r>
      <w:r w:rsidR="008B7084">
        <w:rPr>
          <w:sz w:val="24"/>
          <w:szCs w:val="24"/>
        </w:rPr>
        <w:t>het oordeel dat</w:t>
      </w:r>
      <w:r w:rsidR="006B4898" w:rsidRPr="00121A6A">
        <w:rPr>
          <w:sz w:val="24"/>
          <w:szCs w:val="24"/>
        </w:rPr>
        <w:t xml:space="preserve"> een staking </w:t>
      </w:r>
      <w:r w:rsidR="008B7084">
        <w:rPr>
          <w:sz w:val="24"/>
          <w:szCs w:val="24"/>
        </w:rPr>
        <w:t>niet kan worden aangemerkt als</w:t>
      </w:r>
      <w:r w:rsidR="006B4898" w:rsidRPr="00121A6A">
        <w:rPr>
          <w:sz w:val="24"/>
          <w:szCs w:val="24"/>
        </w:rPr>
        <w:t xml:space="preserve"> ‘buitengewone omstandigheid’ in </w:t>
      </w:r>
      <w:r w:rsidR="008B7084">
        <w:rPr>
          <w:sz w:val="24"/>
          <w:szCs w:val="24"/>
        </w:rPr>
        <w:t xml:space="preserve">het </w:t>
      </w:r>
      <w:r w:rsidR="006B4898" w:rsidRPr="00121A6A">
        <w:rPr>
          <w:sz w:val="24"/>
          <w:szCs w:val="24"/>
        </w:rPr>
        <w:t>gedrang komt.</w:t>
      </w:r>
      <w:r w:rsidRPr="00121A6A">
        <w:rPr>
          <w:sz w:val="24"/>
          <w:szCs w:val="24"/>
        </w:rPr>
        <w:t xml:space="preserve"> </w:t>
      </w:r>
      <w:r w:rsidR="006B4898" w:rsidRPr="00121A6A">
        <w:rPr>
          <w:sz w:val="24"/>
          <w:szCs w:val="24"/>
        </w:rPr>
        <w:t xml:space="preserve">Bovendien kon de luchtvaartmaatschappij zich </w:t>
      </w:r>
      <w:r w:rsidR="00603227" w:rsidRPr="00121A6A">
        <w:rPr>
          <w:sz w:val="24"/>
          <w:szCs w:val="24"/>
        </w:rPr>
        <w:t>óó</w:t>
      </w:r>
      <w:r w:rsidR="006B4898" w:rsidRPr="00121A6A">
        <w:rPr>
          <w:sz w:val="24"/>
          <w:szCs w:val="24"/>
        </w:rPr>
        <w:t xml:space="preserve">k beroepen op artikel 17 Hv, </w:t>
      </w:r>
      <w:r w:rsidR="00473FB9">
        <w:rPr>
          <w:sz w:val="24"/>
          <w:szCs w:val="24"/>
        </w:rPr>
        <w:t>waarin</w:t>
      </w:r>
      <w:r w:rsidR="006B4898" w:rsidRPr="00121A6A">
        <w:rPr>
          <w:sz w:val="24"/>
          <w:szCs w:val="24"/>
        </w:rPr>
        <w:t xml:space="preserve"> het fundamentele eigendomsrecht </w:t>
      </w:r>
      <w:r w:rsidR="00473FB9">
        <w:rPr>
          <w:sz w:val="24"/>
          <w:szCs w:val="24"/>
        </w:rPr>
        <w:t xml:space="preserve">is </w:t>
      </w:r>
      <w:r w:rsidR="006B4898" w:rsidRPr="00121A6A">
        <w:rPr>
          <w:sz w:val="24"/>
          <w:szCs w:val="24"/>
        </w:rPr>
        <w:t>veranker</w:t>
      </w:r>
      <w:r w:rsidR="00473FB9">
        <w:rPr>
          <w:sz w:val="24"/>
          <w:szCs w:val="24"/>
        </w:rPr>
        <w:t>d</w:t>
      </w:r>
      <w:r w:rsidR="006B4898" w:rsidRPr="00121A6A">
        <w:rPr>
          <w:sz w:val="24"/>
          <w:szCs w:val="24"/>
        </w:rPr>
        <w:t xml:space="preserve">. </w:t>
      </w:r>
      <w:r w:rsidR="00E8462C" w:rsidRPr="00121A6A">
        <w:rPr>
          <w:sz w:val="24"/>
          <w:szCs w:val="24"/>
        </w:rPr>
        <w:t>H</w:t>
      </w:r>
      <w:r w:rsidR="002440BE" w:rsidRPr="00121A6A">
        <w:rPr>
          <w:sz w:val="24"/>
          <w:szCs w:val="24"/>
        </w:rPr>
        <w:t>et feit dat</w:t>
      </w:r>
      <w:r w:rsidR="00AC7925" w:rsidRPr="00121A6A">
        <w:rPr>
          <w:sz w:val="24"/>
          <w:szCs w:val="24"/>
        </w:rPr>
        <w:t xml:space="preserve"> de </w:t>
      </w:r>
      <w:r w:rsidR="00AC7925" w:rsidRPr="00121A6A">
        <w:rPr>
          <w:sz w:val="24"/>
          <w:szCs w:val="24"/>
        </w:rPr>
        <w:lastRenderedPageBreak/>
        <w:t>luchtvaartmaatschappij desondanks aan het kort</w:t>
      </w:r>
      <w:r w:rsidR="002440BE" w:rsidRPr="00121A6A">
        <w:rPr>
          <w:sz w:val="24"/>
          <w:szCs w:val="24"/>
        </w:rPr>
        <w:t>st</w:t>
      </w:r>
      <w:r w:rsidR="00AC7925" w:rsidRPr="00121A6A">
        <w:rPr>
          <w:sz w:val="24"/>
          <w:szCs w:val="24"/>
        </w:rPr>
        <w:t>e eind</w:t>
      </w:r>
      <w:r w:rsidR="00E8462C" w:rsidRPr="00121A6A">
        <w:rPr>
          <w:sz w:val="24"/>
          <w:szCs w:val="24"/>
        </w:rPr>
        <w:t>e</w:t>
      </w:r>
      <w:r w:rsidR="00AC7925" w:rsidRPr="00121A6A">
        <w:rPr>
          <w:sz w:val="24"/>
          <w:szCs w:val="24"/>
        </w:rPr>
        <w:t xml:space="preserve"> trok</w:t>
      </w:r>
      <w:r w:rsidR="00131748" w:rsidRPr="00121A6A">
        <w:rPr>
          <w:sz w:val="24"/>
          <w:szCs w:val="24"/>
        </w:rPr>
        <w:t>,</w:t>
      </w:r>
      <w:r w:rsidR="00AC7925" w:rsidRPr="00121A6A">
        <w:rPr>
          <w:sz w:val="24"/>
          <w:szCs w:val="24"/>
        </w:rPr>
        <w:t xml:space="preserve"> </w:t>
      </w:r>
      <w:r w:rsidR="00E8462C" w:rsidRPr="00121A6A">
        <w:rPr>
          <w:sz w:val="24"/>
          <w:szCs w:val="24"/>
        </w:rPr>
        <w:t xml:space="preserve">zou </w:t>
      </w:r>
      <w:r w:rsidR="00AC7925" w:rsidRPr="00121A6A">
        <w:rPr>
          <w:sz w:val="24"/>
          <w:szCs w:val="24"/>
        </w:rPr>
        <w:t>de toege</w:t>
      </w:r>
      <w:r w:rsidR="002440BE" w:rsidRPr="00121A6A">
        <w:rPr>
          <w:sz w:val="24"/>
          <w:szCs w:val="24"/>
        </w:rPr>
        <w:t>n</w:t>
      </w:r>
      <w:r w:rsidR="00AC7925" w:rsidRPr="00121A6A">
        <w:rPr>
          <w:sz w:val="24"/>
          <w:szCs w:val="24"/>
        </w:rPr>
        <w:t xml:space="preserve">omen kracht van het </w:t>
      </w:r>
      <w:r w:rsidR="006219BC" w:rsidRPr="00121A6A">
        <w:rPr>
          <w:sz w:val="24"/>
          <w:szCs w:val="24"/>
        </w:rPr>
        <w:t xml:space="preserve">Unierechtelijke </w:t>
      </w:r>
      <w:r w:rsidR="00AC7925" w:rsidRPr="00121A6A">
        <w:rPr>
          <w:sz w:val="24"/>
          <w:szCs w:val="24"/>
        </w:rPr>
        <w:t>stakingsrecht</w:t>
      </w:r>
      <w:r w:rsidR="00131748" w:rsidRPr="00121A6A">
        <w:rPr>
          <w:sz w:val="24"/>
          <w:szCs w:val="24"/>
        </w:rPr>
        <w:t xml:space="preserve"> </w:t>
      </w:r>
      <w:r w:rsidR="00E8462C" w:rsidRPr="00121A6A">
        <w:rPr>
          <w:sz w:val="24"/>
          <w:szCs w:val="24"/>
        </w:rPr>
        <w:t>kunnen tonen</w:t>
      </w:r>
      <w:r w:rsidR="00BB7E94" w:rsidRPr="00121A6A">
        <w:rPr>
          <w:sz w:val="24"/>
          <w:szCs w:val="24"/>
        </w:rPr>
        <w:t>.</w:t>
      </w:r>
      <w:r w:rsidR="00DC3EC1" w:rsidRPr="00121A6A">
        <w:rPr>
          <w:sz w:val="24"/>
          <w:szCs w:val="24"/>
        </w:rPr>
        <w:t xml:space="preserve"> </w:t>
      </w:r>
      <w:r w:rsidR="00080C12" w:rsidRPr="00121A6A">
        <w:rPr>
          <w:sz w:val="24"/>
          <w:szCs w:val="24"/>
        </w:rPr>
        <w:t xml:space="preserve">Toch lijkt </w:t>
      </w:r>
      <w:r w:rsidR="00E8462C" w:rsidRPr="00121A6A">
        <w:rPr>
          <w:sz w:val="24"/>
          <w:szCs w:val="24"/>
        </w:rPr>
        <w:t xml:space="preserve">mij </w:t>
      </w:r>
      <w:r w:rsidR="00080C12" w:rsidRPr="00121A6A">
        <w:rPr>
          <w:sz w:val="24"/>
          <w:szCs w:val="24"/>
        </w:rPr>
        <w:t>d</w:t>
      </w:r>
      <w:r w:rsidR="0042633D" w:rsidRPr="00121A6A">
        <w:rPr>
          <w:sz w:val="24"/>
          <w:szCs w:val="24"/>
        </w:rPr>
        <w:t>eze uitleg te optimistisch</w:t>
      </w:r>
      <w:r w:rsidR="00080C12" w:rsidRPr="00121A6A">
        <w:rPr>
          <w:sz w:val="24"/>
          <w:szCs w:val="24"/>
        </w:rPr>
        <w:t>, m</w:t>
      </w:r>
      <w:r w:rsidR="003D52DA" w:rsidRPr="00121A6A">
        <w:rPr>
          <w:sz w:val="24"/>
          <w:szCs w:val="24"/>
        </w:rPr>
        <w:t>et name omdat het Hof artikel 28 Hv niet betrok in de uiteindelijke afweging</w:t>
      </w:r>
      <w:r w:rsidR="00080C12" w:rsidRPr="00121A6A">
        <w:rPr>
          <w:sz w:val="24"/>
          <w:szCs w:val="24"/>
        </w:rPr>
        <w:t>.</w:t>
      </w:r>
      <w:r w:rsidR="003D52DA" w:rsidRPr="00121A6A">
        <w:rPr>
          <w:rStyle w:val="FootnoteReference"/>
          <w:sz w:val="24"/>
          <w:szCs w:val="24"/>
        </w:rPr>
        <w:footnoteReference w:id="98"/>
      </w:r>
      <w:r w:rsidR="003D52DA" w:rsidRPr="00121A6A">
        <w:rPr>
          <w:sz w:val="24"/>
          <w:szCs w:val="24"/>
        </w:rPr>
        <w:t xml:space="preserve"> </w:t>
      </w:r>
      <w:r w:rsidR="00080C12" w:rsidRPr="00121A6A">
        <w:rPr>
          <w:sz w:val="24"/>
          <w:szCs w:val="24"/>
        </w:rPr>
        <w:t>N</w:t>
      </w:r>
      <w:r w:rsidR="002C1159" w:rsidRPr="00121A6A">
        <w:rPr>
          <w:sz w:val="24"/>
          <w:szCs w:val="24"/>
        </w:rPr>
        <w:t xml:space="preserve">et als </w:t>
      </w:r>
      <w:proofErr w:type="spellStart"/>
      <w:r w:rsidR="002C1159" w:rsidRPr="00121A6A">
        <w:rPr>
          <w:sz w:val="24"/>
          <w:szCs w:val="24"/>
        </w:rPr>
        <w:t>Dorssemont</w:t>
      </w:r>
      <w:proofErr w:type="spellEnd"/>
      <w:r w:rsidR="002C1159" w:rsidRPr="00121A6A">
        <w:rPr>
          <w:sz w:val="24"/>
          <w:szCs w:val="24"/>
        </w:rPr>
        <w:t xml:space="preserve"> </w:t>
      </w:r>
      <w:r w:rsidR="00080C12" w:rsidRPr="00121A6A">
        <w:rPr>
          <w:sz w:val="24"/>
          <w:szCs w:val="24"/>
        </w:rPr>
        <w:t xml:space="preserve">denk ik daarom </w:t>
      </w:r>
      <w:r w:rsidR="0042633D" w:rsidRPr="00121A6A">
        <w:rPr>
          <w:sz w:val="24"/>
          <w:szCs w:val="24"/>
        </w:rPr>
        <w:t xml:space="preserve">dat </w:t>
      </w:r>
      <w:r w:rsidR="006A245C" w:rsidRPr="00121A6A">
        <w:rPr>
          <w:sz w:val="24"/>
          <w:szCs w:val="24"/>
        </w:rPr>
        <w:t>het arrest</w:t>
      </w:r>
      <w:r w:rsidR="0042633D" w:rsidRPr="00121A6A">
        <w:rPr>
          <w:sz w:val="24"/>
          <w:szCs w:val="24"/>
        </w:rPr>
        <w:t xml:space="preserve"> </w:t>
      </w:r>
      <w:r w:rsidR="00BA4877" w:rsidRPr="00121A6A">
        <w:rPr>
          <w:sz w:val="24"/>
          <w:szCs w:val="24"/>
        </w:rPr>
        <w:t>geenszins</w:t>
      </w:r>
      <w:r w:rsidR="00080C12" w:rsidRPr="00121A6A">
        <w:rPr>
          <w:sz w:val="24"/>
          <w:szCs w:val="24"/>
        </w:rPr>
        <w:t xml:space="preserve"> </w:t>
      </w:r>
      <w:r w:rsidR="00215E25" w:rsidRPr="00121A6A">
        <w:rPr>
          <w:sz w:val="24"/>
          <w:szCs w:val="24"/>
        </w:rPr>
        <w:t xml:space="preserve">betrekking heeft op </w:t>
      </w:r>
      <w:r w:rsidR="00080C12" w:rsidRPr="00121A6A">
        <w:rPr>
          <w:sz w:val="24"/>
          <w:szCs w:val="24"/>
        </w:rPr>
        <w:t>het</w:t>
      </w:r>
      <w:r w:rsidR="00BA4877" w:rsidRPr="00121A6A">
        <w:rPr>
          <w:sz w:val="24"/>
          <w:szCs w:val="24"/>
        </w:rPr>
        <w:t xml:space="preserve"> Unierechtelijke stakingsrecht</w:t>
      </w:r>
      <w:r w:rsidR="00080C12" w:rsidRPr="00121A6A">
        <w:rPr>
          <w:sz w:val="24"/>
          <w:szCs w:val="24"/>
        </w:rPr>
        <w:t xml:space="preserve"> als zodanig</w:t>
      </w:r>
      <w:r w:rsidR="00742769" w:rsidRPr="00121A6A">
        <w:rPr>
          <w:sz w:val="24"/>
          <w:szCs w:val="24"/>
        </w:rPr>
        <w:t xml:space="preserve"> en de vraag naar de (on)rechtmatigheid van de inzet van het stakingsmiddel</w:t>
      </w:r>
      <w:r w:rsidR="00D422B3" w:rsidRPr="00121A6A">
        <w:rPr>
          <w:sz w:val="24"/>
          <w:szCs w:val="24"/>
        </w:rPr>
        <w:t xml:space="preserve"> in het licht van het vrij verkeer</w:t>
      </w:r>
      <w:r w:rsidR="00BA4877" w:rsidRPr="00121A6A">
        <w:rPr>
          <w:sz w:val="24"/>
          <w:szCs w:val="24"/>
        </w:rPr>
        <w:t>.</w:t>
      </w:r>
      <w:r w:rsidR="00BA4877" w:rsidRPr="00121A6A">
        <w:rPr>
          <w:rStyle w:val="FootnoteReference"/>
          <w:sz w:val="24"/>
          <w:szCs w:val="24"/>
        </w:rPr>
        <w:footnoteReference w:id="99"/>
      </w:r>
      <w:r w:rsidR="00BA4877" w:rsidRPr="00121A6A">
        <w:rPr>
          <w:i/>
          <w:iCs/>
          <w:sz w:val="24"/>
          <w:szCs w:val="24"/>
        </w:rPr>
        <w:t xml:space="preserve"> </w:t>
      </w:r>
      <w:r w:rsidR="00E72EC4" w:rsidRPr="00121A6A">
        <w:rPr>
          <w:sz w:val="24"/>
          <w:szCs w:val="24"/>
        </w:rPr>
        <w:t>Wat</w:t>
      </w:r>
      <w:r w:rsidR="00E8462C" w:rsidRPr="00121A6A">
        <w:rPr>
          <w:sz w:val="24"/>
          <w:szCs w:val="24"/>
        </w:rPr>
        <w:t xml:space="preserve"> het</w:t>
      </w:r>
      <w:r w:rsidR="00E72EC4" w:rsidRPr="00121A6A">
        <w:rPr>
          <w:sz w:val="24"/>
          <w:szCs w:val="24"/>
        </w:rPr>
        <w:t xml:space="preserve"> </w:t>
      </w:r>
      <w:proofErr w:type="spellStart"/>
      <w:r w:rsidR="006A245C" w:rsidRPr="00121A6A">
        <w:rPr>
          <w:i/>
          <w:iCs/>
          <w:sz w:val="24"/>
          <w:szCs w:val="24"/>
        </w:rPr>
        <w:t>Airhelp</w:t>
      </w:r>
      <w:proofErr w:type="spellEnd"/>
      <w:r w:rsidR="00E8462C" w:rsidRPr="00121A6A">
        <w:rPr>
          <w:sz w:val="24"/>
          <w:szCs w:val="24"/>
        </w:rPr>
        <w:t>-arrest</w:t>
      </w:r>
      <w:r w:rsidR="006A245C" w:rsidRPr="00121A6A">
        <w:rPr>
          <w:i/>
          <w:iCs/>
          <w:sz w:val="24"/>
          <w:szCs w:val="24"/>
        </w:rPr>
        <w:t xml:space="preserve"> </w:t>
      </w:r>
      <w:r w:rsidR="00E72EC4" w:rsidRPr="00121A6A">
        <w:rPr>
          <w:sz w:val="24"/>
          <w:szCs w:val="24"/>
        </w:rPr>
        <w:t xml:space="preserve">daarentegen wél laat zien, is </w:t>
      </w:r>
      <w:r w:rsidR="00A65B8D" w:rsidRPr="00121A6A">
        <w:rPr>
          <w:sz w:val="24"/>
          <w:szCs w:val="24"/>
        </w:rPr>
        <w:t xml:space="preserve">dat </w:t>
      </w:r>
      <w:r w:rsidR="00157048" w:rsidRPr="00121A6A">
        <w:rPr>
          <w:sz w:val="24"/>
          <w:szCs w:val="24"/>
        </w:rPr>
        <w:t xml:space="preserve">het stakingsrecht van </w:t>
      </w:r>
      <w:r w:rsidR="00A65B8D" w:rsidRPr="00121A6A">
        <w:rPr>
          <w:sz w:val="24"/>
          <w:szCs w:val="24"/>
        </w:rPr>
        <w:t>artikel 28 Hv</w:t>
      </w:r>
      <w:r w:rsidR="00157048" w:rsidRPr="00121A6A">
        <w:rPr>
          <w:sz w:val="24"/>
          <w:szCs w:val="24"/>
        </w:rPr>
        <w:t xml:space="preserve"> </w:t>
      </w:r>
      <w:r w:rsidR="008B7084">
        <w:rPr>
          <w:sz w:val="24"/>
          <w:szCs w:val="24"/>
        </w:rPr>
        <w:t xml:space="preserve">ook </w:t>
      </w:r>
      <w:r w:rsidR="00157048" w:rsidRPr="00121A6A">
        <w:rPr>
          <w:sz w:val="24"/>
          <w:szCs w:val="24"/>
        </w:rPr>
        <w:t>bij</w:t>
      </w:r>
      <w:r w:rsidR="00D422B3" w:rsidRPr="00121A6A">
        <w:rPr>
          <w:sz w:val="24"/>
          <w:szCs w:val="24"/>
        </w:rPr>
        <w:t xml:space="preserve"> de</w:t>
      </w:r>
      <w:r w:rsidR="00157048" w:rsidRPr="00121A6A">
        <w:rPr>
          <w:sz w:val="24"/>
          <w:szCs w:val="24"/>
        </w:rPr>
        <w:t xml:space="preserve"> uitleg van secundair Unierecht</w:t>
      </w:r>
      <w:r w:rsidR="00583985" w:rsidRPr="00121A6A">
        <w:rPr>
          <w:sz w:val="24"/>
          <w:szCs w:val="24"/>
        </w:rPr>
        <w:t>, net als bij een conflict met marktvrijheden,</w:t>
      </w:r>
      <w:r w:rsidR="00157048" w:rsidRPr="00121A6A">
        <w:rPr>
          <w:sz w:val="24"/>
          <w:szCs w:val="24"/>
        </w:rPr>
        <w:t xml:space="preserve"> </w:t>
      </w:r>
      <w:r w:rsidR="00325B64" w:rsidRPr="00121A6A">
        <w:rPr>
          <w:sz w:val="24"/>
          <w:szCs w:val="24"/>
        </w:rPr>
        <w:t xml:space="preserve">slechts </w:t>
      </w:r>
      <w:r w:rsidR="00A65B8D" w:rsidRPr="00121A6A">
        <w:rPr>
          <w:sz w:val="24"/>
          <w:szCs w:val="24"/>
        </w:rPr>
        <w:t>een marginale rol vervult.</w:t>
      </w:r>
    </w:p>
    <w:p w14:paraId="3116DB86" w14:textId="77777777" w:rsidR="00E237A3" w:rsidRPr="00121A6A" w:rsidRDefault="00E237A3" w:rsidP="00653989">
      <w:pPr>
        <w:spacing w:after="0"/>
        <w:jc w:val="both"/>
        <w:rPr>
          <w:sz w:val="24"/>
          <w:szCs w:val="24"/>
        </w:rPr>
      </w:pPr>
    </w:p>
    <w:p w14:paraId="6BDC999E" w14:textId="77777777" w:rsidR="00F5730B" w:rsidRPr="00121A6A" w:rsidRDefault="00F5730B" w:rsidP="00F5730B">
      <w:pPr>
        <w:pStyle w:val="Heading2"/>
        <w:rPr>
          <w:b w:val="0"/>
          <w:bCs w:val="0"/>
          <w:sz w:val="24"/>
          <w:szCs w:val="24"/>
        </w:rPr>
      </w:pPr>
      <w:bookmarkStart w:id="40" w:name="_Toc169963057"/>
      <w:r w:rsidRPr="00121A6A">
        <w:rPr>
          <w:sz w:val="24"/>
          <w:szCs w:val="24"/>
        </w:rPr>
        <w:t>2.5 Afronding</w:t>
      </w:r>
      <w:bookmarkEnd w:id="40"/>
    </w:p>
    <w:p w14:paraId="2D8F10C9" w14:textId="60AC3BE8" w:rsidR="001A305B" w:rsidRPr="00121A6A" w:rsidRDefault="00F5730B" w:rsidP="0021170E">
      <w:pPr>
        <w:spacing w:after="0"/>
        <w:jc w:val="both"/>
        <w:rPr>
          <w:sz w:val="24"/>
          <w:szCs w:val="24"/>
        </w:rPr>
      </w:pPr>
      <w:bookmarkStart w:id="41" w:name="_Hlk160100784"/>
      <w:r w:rsidRPr="00121A6A">
        <w:rPr>
          <w:sz w:val="24"/>
          <w:szCs w:val="24"/>
        </w:rPr>
        <w:t xml:space="preserve">Vanwege de vele kritiek die vanuit verschillende hoeken is geuit op </w:t>
      </w:r>
      <w:r w:rsidRPr="00121A6A">
        <w:rPr>
          <w:i/>
          <w:iCs/>
          <w:sz w:val="24"/>
          <w:szCs w:val="24"/>
        </w:rPr>
        <w:t>Viking</w:t>
      </w:r>
      <w:r w:rsidRPr="00121A6A">
        <w:rPr>
          <w:sz w:val="24"/>
          <w:szCs w:val="24"/>
        </w:rPr>
        <w:t xml:space="preserve"> en </w:t>
      </w:r>
      <w:r w:rsidRPr="00121A6A">
        <w:rPr>
          <w:i/>
          <w:iCs/>
          <w:sz w:val="24"/>
          <w:szCs w:val="24"/>
        </w:rPr>
        <w:t>Laval</w:t>
      </w:r>
      <w:r w:rsidRPr="00121A6A">
        <w:rPr>
          <w:sz w:val="24"/>
          <w:szCs w:val="24"/>
        </w:rPr>
        <w:t xml:space="preserve">, diverse wetgevingshervormingen die sindsdien zijn doorgevoerd en rechtspraak waarin meer beoordelingsvrijheid lijkt te bestaan voor lidstaten, bestaat een kans dat het Hof anno 2024 het stakingsrecht enigszins anders zou afwegen tegenover </w:t>
      </w:r>
      <w:r w:rsidR="001E14C0">
        <w:rPr>
          <w:sz w:val="24"/>
          <w:szCs w:val="24"/>
        </w:rPr>
        <w:t xml:space="preserve">de </w:t>
      </w:r>
      <w:r w:rsidRPr="00121A6A">
        <w:rPr>
          <w:sz w:val="24"/>
          <w:szCs w:val="24"/>
        </w:rPr>
        <w:t xml:space="preserve">marktvrijheden. Meer specifiek is niet ondenkbaar dat het toetsingskader uit </w:t>
      </w:r>
      <w:r w:rsidRPr="00121A6A">
        <w:rPr>
          <w:i/>
          <w:iCs/>
          <w:sz w:val="24"/>
          <w:szCs w:val="24"/>
        </w:rPr>
        <w:t>Viking</w:t>
      </w:r>
      <w:r w:rsidRPr="00121A6A">
        <w:rPr>
          <w:sz w:val="24"/>
          <w:szCs w:val="24"/>
        </w:rPr>
        <w:t xml:space="preserve"> een barstje heeft opgelopen,</w:t>
      </w:r>
      <w:r w:rsidRPr="00121A6A">
        <w:rPr>
          <w:rStyle w:val="FootnoteReference"/>
          <w:sz w:val="24"/>
          <w:szCs w:val="24"/>
        </w:rPr>
        <w:footnoteReference w:id="100"/>
      </w:r>
      <w:r w:rsidRPr="00121A6A">
        <w:rPr>
          <w:sz w:val="24"/>
          <w:szCs w:val="24"/>
        </w:rPr>
        <w:t xml:space="preserve"> in die zin dat </w:t>
      </w:r>
      <w:r w:rsidR="00DE0826" w:rsidRPr="00121A6A">
        <w:rPr>
          <w:sz w:val="24"/>
          <w:szCs w:val="24"/>
        </w:rPr>
        <w:t>lidstaten</w:t>
      </w:r>
      <w:r w:rsidR="003570E8">
        <w:rPr>
          <w:sz w:val="24"/>
          <w:szCs w:val="24"/>
        </w:rPr>
        <w:t xml:space="preserve"> </w:t>
      </w:r>
      <w:r w:rsidR="008D1CDD">
        <w:rPr>
          <w:sz w:val="24"/>
          <w:szCs w:val="24"/>
        </w:rPr>
        <w:t xml:space="preserve">thans </w:t>
      </w:r>
      <w:r w:rsidR="00D10386" w:rsidRPr="00121A6A">
        <w:rPr>
          <w:sz w:val="24"/>
          <w:szCs w:val="24"/>
        </w:rPr>
        <w:t xml:space="preserve">de </w:t>
      </w:r>
      <w:r w:rsidR="00291D86" w:rsidRPr="00121A6A">
        <w:rPr>
          <w:sz w:val="24"/>
          <w:szCs w:val="24"/>
        </w:rPr>
        <w:t>ruimte krijgen om</w:t>
      </w:r>
      <w:r w:rsidR="008D1CDD">
        <w:rPr>
          <w:sz w:val="24"/>
          <w:szCs w:val="24"/>
        </w:rPr>
        <w:t xml:space="preserve"> </w:t>
      </w:r>
      <w:r w:rsidR="008D1CDD" w:rsidRPr="00121A6A">
        <w:rPr>
          <w:sz w:val="24"/>
          <w:szCs w:val="24"/>
        </w:rPr>
        <w:t>onder omstandigheden</w:t>
      </w:r>
      <w:r w:rsidR="00291D86" w:rsidRPr="00121A6A">
        <w:rPr>
          <w:sz w:val="24"/>
          <w:szCs w:val="24"/>
        </w:rPr>
        <w:t xml:space="preserve"> te oordelen dat, ondanks dat minder vergaande alternatieven nog optioneel </w:t>
      </w:r>
      <w:r w:rsidR="00D426F1" w:rsidRPr="00121A6A">
        <w:rPr>
          <w:sz w:val="24"/>
          <w:szCs w:val="24"/>
        </w:rPr>
        <w:t>waren</w:t>
      </w:r>
      <w:r w:rsidR="00291D86" w:rsidRPr="00121A6A">
        <w:rPr>
          <w:sz w:val="24"/>
          <w:szCs w:val="24"/>
        </w:rPr>
        <w:t xml:space="preserve">, een staking niettemin gerechtvaardigd </w:t>
      </w:r>
      <w:r w:rsidR="004B12B9" w:rsidRPr="00121A6A">
        <w:rPr>
          <w:sz w:val="24"/>
          <w:szCs w:val="24"/>
        </w:rPr>
        <w:t>is</w:t>
      </w:r>
      <w:r w:rsidR="00291D86" w:rsidRPr="00121A6A">
        <w:rPr>
          <w:sz w:val="24"/>
          <w:szCs w:val="24"/>
        </w:rPr>
        <w:t>.</w:t>
      </w:r>
      <w:r w:rsidR="00CD425C" w:rsidRPr="00121A6A">
        <w:rPr>
          <w:sz w:val="24"/>
          <w:szCs w:val="24"/>
        </w:rPr>
        <w:t xml:space="preserve"> </w:t>
      </w:r>
      <w:r w:rsidR="00B168A4" w:rsidRPr="00121A6A">
        <w:rPr>
          <w:sz w:val="24"/>
          <w:szCs w:val="24"/>
        </w:rPr>
        <w:t xml:space="preserve">Het risico </w:t>
      </w:r>
      <w:r w:rsidR="002B0CC9" w:rsidRPr="00121A6A">
        <w:rPr>
          <w:sz w:val="24"/>
          <w:szCs w:val="24"/>
        </w:rPr>
        <w:t xml:space="preserve">dat </w:t>
      </w:r>
      <w:r w:rsidR="00031BC8" w:rsidRPr="00121A6A">
        <w:rPr>
          <w:sz w:val="24"/>
          <w:szCs w:val="24"/>
        </w:rPr>
        <w:t xml:space="preserve">deze nationale discretionaire </w:t>
      </w:r>
      <w:r w:rsidR="00403CDB" w:rsidRPr="00121A6A">
        <w:rPr>
          <w:sz w:val="24"/>
          <w:szCs w:val="24"/>
        </w:rPr>
        <w:t xml:space="preserve">ruimte </w:t>
      </w:r>
      <w:r w:rsidR="00031BC8" w:rsidRPr="00121A6A">
        <w:rPr>
          <w:sz w:val="24"/>
          <w:szCs w:val="24"/>
        </w:rPr>
        <w:t xml:space="preserve">ertoe leidt dat </w:t>
      </w:r>
      <w:r w:rsidR="00FD03B2">
        <w:rPr>
          <w:sz w:val="24"/>
          <w:szCs w:val="24"/>
        </w:rPr>
        <w:t xml:space="preserve">de </w:t>
      </w:r>
      <w:r w:rsidR="00031BC8" w:rsidRPr="00121A6A">
        <w:rPr>
          <w:sz w:val="24"/>
          <w:szCs w:val="24"/>
        </w:rPr>
        <w:t>uitoefening van het stakingsrecht</w:t>
      </w:r>
      <w:r w:rsidR="002B0CC9" w:rsidRPr="00121A6A">
        <w:rPr>
          <w:sz w:val="24"/>
          <w:szCs w:val="24"/>
        </w:rPr>
        <w:t xml:space="preserve"> </w:t>
      </w:r>
      <w:r w:rsidR="000E2776" w:rsidRPr="00121A6A">
        <w:rPr>
          <w:sz w:val="24"/>
          <w:szCs w:val="24"/>
        </w:rPr>
        <w:t xml:space="preserve">– en </w:t>
      </w:r>
      <w:r w:rsidR="00BB17E1" w:rsidRPr="00121A6A">
        <w:rPr>
          <w:sz w:val="24"/>
          <w:szCs w:val="24"/>
        </w:rPr>
        <w:t>de</w:t>
      </w:r>
      <w:r w:rsidR="000E2776" w:rsidRPr="00121A6A">
        <w:rPr>
          <w:sz w:val="24"/>
          <w:szCs w:val="24"/>
        </w:rPr>
        <w:t xml:space="preserve"> daarmee verband houdende inperking van </w:t>
      </w:r>
      <w:r w:rsidR="00BB17E1" w:rsidRPr="00121A6A">
        <w:rPr>
          <w:sz w:val="24"/>
          <w:szCs w:val="24"/>
        </w:rPr>
        <w:t>de vestigingsvrijheid</w:t>
      </w:r>
      <w:r w:rsidR="000E2776" w:rsidRPr="00121A6A">
        <w:rPr>
          <w:sz w:val="24"/>
          <w:szCs w:val="24"/>
        </w:rPr>
        <w:t xml:space="preserve"> – </w:t>
      </w:r>
      <w:r w:rsidR="002B0CC9" w:rsidRPr="00121A6A">
        <w:rPr>
          <w:sz w:val="24"/>
          <w:szCs w:val="24"/>
        </w:rPr>
        <w:t xml:space="preserve">in de ene lidstaat </w:t>
      </w:r>
      <w:r w:rsidR="00B466B7">
        <w:rPr>
          <w:sz w:val="24"/>
          <w:szCs w:val="24"/>
        </w:rPr>
        <w:t>ge</w:t>
      </w:r>
      <w:r w:rsidR="00031BC8" w:rsidRPr="00121A6A">
        <w:rPr>
          <w:sz w:val="24"/>
          <w:szCs w:val="24"/>
        </w:rPr>
        <w:t>makkelijker kan worden gerechtvaardigd</w:t>
      </w:r>
      <w:r w:rsidR="002B0CC9" w:rsidRPr="00121A6A">
        <w:rPr>
          <w:sz w:val="24"/>
          <w:szCs w:val="24"/>
        </w:rPr>
        <w:t xml:space="preserve"> dan in de andere</w:t>
      </w:r>
      <w:r w:rsidR="00B168A4" w:rsidRPr="00121A6A">
        <w:rPr>
          <w:sz w:val="24"/>
          <w:szCs w:val="24"/>
        </w:rPr>
        <w:t xml:space="preserve">, </w:t>
      </w:r>
      <w:r w:rsidR="00A4121B" w:rsidRPr="00121A6A">
        <w:rPr>
          <w:sz w:val="24"/>
          <w:szCs w:val="24"/>
        </w:rPr>
        <w:t xml:space="preserve">komt </w:t>
      </w:r>
      <w:r w:rsidR="00C6647C" w:rsidRPr="00121A6A">
        <w:rPr>
          <w:sz w:val="24"/>
          <w:szCs w:val="24"/>
        </w:rPr>
        <w:t xml:space="preserve">naar mijn idee </w:t>
      </w:r>
      <w:r w:rsidR="00761375" w:rsidRPr="00121A6A">
        <w:rPr>
          <w:sz w:val="24"/>
          <w:szCs w:val="24"/>
        </w:rPr>
        <w:t xml:space="preserve">niet </w:t>
      </w:r>
      <w:r w:rsidR="00300510">
        <w:rPr>
          <w:sz w:val="24"/>
          <w:szCs w:val="24"/>
        </w:rPr>
        <w:t xml:space="preserve">(per se) </w:t>
      </w:r>
      <w:r w:rsidR="00A4121B" w:rsidRPr="00121A6A">
        <w:rPr>
          <w:sz w:val="24"/>
          <w:szCs w:val="24"/>
        </w:rPr>
        <w:t>in strijd met</w:t>
      </w:r>
      <w:r w:rsidR="00B168A4" w:rsidRPr="00121A6A">
        <w:rPr>
          <w:sz w:val="24"/>
          <w:szCs w:val="24"/>
        </w:rPr>
        <w:t xml:space="preserve"> </w:t>
      </w:r>
      <w:r w:rsidR="000E2776" w:rsidRPr="00121A6A">
        <w:rPr>
          <w:sz w:val="24"/>
          <w:szCs w:val="24"/>
        </w:rPr>
        <w:t xml:space="preserve">het </w:t>
      </w:r>
      <w:r w:rsidR="00A77C2D" w:rsidRPr="00121A6A">
        <w:rPr>
          <w:sz w:val="24"/>
          <w:szCs w:val="24"/>
        </w:rPr>
        <w:t>interne markt</w:t>
      </w:r>
      <w:r w:rsidR="000E2776" w:rsidRPr="00121A6A">
        <w:rPr>
          <w:sz w:val="24"/>
          <w:szCs w:val="24"/>
        </w:rPr>
        <w:t>streven</w:t>
      </w:r>
      <w:r w:rsidR="00A77C2D" w:rsidRPr="00121A6A">
        <w:rPr>
          <w:sz w:val="24"/>
          <w:szCs w:val="24"/>
        </w:rPr>
        <w:t xml:space="preserve"> van de EU</w:t>
      </w:r>
      <w:r w:rsidR="000E2776" w:rsidRPr="00121A6A">
        <w:rPr>
          <w:sz w:val="24"/>
          <w:szCs w:val="24"/>
        </w:rPr>
        <w:t>.</w:t>
      </w:r>
      <w:r w:rsidR="00B54844" w:rsidRPr="00121A6A">
        <w:rPr>
          <w:sz w:val="24"/>
          <w:szCs w:val="24"/>
        </w:rPr>
        <w:t xml:space="preserve"> D</w:t>
      </w:r>
      <w:r w:rsidR="00A4121B" w:rsidRPr="00121A6A">
        <w:rPr>
          <w:sz w:val="24"/>
          <w:szCs w:val="24"/>
        </w:rPr>
        <w:t xml:space="preserve">e </w:t>
      </w:r>
      <w:r w:rsidR="003570E8">
        <w:rPr>
          <w:sz w:val="24"/>
          <w:szCs w:val="24"/>
        </w:rPr>
        <w:t>Unie</w:t>
      </w:r>
      <w:r w:rsidR="00A4121B" w:rsidRPr="00121A6A">
        <w:rPr>
          <w:sz w:val="24"/>
          <w:szCs w:val="24"/>
        </w:rPr>
        <w:t xml:space="preserve"> </w:t>
      </w:r>
      <w:r w:rsidR="00B54844" w:rsidRPr="00121A6A">
        <w:rPr>
          <w:sz w:val="24"/>
          <w:szCs w:val="24"/>
        </w:rPr>
        <w:t xml:space="preserve">heeft immers </w:t>
      </w:r>
      <w:r w:rsidR="00A4121B" w:rsidRPr="00121A6A">
        <w:rPr>
          <w:sz w:val="24"/>
          <w:szCs w:val="24"/>
        </w:rPr>
        <w:t xml:space="preserve">geen wetgevende </w:t>
      </w:r>
      <w:r w:rsidR="004206F5" w:rsidRPr="00121A6A">
        <w:rPr>
          <w:sz w:val="24"/>
          <w:szCs w:val="24"/>
        </w:rPr>
        <w:t>bevoegdheid</w:t>
      </w:r>
      <w:r w:rsidR="00A4121B" w:rsidRPr="00121A6A">
        <w:rPr>
          <w:sz w:val="24"/>
          <w:szCs w:val="24"/>
        </w:rPr>
        <w:t xml:space="preserve"> op </w:t>
      </w:r>
      <w:r w:rsidR="00B54844" w:rsidRPr="00121A6A">
        <w:rPr>
          <w:sz w:val="24"/>
          <w:szCs w:val="24"/>
        </w:rPr>
        <w:t>het</w:t>
      </w:r>
      <w:r w:rsidR="00A4121B" w:rsidRPr="00121A6A">
        <w:rPr>
          <w:sz w:val="24"/>
          <w:szCs w:val="24"/>
        </w:rPr>
        <w:t xml:space="preserve"> gebied</w:t>
      </w:r>
      <w:r w:rsidR="00B54844" w:rsidRPr="00121A6A">
        <w:rPr>
          <w:sz w:val="24"/>
          <w:szCs w:val="24"/>
        </w:rPr>
        <w:t xml:space="preserve"> van het stakingsrecht</w:t>
      </w:r>
      <w:r w:rsidR="00A4121B" w:rsidRPr="00121A6A">
        <w:rPr>
          <w:sz w:val="24"/>
          <w:szCs w:val="24"/>
        </w:rPr>
        <w:t>. Lidstaten zijn dus vrij</w:t>
      </w:r>
      <w:r w:rsidR="005C1FB2" w:rsidRPr="00121A6A">
        <w:rPr>
          <w:sz w:val="24"/>
          <w:szCs w:val="24"/>
        </w:rPr>
        <w:t>,</w:t>
      </w:r>
      <w:r w:rsidR="00A4121B" w:rsidRPr="00121A6A">
        <w:rPr>
          <w:sz w:val="24"/>
          <w:szCs w:val="24"/>
        </w:rPr>
        <w:t xml:space="preserve"> uiteraard binnen de grenzen van (overig) internationaal recht</w:t>
      </w:r>
      <w:r w:rsidR="005C1FB2" w:rsidRPr="00121A6A">
        <w:rPr>
          <w:sz w:val="24"/>
          <w:szCs w:val="24"/>
        </w:rPr>
        <w:t>,</w:t>
      </w:r>
      <w:r w:rsidR="00A4121B" w:rsidRPr="00121A6A">
        <w:rPr>
          <w:sz w:val="24"/>
          <w:szCs w:val="24"/>
        </w:rPr>
        <w:t xml:space="preserve"> om het stakingsrecht naar eigen inzicht te reguleren</w:t>
      </w:r>
      <w:r w:rsidR="005C1FB2" w:rsidRPr="00121A6A">
        <w:rPr>
          <w:sz w:val="24"/>
          <w:szCs w:val="24"/>
        </w:rPr>
        <w:t xml:space="preserve">. </w:t>
      </w:r>
      <w:r w:rsidR="00AB511A" w:rsidRPr="00121A6A">
        <w:rPr>
          <w:sz w:val="24"/>
          <w:szCs w:val="24"/>
        </w:rPr>
        <w:t>Vanuit die gedachte is</w:t>
      </w:r>
      <w:r w:rsidR="00F82350">
        <w:rPr>
          <w:sz w:val="24"/>
          <w:szCs w:val="24"/>
        </w:rPr>
        <w:t xml:space="preserve"> </w:t>
      </w:r>
      <w:r w:rsidR="00AB511A" w:rsidRPr="00121A6A">
        <w:rPr>
          <w:sz w:val="24"/>
          <w:szCs w:val="24"/>
        </w:rPr>
        <w:t>verdedigbaar</w:t>
      </w:r>
      <w:r w:rsidR="00504D81" w:rsidRPr="00121A6A">
        <w:rPr>
          <w:sz w:val="24"/>
          <w:szCs w:val="24"/>
        </w:rPr>
        <w:t xml:space="preserve"> dat het Hof slechts de buitengrenzen </w:t>
      </w:r>
      <w:r w:rsidR="00547E1C">
        <w:rPr>
          <w:sz w:val="24"/>
          <w:szCs w:val="24"/>
        </w:rPr>
        <w:t xml:space="preserve">(de essentie) </w:t>
      </w:r>
      <w:r w:rsidR="00504D81" w:rsidRPr="00121A6A">
        <w:rPr>
          <w:sz w:val="24"/>
          <w:szCs w:val="24"/>
        </w:rPr>
        <w:t xml:space="preserve">van </w:t>
      </w:r>
      <w:r w:rsidR="00AB511A" w:rsidRPr="00121A6A">
        <w:rPr>
          <w:sz w:val="24"/>
          <w:szCs w:val="24"/>
        </w:rPr>
        <w:t>de interne markt</w:t>
      </w:r>
      <w:r w:rsidR="00504D81" w:rsidRPr="00121A6A">
        <w:rPr>
          <w:sz w:val="24"/>
          <w:szCs w:val="24"/>
        </w:rPr>
        <w:t xml:space="preserve"> </w:t>
      </w:r>
      <w:r w:rsidR="00984F6D">
        <w:rPr>
          <w:sz w:val="24"/>
          <w:szCs w:val="24"/>
        </w:rPr>
        <w:t xml:space="preserve">zou </w:t>
      </w:r>
      <w:r w:rsidR="00403CDB" w:rsidRPr="00121A6A">
        <w:rPr>
          <w:sz w:val="24"/>
          <w:szCs w:val="24"/>
        </w:rPr>
        <w:t>moet</w:t>
      </w:r>
      <w:r w:rsidR="00984F6D">
        <w:rPr>
          <w:sz w:val="24"/>
          <w:szCs w:val="24"/>
        </w:rPr>
        <w:t>en</w:t>
      </w:r>
      <w:r w:rsidR="00504D81" w:rsidRPr="00121A6A">
        <w:rPr>
          <w:sz w:val="24"/>
          <w:szCs w:val="24"/>
        </w:rPr>
        <w:t xml:space="preserve"> bewaken en voor het overige</w:t>
      </w:r>
      <w:r w:rsidR="00AB511A" w:rsidRPr="00121A6A">
        <w:rPr>
          <w:sz w:val="24"/>
          <w:szCs w:val="24"/>
        </w:rPr>
        <w:t xml:space="preserve"> </w:t>
      </w:r>
      <w:r w:rsidR="00E53D27" w:rsidRPr="00121A6A">
        <w:rPr>
          <w:sz w:val="24"/>
          <w:szCs w:val="24"/>
        </w:rPr>
        <w:t xml:space="preserve">de </w:t>
      </w:r>
      <w:r w:rsidR="00BC585F" w:rsidRPr="00121A6A">
        <w:rPr>
          <w:sz w:val="24"/>
          <w:szCs w:val="24"/>
        </w:rPr>
        <w:t>competentie</w:t>
      </w:r>
      <w:r w:rsidR="00E53D27" w:rsidRPr="00121A6A">
        <w:rPr>
          <w:sz w:val="24"/>
          <w:szCs w:val="24"/>
        </w:rPr>
        <w:t xml:space="preserve"> van de</w:t>
      </w:r>
      <w:r w:rsidR="00AB511A" w:rsidRPr="00121A6A">
        <w:rPr>
          <w:sz w:val="24"/>
          <w:szCs w:val="24"/>
        </w:rPr>
        <w:t xml:space="preserve"> lidstaten</w:t>
      </w:r>
      <w:r w:rsidR="00504D81" w:rsidRPr="00121A6A">
        <w:rPr>
          <w:sz w:val="24"/>
          <w:szCs w:val="24"/>
        </w:rPr>
        <w:t xml:space="preserve"> </w:t>
      </w:r>
      <w:r w:rsidR="00984F6D">
        <w:rPr>
          <w:sz w:val="24"/>
          <w:szCs w:val="24"/>
        </w:rPr>
        <w:t xml:space="preserve">zou </w:t>
      </w:r>
      <w:r w:rsidR="003570E8">
        <w:rPr>
          <w:sz w:val="24"/>
          <w:szCs w:val="24"/>
        </w:rPr>
        <w:t>moet</w:t>
      </w:r>
      <w:r w:rsidR="00984F6D">
        <w:rPr>
          <w:sz w:val="24"/>
          <w:szCs w:val="24"/>
        </w:rPr>
        <w:t>en</w:t>
      </w:r>
      <w:r w:rsidR="003570E8">
        <w:rPr>
          <w:sz w:val="24"/>
          <w:szCs w:val="24"/>
        </w:rPr>
        <w:t xml:space="preserve"> </w:t>
      </w:r>
      <w:r w:rsidR="00E53D27" w:rsidRPr="00121A6A">
        <w:rPr>
          <w:sz w:val="24"/>
          <w:szCs w:val="24"/>
        </w:rPr>
        <w:t>respecteren</w:t>
      </w:r>
      <w:r w:rsidR="00504D81" w:rsidRPr="00121A6A">
        <w:rPr>
          <w:sz w:val="24"/>
          <w:szCs w:val="24"/>
        </w:rPr>
        <w:t>.</w:t>
      </w:r>
    </w:p>
    <w:p w14:paraId="589E5824" w14:textId="03A48662" w:rsidR="0033126A" w:rsidRPr="00121A6A" w:rsidRDefault="00E53D27" w:rsidP="0033126A">
      <w:pPr>
        <w:spacing w:after="0"/>
        <w:ind w:firstLine="708"/>
        <w:jc w:val="both"/>
        <w:rPr>
          <w:sz w:val="24"/>
          <w:szCs w:val="24"/>
        </w:rPr>
      </w:pPr>
      <w:r w:rsidRPr="00121A6A">
        <w:rPr>
          <w:sz w:val="24"/>
          <w:szCs w:val="24"/>
        </w:rPr>
        <w:t>Toch</w:t>
      </w:r>
      <w:r w:rsidR="0083643E" w:rsidRPr="00121A6A">
        <w:rPr>
          <w:sz w:val="24"/>
          <w:szCs w:val="24"/>
        </w:rPr>
        <w:t xml:space="preserve"> ben ik</w:t>
      </w:r>
      <w:r w:rsidR="00D34A90">
        <w:rPr>
          <w:sz w:val="24"/>
          <w:szCs w:val="24"/>
        </w:rPr>
        <w:t>,</w:t>
      </w:r>
      <w:r w:rsidR="0083643E" w:rsidRPr="00121A6A">
        <w:rPr>
          <w:sz w:val="24"/>
          <w:szCs w:val="24"/>
        </w:rPr>
        <w:t xml:space="preserve"> net als Laagland</w:t>
      </w:r>
      <w:r w:rsidR="00D34A90">
        <w:rPr>
          <w:sz w:val="24"/>
          <w:szCs w:val="24"/>
        </w:rPr>
        <w:t>,</w:t>
      </w:r>
      <w:r w:rsidR="0083643E" w:rsidRPr="00121A6A">
        <w:rPr>
          <w:sz w:val="24"/>
          <w:szCs w:val="24"/>
        </w:rPr>
        <w:t xml:space="preserve"> niet overtuigd van het feit dat de strikte evenredigheidstoets uit </w:t>
      </w:r>
      <w:r w:rsidR="0083643E" w:rsidRPr="00121A6A">
        <w:rPr>
          <w:i/>
          <w:iCs/>
          <w:sz w:val="24"/>
          <w:szCs w:val="24"/>
        </w:rPr>
        <w:t xml:space="preserve">Viking </w:t>
      </w:r>
      <w:r w:rsidR="00300510">
        <w:rPr>
          <w:sz w:val="24"/>
          <w:szCs w:val="24"/>
        </w:rPr>
        <w:t>anno nu</w:t>
      </w:r>
      <w:r w:rsidR="0083643E" w:rsidRPr="00121A6A">
        <w:rPr>
          <w:sz w:val="24"/>
          <w:szCs w:val="24"/>
        </w:rPr>
        <w:t xml:space="preserve"> achterhaald is. </w:t>
      </w:r>
      <w:r w:rsidRPr="00121A6A">
        <w:rPr>
          <w:sz w:val="24"/>
          <w:szCs w:val="24"/>
        </w:rPr>
        <w:t xml:space="preserve">Doordat een staking </w:t>
      </w:r>
      <w:r w:rsidR="00BC585F" w:rsidRPr="00121A6A">
        <w:rPr>
          <w:sz w:val="24"/>
          <w:szCs w:val="24"/>
        </w:rPr>
        <w:t xml:space="preserve">de vestigingsvrijheid </w:t>
      </w:r>
      <w:r w:rsidR="00D34A90">
        <w:rPr>
          <w:sz w:val="24"/>
          <w:szCs w:val="24"/>
        </w:rPr>
        <w:t xml:space="preserve">vergaand </w:t>
      </w:r>
      <w:r w:rsidR="00CC604B">
        <w:rPr>
          <w:sz w:val="24"/>
          <w:szCs w:val="24"/>
        </w:rPr>
        <w:t>kan belemmeren</w:t>
      </w:r>
      <w:r w:rsidRPr="00121A6A">
        <w:rPr>
          <w:sz w:val="24"/>
          <w:szCs w:val="24"/>
        </w:rPr>
        <w:t>,</w:t>
      </w:r>
      <w:r w:rsidR="0083643E" w:rsidRPr="00121A6A">
        <w:rPr>
          <w:sz w:val="24"/>
          <w:szCs w:val="24"/>
        </w:rPr>
        <w:t xml:space="preserve"> </w:t>
      </w:r>
      <w:r w:rsidRPr="00121A6A">
        <w:rPr>
          <w:sz w:val="24"/>
          <w:szCs w:val="24"/>
        </w:rPr>
        <w:t xml:space="preserve">staat </w:t>
      </w:r>
      <w:r w:rsidR="00895C37" w:rsidRPr="00121A6A">
        <w:rPr>
          <w:sz w:val="24"/>
          <w:szCs w:val="24"/>
        </w:rPr>
        <w:t xml:space="preserve">de </w:t>
      </w:r>
      <w:r w:rsidR="00895C37" w:rsidRPr="00121A6A">
        <w:rPr>
          <w:i/>
          <w:iCs/>
          <w:sz w:val="24"/>
          <w:szCs w:val="24"/>
        </w:rPr>
        <w:t>ultimum remedium</w:t>
      </w:r>
      <w:r w:rsidR="00895C37" w:rsidRPr="00121A6A">
        <w:rPr>
          <w:sz w:val="24"/>
          <w:szCs w:val="24"/>
        </w:rPr>
        <w:t>-</w:t>
      </w:r>
      <w:r w:rsidR="004B12B9" w:rsidRPr="00121A6A">
        <w:rPr>
          <w:sz w:val="24"/>
          <w:szCs w:val="24"/>
        </w:rPr>
        <w:t xml:space="preserve">eis </w:t>
      </w:r>
      <w:r w:rsidR="008E267C" w:rsidRPr="00121A6A">
        <w:rPr>
          <w:sz w:val="24"/>
          <w:szCs w:val="24"/>
        </w:rPr>
        <w:t xml:space="preserve">mogelijk </w:t>
      </w:r>
      <w:r w:rsidR="004B12B9" w:rsidRPr="00121A6A">
        <w:rPr>
          <w:sz w:val="24"/>
          <w:szCs w:val="24"/>
        </w:rPr>
        <w:t xml:space="preserve">nog </w:t>
      </w:r>
      <w:r w:rsidR="00084591">
        <w:rPr>
          <w:sz w:val="24"/>
          <w:szCs w:val="24"/>
        </w:rPr>
        <w:t xml:space="preserve">fier </w:t>
      </w:r>
      <w:r w:rsidR="0083643E" w:rsidRPr="00121A6A">
        <w:rPr>
          <w:sz w:val="24"/>
          <w:szCs w:val="24"/>
        </w:rPr>
        <w:t>overeind</w:t>
      </w:r>
      <w:r w:rsidRPr="00121A6A">
        <w:rPr>
          <w:sz w:val="24"/>
          <w:szCs w:val="24"/>
        </w:rPr>
        <w:t>.</w:t>
      </w:r>
      <w:r w:rsidR="004B12B9" w:rsidRPr="00121A6A">
        <w:rPr>
          <w:sz w:val="24"/>
          <w:szCs w:val="24"/>
        </w:rPr>
        <w:t xml:space="preserve"> </w:t>
      </w:r>
      <w:r w:rsidRPr="00121A6A">
        <w:rPr>
          <w:sz w:val="24"/>
          <w:szCs w:val="24"/>
        </w:rPr>
        <w:t xml:space="preserve">Deze eis past bovendien </w:t>
      </w:r>
      <w:r w:rsidR="004B12B9" w:rsidRPr="00121A6A">
        <w:rPr>
          <w:sz w:val="24"/>
          <w:szCs w:val="24"/>
        </w:rPr>
        <w:t xml:space="preserve">in het algemene toetsingskader om te beoordelen of </w:t>
      </w:r>
      <w:r w:rsidR="00FD4873" w:rsidRPr="00121A6A">
        <w:rPr>
          <w:sz w:val="24"/>
          <w:szCs w:val="24"/>
        </w:rPr>
        <w:t>een belemmering van het vrij verkeer kan</w:t>
      </w:r>
      <w:r w:rsidR="004B12B9" w:rsidRPr="00121A6A">
        <w:rPr>
          <w:sz w:val="24"/>
          <w:szCs w:val="24"/>
        </w:rPr>
        <w:t xml:space="preserve"> worden gerechtvaardigd. De standaardmaatstaf volgens bestendige rechtspraak is immers dat </w:t>
      </w:r>
      <w:r w:rsidR="00094F26" w:rsidRPr="00121A6A">
        <w:rPr>
          <w:sz w:val="24"/>
          <w:szCs w:val="24"/>
        </w:rPr>
        <w:t xml:space="preserve">voldaan moet zijn aan </w:t>
      </w:r>
      <w:r w:rsidR="004B12B9" w:rsidRPr="00121A6A">
        <w:rPr>
          <w:sz w:val="24"/>
          <w:szCs w:val="24"/>
        </w:rPr>
        <w:t xml:space="preserve">het </w:t>
      </w:r>
      <w:r w:rsidR="00341A10" w:rsidRPr="00121A6A">
        <w:rPr>
          <w:sz w:val="24"/>
          <w:szCs w:val="24"/>
        </w:rPr>
        <w:t>proportionaliteit</w:t>
      </w:r>
      <w:r w:rsidR="004B12B9" w:rsidRPr="00121A6A">
        <w:rPr>
          <w:sz w:val="24"/>
          <w:szCs w:val="24"/>
        </w:rPr>
        <w:t xml:space="preserve">sbeginsel, </w:t>
      </w:r>
      <w:r w:rsidR="003979A1">
        <w:rPr>
          <w:sz w:val="24"/>
          <w:szCs w:val="24"/>
        </w:rPr>
        <w:t>dat</w:t>
      </w:r>
      <w:r w:rsidR="004B12B9" w:rsidRPr="00121A6A">
        <w:rPr>
          <w:sz w:val="24"/>
          <w:szCs w:val="24"/>
        </w:rPr>
        <w:t xml:space="preserve"> uiteenvalt in een dubbele test: (</w:t>
      </w:r>
      <w:r w:rsidR="00427714" w:rsidRPr="00121A6A">
        <w:rPr>
          <w:sz w:val="24"/>
          <w:szCs w:val="24"/>
        </w:rPr>
        <w:t>1</w:t>
      </w:r>
      <w:r w:rsidR="004B12B9" w:rsidRPr="00121A6A">
        <w:rPr>
          <w:sz w:val="24"/>
          <w:szCs w:val="24"/>
        </w:rPr>
        <w:t>) de maatregel moet geschikt zijn om een legitiem doel te bereiken</w:t>
      </w:r>
      <w:r w:rsidR="00427714" w:rsidRPr="00121A6A">
        <w:rPr>
          <w:sz w:val="24"/>
          <w:szCs w:val="24"/>
        </w:rPr>
        <w:t xml:space="preserve">; </w:t>
      </w:r>
      <w:r w:rsidR="00116A65" w:rsidRPr="00121A6A">
        <w:rPr>
          <w:sz w:val="24"/>
          <w:szCs w:val="24"/>
        </w:rPr>
        <w:t xml:space="preserve">en </w:t>
      </w:r>
      <w:r w:rsidR="004B12B9" w:rsidRPr="00121A6A">
        <w:rPr>
          <w:sz w:val="24"/>
          <w:szCs w:val="24"/>
        </w:rPr>
        <w:t>(</w:t>
      </w:r>
      <w:r w:rsidR="00427714" w:rsidRPr="00121A6A">
        <w:rPr>
          <w:sz w:val="24"/>
          <w:szCs w:val="24"/>
        </w:rPr>
        <w:t>2</w:t>
      </w:r>
      <w:r w:rsidR="004B12B9" w:rsidRPr="00121A6A">
        <w:rPr>
          <w:sz w:val="24"/>
          <w:szCs w:val="24"/>
        </w:rPr>
        <w:t xml:space="preserve">) de maatregel mag niet verder </w:t>
      </w:r>
      <w:r w:rsidR="00116A65" w:rsidRPr="00121A6A">
        <w:rPr>
          <w:sz w:val="24"/>
          <w:szCs w:val="24"/>
        </w:rPr>
        <w:t xml:space="preserve">gaan </w:t>
      </w:r>
      <w:r w:rsidR="004B12B9" w:rsidRPr="00121A6A">
        <w:rPr>
          <w:sz w:val="24"/>
          <w:szCs w:val="24"/>
        </w:rPr>
        <w:t>dan noodzakelijk ter bereiking van dat doel.</w:t>
      </w:r>
      <w:r w:rsidR="004B12B9" w:rsidRPr="00121A6A">
        <w:rPr>
          <w:rStyle w:val="FootnoteReference"/>
          <w:sz w:val="24"/>
          <w:szCs w:val="24"/>
        </w:rPr>
        <w:footnoteReference w:id="101"/>
      </w:r>
      <w:r w:rsidR="004B12B9" w:rsidRPr="00121A6A">
        <w:rPr>
          <w:sz w:val="24"/>
          <w:szCs w:val="24"/>
        </w:rPr>
        <w:t xml:space="preserve"> Dit tweede punt impliceert dat altijd moet worden gekozen voor de minst belemmerende maatregel: in een zaak als </w:t>
      </w:r>
      <w:r w:rsidR="004B12B9" w:rsidRPr="00121A6A">
        <w:rPr>
          <w:i/>
          <w:iCs/>
          <w:sz w:val="24"/>
          <w:szCs w:val="24"/>
        </w:rPr>
        <w:t xml:space="preserve">Viking </w:t>
      </w:r>
      <w:r w:rsidR="004B12B9" w:rsidRPr="00121A6A">
        <w:rPr>
          <w:sz w:val="24"/>
          <w:szCs w:val="24"/>
        </w:rPr>
        <w:t>betekent dit dat een staking slechts als laatste redmiddel is toegestaan.</w:t>
      </w:r>
    </w:p>
    <w:p w14:paraId="508860C2" w14:textId="3639906C" w:rsidR="00E50DE5" w:rsidRPr="00121A6A" w:rsidRDefault="00BE4276" w:rsidP="00E50DE5">
      <w:pPr>
        <w:spacing w:after="0"/>
        <w:ind w:firstLine="708"/>
        <w:jc w:val="both"/>
        <w:rPr>
          <w:sz w:val="24"/>
          <w:szCs w:val="24"/>
        </w:rPr>
      </w:pPr>
      <w:r w:rsidRPr="00121A6A">
        <w:rPr>
          <w:sz w:val="24"/>
          <w:szCs w:val="24"/>
        </w:rPr>
        <w:t>Hoe het ook zij,</w:t>
      </w:r>
      <w:r w:rsidR="000807DA" w:rsidRPr="00121A6A">
        <w:rPr>
          <w:sz w:val="24"/>
          <w:szCs w:val="24"/>
        </w:rPr>
        <w:t xml:space="preserve"> de plaats van artikel 28 Hv</w:t>
      </w:r>
      <w:r w:rsidR="00614D5F" w:rsidRPr="00121A6A">
        <w:rPr>
          <w:sz w:val="24"/>
          <w:szCs w:val="24"/>
        </w:rPr>
        <w:t xml:space="preserve">, </w:t>
      </w:r>
      <w:r w:rsidR="00CB18E5" w:rsidRPr="00121A6A">
        <w:rPr>
          <w:sz w:val="24"/>
          <w:szCs w:val="24"/>
        </w:rPr>
        <w:t>op zichzelf beschouwd alsmede</w:t>
      </w:r>
      <w:r w:rsidR="000807DA" w:rsidRPr="00121A6A">
        <w:rPr>
          <w:sz w:val="24"/>
          <w:szCs w:val="24"/>
        </w:rPr>
        <w:t xml:space="preserve"> ten opzichte van </w:t>
      </w:r>
      <w:r w:rsidR="002D6B0B">
        <w:rPr>
          <w:sz w:val="24"/>
          <w:szCs w:val="24"/>
        </w:rPr>
        <w:t xml:space="preserve">de </w:t>
      </w:r>
      <w:r w:rsidR="000807DA" w:rsidRPr="00121A6A">
        <w:rPr>
          <w:sz w:val="24"/>
          <w:szCs w:val="24"/>
        </w:rPr>
        <w:t>verkeersvrijheden</w:t>
      </w:r>
      <w:r w:rsidR="00614D5F" w:rsidRPr="00121A6A">
        <w:rPr>
          <w:sz w:val="24"/>
          <w:szCs w:val="24"/>
        </w:rPr>
        <w:t>,</w:t>
      </w:r>
      <w:r w:rsidR="000807DA" w:rsidRPr="00121A6A">
        <w:rPr>
          <w:sz w:val="24"/>
          <w:szCs w:val="24"/>
        </w:rPr>
        <w:t xml:space="preserve"> </w:t>
      </w:r>
      <w:r w:rsidRPr="00121A6A">
        <w:rPr>
          <w:sz w:val="24"/>
          <w:szCs w:val="24"/>
        </w:rPr>
        <w:t xml:space="preserve">blijft </w:t>
      </w:r>
      <w:r w:rsidR="00A56E52" w:rsidRPr="00121A6A">
        <w:rPr>
          <w:sz w:val="24"/>
          <w:szCs w:val="24"/>
        </w:rPr>
        <w:t>naar huidig recht beperkt</w:t>
      </w:r>
      <w:r w:rsidR="000807DA" w:rsidRPr="00121A6A">
        <w:rPr>
          <w:sz w:val="24"/>
          <w:szCs w:val="24"/>
        </w:rPr>
        <w:t>.</w:t>
      </w:r>
      <w:r w:rsidR="00411D30" w:rsidRPr="00121A6A">
        <w:rPr>
          <w:sz w:val="24"/>
          <w:szCs w:val="24"/>
        </w:rPr>
        <w:t xml:space="preserve"> De </w:t>
      </w:r>
      <w:r w:rsidR="006472BA" w:rsidRPr="00121A6A">
        <w:rPr>
          <w:sz w:val="24"/>
          <w:szCs w:val="24"/>
        </w:rPr>
        <w:t xml:space="preserve">besproken </w:t>
      </w:r>
      <w:r w:rsidR="00411D30" w:rsidRPr="00121A6A">
        <w:rPr>
          <w:sz w:val="24"/>
          <w:szCs w:val="24"/>
        </w:rPr>
        <w:t xml:space="preserve">ontwikkelingen </w:t>
      </w:r>
      <w:r w:rsidR="00046C74" w:rsidRPr="00121A6A">
        <w:rPr>
          <w:sz w:val="24"/>
          <w:szCs w:val="24"/>
        </w:rPr>
        <w:t>in</w:t>
      </w:r>
      <w:r w:rsidR="00411D30" w:rsidRPr="00121A6A">
        <w:rPr>
          <w:sz w:val="24"/>
          <w:szCs w:val="24"/>
        </w:rPr>
        <w:t xml:space="preserve"> </w:t>
      </w:r>
      <w:r w:rsidR="00411D30" w:rsidRPr="00121A6A">
        <w:rPr>
          <w:sz w:val="24"/>
          <w:szCs w:val="24"/>
        </w:rPr>
        <w:lastRenderedPageBreak/>
        <w:t xml:space="preserve">Uniewetgeving en </w:t>
      </w:r>
      <w:r w:rsidR="00046C74" w:rsidRPr="00121A6A">
        <w:rPr>
          <w:sz w:val="24"/>
          <w:szCs w:val="24"/>
        </w:rPr>
        <w:t>-</w:t>
      </w:r>
      <w:r w:rsidR="00411D30" w:rsidRPr="00121A6A">
        <w:rPr>
          <w:sz w:val="24"/>
          <w:szCs w:val="24"/>
        </w:rPr>
        <w:t xml:space="preserve">rechtspraak </w:t>
      </w:r>
      <w:r w:rsidR="006472BA" w:rsidRPr="00121A6A">
        <w:rPr>
          <w:sz w:val="24"/>
          <w:szCs w:val="24"/>
        </w:rPr>
        <w:t>hebben</w:t>
      </w:r>
      <w:r w:rsidR="00732470" w:rsidRPr="00121A6A">
        <w:rPr>
          <w:sz w:val="24"/>
          <w:szCs w:val="24"/>
        </w:rPr>
        <w:t xml:space="preserve"> </w:t>
      </w:r>
      <w:r w:rsidR="006472BA" w:rsidRPr="00121A6A">
        <w:rPr>
          <w:sz w:val="24"/>
          <w:szCs w:val="24"/>
        </w:rPr>
        <w:t>niet geleid tot</w:t>
      </w:r>
      <w:r w:rsidR="00411D30" w:rsidRPr="00121A6A">
        <w:rPr>
          <w:sz w:val="24"/>
          <w:szCs w:val="24"/>
        </w:rPr>
        <w:t xml:space="preserve"> een</w:t>
      </w:r>
      <w:r w:rsidR="00614D5F" w:rsidRPr="00121A6A">
        <w:rPr>
          <w:sz w:val="24"/>
          <w:szCs w:val="24"/>
        </w:rPr>
        <w:t xml:space="preserve"> prominente</w:t>
      </w:r>
      <w:r w:rsidR="00CC0AF4" w:rsidRPr="00121A6A">
        <w:rPr>
          <w:sz w:val="24"/>
          <w:szCs w:val="24"/>
        </w:rPr>
        <w:t>(</w:t>
      </w:r>
      <w:r w:rsidR="00614D5F" w:rsidRPr="00121A6A">
        <w:rPr>
          <w:sz w:val="24"/>
          <w:szCs w:val="24"/>
        </w:rPr>
        <w:t>re</w:t>
      </w:r>
      <w:r w:rsidR="00CC0AF4" w:rsidRPr="00121A6A">
        <w:rPr>
          <w:sz w:val="24"/>
          <w:szCs w:val="24"/>
        </w:rPr>
        <w:t>)</w:t>
      </w:r>
      <w:r w:rsidR="00614D5F" w:rsidRPr="00121A6A">
        <w:rPr>
          <w:sz w:val="24"/>
          <w:szCs w:val="24"/>
        </w:rPr>
        <w:t xml:space="preserve"> rol </w:t>
      </w:r>
      <w:r w:rsidR="00732470" w:rsidRPr="00121A6A">
        <w:rPr>
          <w:sz w:val="24"/>
          <w:szCs w:val="24"/>
        </w:rPr>
        <w:t>voor</w:t>
      </w:r>
      <w:r w:rsidR="00614D5F" w:rsidRPr="00121A6A">
        <w:rPr>
          <w:sz w:val="24"/>
          <w:szCs w:val="24"/>
        </w:rPr>
        <w:t xml:space="preserve"> artikel 28 Hv</w:t>
      </w:r>
      <w:r w:rsidR="004176F7" w:rsidRPr="00121A6A">
        <w:rPr>
          <w:sz w:val="24"/>
          <w:szCs w:val="24"/>
        </w:rPr>
        <w:t xml:space="preserve"> als zodanig</w:t>
      </w:r>
      <w:r w:rsidR="00614D5F" w:rsidRPr="00121A6A">
        <w:rPr>
          <w:sz w:val="24"/>
          <w:szCs w:val="24"/>
        </w:rPr>
        <w:t xml:space="preserve"> of een </w:t>
      </w:r>
      <w:r w:rsidR="00D4602B" w:rsidRPr="00121A6A">
        <w:rPr>
          <w:sz w:val="24"/>
          <w:szCs w:val="24"/>
        </w:rPr>
        <w:t>(</w:t>
      </w:r>
      <w:r w:rsidR="00411D30" w:rsidRPr="00121A6A">
        <w:rPr>
          <w:sz w:val="24"/>
          <w:szCs w:val="24"/>
        </w:rPr>
        <w:t>fundamentele</w:t>
      </w:r>
      <w:r w:rsidR="00D4602B" w:rsidRPr="00121A6A">
        <w:rPr>
          <w:sz w:val="24"/>
          <w:szCs w:val="24"/>
        </w:rPr>
        <w:t>)</w:t>
      </w:r>
      <w:r w:rsidR="00411D30" w:rsidRPr="00121A6A">
        <w:rPr>
          <w:sz w:val="24"/>
          <w:szCs w:val="24"/>
        </w:rPr>
        <w:t xml:space="preserve"> wijziging </w:t>
      </w:r>
      <w:r w:rsidR="00614D5F" w:rsidRPr="00121A6A">
        <w:rPr>
          <w:sz w:val="24"/>
          <w:szCs w:val="24"/>
        </w:rPr>
        <w:t xml:space="preserve">van </w:t>
      </w:r>
      <w:r w:rsidR="008A169A" w:rsidRPr="00121A6A">
        <w:rPr>
          <w:sz w:val="24"/>
          <w:szCs w:val="24"/>
        </w:rPr>
        <w:t>het</w:t>
      </w:r>
      <w:r w:rsidR="00411D30" w:rsidRPr="00121A6A">
        <w:rPr>
          <w:sz w:val="24"/>
          <w:szCs w:val="24"/>
        </w:rPr>
        <w:t xml:space="preserve"> </w:t>
      </w:r>
      <w:r w:rsidR="009C677F" w:rsidRPr="00121A6A">
        <w:rPr>
          <w:sz w:val="24"/>
          <w:szCs w:val="24"/>
        </w:rPr>
        <w:t xml:space="preserve">op de interne markt gerichte </w:t>
      </w:r>
      <w:r w:rsidR="00300510">
        <w:rPr>
          <w:sz w:val="24"/>
          <w:szCs w:val="24"/>
        </w:rPr>
        <w:t>toetsings</w:t>
      </w:r>
      <w:r w:rsidR="008D452B" w:rsidRPr="00121A6A">
        <w:rPr>
          <w:sz w:val="24"/>
          <w:szCs w:val="24"/>
        </w:rPr>
        <w:t>kader</w:t>
      </w:r>
      <w:r w:rsidR="00614D5F" w:rsidRPr="00121A6A">
        <w:rPr>
          <w:sz w:val="24"/>
          <w:szCs w:val="24"/>
        </w:rPr>
        <w:t xml:space="preserve">. </w:t>
      </w:r>
      <w:r w:rsidR="004433A6" w:rsidRPr="00121A6A">
        <w:rPr>
          <w:sz w:val="24"/>
          <w:szCs w:val="24"/>
        </w:rPr>
        <w:t xml:space="preserve">De beperkte kracht van </w:t>
      </w:r>
      <w:r w:rsidR="00765CF4" w:rsidRPr="00121A6A">
        <w:rPr>
          <w:sz w:val="24"/>
          <w:szCs w:val="24"/>
        </w:rPr>
        <w:t>het</w:t>
      </w:r>
      <w:r w:rsidR="00CB18E5" w:rsidRPr="00121A6A">
        <w:rPr>
          <w:sz w:val="24"/>
          <w:szCs w:val="24"/>
        </w:rPr>
        <w:t xml:space="preserve"> Unierechtelijke</w:t>
      </w:r>
      <w:r w:rsidR="00765CF4" w:rsidRPr="00121A6A">
        <w:rPr>
          <w:sz w:val="24"/>
          <w:szCs w:val="24"/>
        </w:rPr>
        <w:t xml:space="preserve"> stakingsrecht </w:t>
      </w:r>
      <w:r w:rsidR="00F97202" w:rsidRPr="00121A6A">
        <w:rPr>
          <w:sz w:val="24"/>
          <w:szCs w:val="24"/>
        </w:rPr>
        <w:t>wordt</w:t>
      </w:r>
      <w:r w:rsidR="00A64B64" w:rsidRPr="00121A6A">
        <w:rPr>
          <w:sz w:val="24"/>
          <w:szCs w:val="24"/>
        </w:rPr>
        <w:t xml:space="preserve"> </w:t>
      </w:r>
      <w:r w:rsidR="00D56858" w:rsidRPr="00121A6A">
        <w:rPr>
          <w:sz w:val="24"/>
          <w:szCs w:val="24"/>
        </w:rPr>
        <w:t>naar ik meen</w:t>
      </w:r>
      <w:r w:rsidR="00DA2514" w:rsidRPr="00121A6A">
        <w:rPr>
          <w:sz w:val="24"/>
          <w:szCs w:val="24"/>
        </w:rPr>
        <w:t xml:space="preserve"> </w:t>
      </w:r>
      <w:r w:rsidR="00F97202" w:rsidRPr="00121A6A">
        <w:rPr>
          <w:sz w:val="24"/>
          <w:szCs w:val="24"/>
        </w:rPr>
        <w:t>veroorzaakt door</w:t>
      </w:r>
      <w:r w:rsidR="00A64B64" w:rsidRPr="00121A6A">
        <w:rPr>
          <w:sz w:val="24"/>
          <w:szCs w:val="24"/>
        </w:rPr>
        <w:t xml:space="preserve"> de beperkte reikwijdte van het Handvest</w:t>
      </w:r>
      <w:r w:rsidR="0035363A">
        <w:rPr>
          <w:sz w:val="24"/>
          <w:szCs w:val="24"/>
        </w:rPr>
        <w:t xml:space="preserve">. </w:t>
      </w:r>
      <w:r w:rsidR="00C76077" w:rsidRPr="00121A6A">
        <w:rPr>
          <w:sz w:val="24"/>
          <w:szCs w:val="24"/>
        </w:rPr>
        <w:t xml:space="preserve">Overeenkomstig artikel 51 lid 1 Hv zijn </w:t>
      </w:r>
      <w:r w:rsidR="004433A6" w:rsidRPr="00121A6A">
        <w:rPr>
          <w:sz w:val="24"/>
          <w:szCs w:val="24"/>
        </w:rPr>
        <w:t xml:space="preserve">Uniegrondrechten enkel tot EU-instellingen en lidstaten gericht, waarbij in dit tweede geval bovendien een link met </w:t>
      </w:r>
      <w:r w:rsidR="003979A1">
        <w:rPr>
          <w:sz w:val="24"/>
          <w:szCs w:val="24"/>
        </w:rPr>
        <w:t xml:space="preserve">(ander) </w:t>
      </w:r>
      <w:r w:rsidR="00135065" w:rsidRPr="00121A6A">
        <w:rPr>
          <w:sz w:val="24"/>
          <w:szCs w:val="24"/>
        </w:rPr>
        <w:t>Unie</w:t>
      </w:r>
      <w:r w:rsidR="004433A6" w:rsidRPr="00121A6A">
        <w:rPr>
          <w:sz w:val="24"/>
          <w:szCs w:val="24"/>
        </w:rPr>
        <w:t xml:space="preserve">recht </w:t>
      </w:r>
      <w:r w:rsidR="00C76077" w:rsidRPr="00121A6A">
        <w:rPr>
          <w:sz w:val="24"/>
          <w:szCs w:val="24"/>
        </w:rPr>
        <w:t>is vereist</w:t>
      </w:r>
      <w:r w:rsidR="004433A6" w:rsidRPr="00121A6A">
        <w:rPr>
          <w:sz w:val="24"/>
          <w:szCs w:val="24"/>
        </w:rPr>
        <w:t>.</w:t>
      </w:r>
      <w:r w:rsidR="00765CF4" w:rsidRPr="00121A6A">
        <w:rPr>
          <w:sz w:val="24"/>
          <w:szCs w:val="24"/>
        </w:rPr>
        <w:t xml:space="preserve"> Bij afwezigheid van secundair </w:t>
      </w:r>
      <w:r w:rsidR="00300510">
        <w:rPr>
          <w:sz w:val="24"/>
          <w:szCs w:val="24"/>
        </w:rPr>
        <w:t>Unie</w:t>
      </w:r>
      <w:r w:rsidR="00765CF4" w:rsidRPr="00121A6A">
        <w:rPr>
          <w:sz w:val="24"/>
          <w:szCs w:val="24"/>
        </w:rPr>
        <w:t>recht op het gebied van het stakingsrecht</w:t>
      </w:r>
      <w:r w:rsidR="00135065" w:rsidRPr="00121A6A">
        <w:rPr>
          <w:sz w:val="24"/>
          <w:szCs w:val="24"/>
        </w:rPr>
        <w:t>,</w:t>
      </w:r>
      <w:r w:rsidR="004433A6" w:rsidRPr="00121A6A">
        <w:rPr>
          <w:sz w:val="24"/>
          <w:szCs w:val="24"/>
        </w:rPr>
        <w:t xml:space="preserve"> </w:t>
      </w:r>
      <w:r w:rsidR="00765CF4" w:rsidRPr="00121A6A">
        <w:rPr>
          <w:sz w:val="24"/>
          <w:szCs w:val="24"/>
        </w:rPr>
        <w:t>is tot nog</w:t>
      </w:r>
      <w:r w:rsidR="00B07068" w:rsidRPr="00121A6A">
        <w:rPr>
          <w:sz w:val="24"/>
          <w:szCs w:val="24"/>
        </w:rPr>
        <w:t xml:space="preserve"> toe</w:t>
      </w:r>
      <w:r w:rsidR="00765CF4" w:rsidRPr="00121A6A">
        <w:rPr>
          <w:sz w:val="24"/>
          <w:szCs w:val="24"/>
        </w:rPr>
        <w:t xml:space="preserve"> </w:t>
      </w:r>
      <w:r w:rsidR="00652521" w:rsidRPr="00121A6A">
        <w:rPr>
          <w:sz w:val="24"/>
          <w:szCs w:val="24"/>
        </w:rPr>
        <w:t>enkel</w:t>
      </w:r>
      <w:r w:rsidR="00765CF4" w:rsidRPr="00121A6A">
        <w:rPr>
          <w:sz w:val="24"/>
          <w:szCs w:val="24"/>
        </w:rPr>
        <w:t xml:space="preserve"> </w:t>
      </w:r>
      <w:r w:rsidR="00D4602B" w:rsidRPr="00121A6A">
        <w:rPr>
          <w:sz w:val="24"/>
          <w:szCs w:val="24"/>
        </w:rPr>
        <w:t>j</w:t>
      </w:r>
      <w:r w:rsidR="00765CF4" w:rsidRPr="00121A6A">
        <w:rPr>
          <w:sz w:val="24"/>
          <w:szCs w:val="24"/>
        </w:rPr>
        <w:t xml:space="preserve">urisprudentie verschenen over </w:t>
      </w:r>
      <w:r w:rsidR="00C609BA" w:rsidRPr="00121A6A">
        <w:rPr>
          <w:sz w:val="24"/>
          <w:szCs w:val="24"/>
        </w:rPr>
        <w:t>artikel 28 Hv</w:t>
      </w:r>
      <w:r w:rsidR="00D4602B" w:rsidRPr="00121A6A">
        <w:rPr>
          <w:sz w:val="24"/>
          <w:szCs w:val="24"/>
        </w:rPr>
        <w:t xml:space="preserve"> </w:t>
      </w:r>
      <w:r w:rsidR="00652521" w:rsidRPr="00121A6A">
        <w:rPr>
          <w:sz w:val="24"/>
          <w:szCs w:val="24"/>
        </w:rPr>
        <w:t xml:space="preserve">in het kader van </w:t>
      </w:r>
      <w:r w:rsidR="00E01059">
        <w:rPr>
          <w:sz w:val="24"/>
          <w:szCs w:val="24"/>
        </w:rPr>
        <w:t xml:space="preserve">de </w:t>
      </w:r>
      <w:r w:rsidR="00652521" w:rsidRPr="00121A6A">
        <w:rPr>
          <w:sz w:val="24"/>
          <w:szCs w:val="24"/>
        </w:rPr>
        <w:t>uitleg van Verordening 261/2004</w:t>
      </w:r>
      <w:r w:rsidR="00302C98" w:rsidRPr="00121A6A">
        <w:rPr>
          <w:sz w:val="24"/>
          <w:szCs w:val="24"/>
        </w:rPr>
        <w:t>/EG</w:t>
      </w:r>
      <w:r w:rsidR="00652521" w:rsidRPr="00121A6A">
        <w:rPr>
          <w:sz w:val="24"/>
          <w:szCs w:val="24"/>
        </w:rPr>
        <w:t xml:space="preserve"> </w:t>
      </w:r>
      <w:r w:rsidR="003979A1">
        <w:rPr>
          <w:sz w:val="24"/>
          <w:szCs w:val="24"/>
        </w:rPr>
        <w:t>en</w:t>
      </w:r>
      <w:r w:rsidR="00652521" w:rsidRPr="00121A6A">
        <w:rPr>
          <w:sz w:val="24"/>
          <w:szCs w:val="24"/>
        </w:rPr>
        <w:t xml:space="preserve"> </w:t>
      </w:r>
      <w:r w:rsidR="00D4602B" w:rsidRPr="00121A6A">
        <w:rPr>
          <w:sz w:val="24"/>
          <w:szCs w:val="24"/>
        </w:rPr>
        <w:t xml:space="preserve">in </w:t>
      </w:r>
      <w:r w:rsidR="001033C4">
        <w:rPr>
          <w:sz w:val="24"/>
          <w:szCs w:val="24"/>
        </w:rPr>
        <w:t xml:space="preserve">het </w:t>
      </w:r>
      <w:r w:rsidR="00D4602B" w:rsidRPr="00121A6A">
        <w:rPr>
          <w:sz w:val="24"/>
          <w:szCs w:val="24"/>
        </w:rPr>
        <w:t xml:space="preserve">geval van </w:t>
      </w:r>
      <w:r w:rsidR="00652521" w:rsidRPr="00121A6A">
        <w:rPr>
          <w:sz w:val="24"/>
          <w:szCs w:val="24"/>
        </w:rPr>
        <w:t>een conflict met marktvrijheden</w:t>
      </w:r>
      <w:r w:rsidR="00765CF4" w:rsidRPr="00121A6A">
        <w:rPr>
          <w:sz w:val="24"/>
          <w:szCs w:val="24"/>
        </w:rPr>
        <w:t xml:space="preserve">. </w:t>
      </w:r>
      <w:bookmarkStart w:id="42" w:name="_Hlk163650917"/>
      <w:r w:rsidR="00652521" w:rsidRPr="00121A6A">
        <w:rPr>
          <w:sz w:val="24"/>
          <w:szCs w:val="24"/>
        </w:rPr>
        <w:t xml:space="preserve">In alle gevallen </w:t>
      </w:r>
      <w:r w:rsidR="008D452B" w:rsidRPr="00121A6A">
        <w:rPr>
          <w:sz w:val="24"/>
          <w:szCs w:val="24"/>
        </w:rPr>
        <w:t>speelde</w:t>
      </w:r>
      <w:r w:rsidR="00652521" w:rsidRPr="00121A6A">
        <w:rPr>
          <w:sz w:val="24"/>
          <w:szCs w:val="24"/>
        </w:rPr>
        <w:t xml:space="preserve"> </w:t>
      </w:r>
      <w:r w:rsidR="00C609BA" w:rsidRPr="00121A6A">
        <w:rPr>
          <w:sz w:val="24"/>
          <w:szCs w:val="24"/>
        </w:rPr>
        <w:t>de bepaling</w:t>
      </w:r>
      <w:r w:rsidR="00652521" w:rsidRPr="00121A6A">
        <w:rPr>
          <w:sz w:val="24"/>
          <w:szCs w:val="24"/>
        </w:rPr>
        <w:t xml:space="preserve"> </w:t>
      </w:r>
      <w:r w:rsidR="008D452B" w:rsidRPr="00121A6A">
        <w:rPr>
          <w:sz w:val="24"/>
          <w:szCs w:val="24"/>
        </w:rPr>
        <w:t xml:space="preserve">slechts </w:t>
      </w:r>
      <w:r w:rsidR="00652521" w:rsidRPr="00121A6A">
        <w:rPr>
          <w:sz w:val="24"/>
          <w:szCs w:val="24"/>
        </w:rPr>
        <w:t xml:space="preserve">een </w:t>
      </w:r>
      <w:r w:rsidR="00E53D27" w:rsidRPr="00121A6A">
        <w:rPr>
          <w:sz w:val="24"/>
          <w:szCs w:val="24"/>
        </w:rPr>
        <w:t>marginale</w:t>
      </w:r>
      <w:r w:rsidR="00652521" w:rsidRPr="00121A6A">
        <w:rPr>
          <w:sz w:val="24"/>
          <w:szCs w:val="24"/>
        </w:rPr>
        <w:t xml:space="preserve"> rol</w:t>
      </w:r>
      <w:r w:rsidR="0028375B">
        <w:rPr>
          <w:sz w:val="24"/>
          <w:szCs w:val="24"/>
        </w:rPr>
        <w:t>.</w:t>
      </w:r>
      <w:r w:rsidR="00652521" w:rsidRPr="00121A6A">
        <w:rPr>
          <w:sz w:val="24"/>
          <w:szCs w:val="24"/>
        </w:rPr>
        <w:t xml:space="preserve"> </w:t>
      </w:r>
      <w:r w:rsidR="0028375B">
        <w:rPr>
          <w:sz w:val="24"/>
          <w:szCs w:val="24"/>
        </w:rPr>
        <w:t>M</w:t>
      </w:r>
      <w:r w:rsidR="00D17C2D" w:rsidRPr="00121A6A">
        <w:rPr>
          <w:sz w:val="24"/>
          <w:szCs w:val="24"/>
        </w:rPr>
        <w:t>et name</w:t>
      </w:r>
      <w:r w:rsidR="00652521" w:rsidRPr="00121A6A">
        <w:rPr>
          <w:sz w:val="24"/>
          <w:szCs w:val="24"/>
        </w:rPr>
        <w:t xml:space="preserve"> </w:t>
      </w:r>
      <w:r w:rsidR="009B1594">
        <w:rPr>
          <w:sz w:val="24"/>
          <w:szCs w:val="24"/>
        </w:rPr>
        <w:t>in conflict met het vrij verkeer</w:t>
      </w:r>
      <w:r w:rsidR="00742EFB" w:rsidRPr="00121A6A">
        <w:rPr>
          <w:sz w:val="24"/>
          <w:szCs w:val="24"/>
        </w:rPr>
        <w:t xml:space="preserve"> is</w:t>
      </w:r>
      <w:r w:rsidR="00D17C2D" w:rsidRPr="00121A6A">
        <w:rPr>
          <w:sz w:val="24"/>
          <w:szCs w:val="24"/>
        </w:rPr>
        <w:t xml:space="preserve"> </w:t>
      </w:r>
      <w:r w:rsidR="00732470" w:rsidRPr="00121A6A">
        <w:rPr>
          <w:sz w:val="24"/>
          <w:szCs w:val="24"/>
        </w:rPr>
        <w:t>het grondrecht op collectieve actie</w:t>
      </w:r>
      <w:r w:rsidR="00742EFB" w:rsidRPr="00121A6A">
        <w:rPr>
          <w:sz w:val="24"/>
          <w:szCs w:val="24"/>
        </w:rPr>
        <w:t xml:space="preserve"> </w:t>
      </w:r>
      <w:r w:rsidR="00652521" w:rsidRPr="00121A6A">
        <w:rPr>
          <w:sz w:val="24"/>
          <w:szCs w:val="24"/>
        </w:rPr>
        <w:t>restrictief geïnterpreteerd.</w:t>
      </w:r>
      <w:bookmarkEnd w:id="42"/>
      <w:r w:rsidR="00652521" w:rsidRPr="00121A6A">
        <w:rPr>
          <w:sz w:val="24"/>
          <w:szCs w:val="24"/>
        </w:rPr>
        <w:t xml:space="preserve"> </w:t>
      </w:r>
      <w:r w:rsidR="00732470" w:rsidRPr="00121A6A">
        <w:rPr>
          <w:sz w:val="24"/>
          <w:szCs w:val="24"/>
        </w:rPr>
        <w:t>Dat komt doordat</w:t>
      </w:r>
      <w:r w:rsidR="003E0136" w:rsidRPr="00121A6A">
        <w:rPr>
          <w:sz w:val="24"/>
          <w:szCs w:val="24"/>
        </w:rPr>
        <w:t xml:space="preserve"> </w:t>
      </w:r>
      <w:r w:rsidR="00A64B64" w:rsidRPr="00121A6A">
        <w:rPr>
          <w:sz w:val="24"/>
          <w:szCs w:val="24"/>
        </w:rPr>
        <w:t xml:space="preserve">artikel 28 Hv </w:t>
      </w:r>
      <w:r w:rsidR="00732470" w:rsidRPr="00121A6A">
        <w:rPr>
          <w:sz w:val="24"/>
          <w:szCs w:val="24"/>
        </w:rPr>
        <w:t xml:space="preserve">in het huidige systeem </w:t>
      </w:r>
      <w:r w:rsidR="008D0E6D" w:rsidRPr="00121A6A">
        <w:rPr>
          <w:sz w:val="24"/>
          <w:szCs w:val="24"/>
        </w:rPr>
        <w:t>hooguit</w:t>
      </w:r>
      <w:r w:rsidR="00D44103" w:rsidRPr="00121A6A">
        <w:rPr>
          <w:sz w:val="24"/>
          <w:szCs w:val="24"/>
        </w:rPr>
        <w:t xml:space="preserve"> </w:t>
      </w:r>
      <w:r w:rsidR="00732470" w:rsidRPr="00121A6A">
        <w:rPr>
          <w:sz w:val="24"/>
          <w:szCs w:val="24"/>
        </w:rPr>
        <w:t xml:space="preserve">kan </w:t>
      </w:r>
      <w:r w:rsidR="00FD3553" w:rsidRPr="00121A6A">
        <w:rPr>
          <w:sz w:val="24"/>
          <w:szCs w:val="24"/>
        </w:rPr>
        <w:t>dienen</w:t>
      </w:r>
      <w:r w:rsidR="00A64B64" w:rsidRPr="00121A6A">
        <w:rPr>
          <w:sz w:val="24"/>
          <w:szCs w:val="24"/>
        </w:rPr>
        <w:t xml:space="preserve"> als uitzondering op het uitgangspunt van </w:t>
      </w:r>
      <w:r w:rsidR="009B1594">
        <w:rPr>
          <w:sz w:val="24"/>
          <w:szCs w:val="24"/>
        </w:rPr>
        <w:t>de interne markt</w:t>
      </w:r>
      <w:r w:rsidR="00A5341F" w:rsidRPr="00121A6A">
        <w:rPr>
          <w:sz w:val="24"/>
          <w:szCs w:val="24"/>
        </w:rPr>
        <w:t xml:space="preserve"> – een belemmering van het vrij verkeer activeert pas de toepasselijkheid van het Handvest –</w:t>
      </w:r>
      <w:r w:rsidR="00A64B64" w:rsidRPr="00121A6A">
        <w:rPr>
          <w:sz w:val="24"/>
          <w:szCs w:val="24"/>
        </w:rPr>
        <w:t xml:space="preserve"> maar nooit zelf het vertrekpunt </w:t>
      </w:r>
      <w:r w:rsidR="00C76077" w:rsidRPr="00121A6A">
        <w:rPr>
          <w:sz w:val="24"/>
          <w:szCs w:val="24"/>
        </w:rPr>
        <w:t>van toetsing</w:t>
      </w:r>
      <w:r w:rsidR="00732470" w:rsidRPr="00121A6A">
        <w:rPr>
          <w:sz w:val="24"/>
          <w:szCs w:val="24"/>
        </w:rPr>
        <w:t xml:space="preserve"> kan</w:t>
      </w:r>
      <w:r w:rsidR="00C76077" w:rsidRPr="00121A6A">
        <w:rPr>
          <w:sz w:val="24"/>
          <w:szCs w:val="24"/>
        </w:rPr>
        <w:t xml:space="preserve"> </w:t>
      </w:r>
      <w:r w:rsidR="00A64B64" w:rsidRPr="00121A6A">
        <w:rPr>
          <w:sz w:val="24"/>
          <w:szCs w:val="24"/>
        </w:rPr>
        <w:t>zijn.</w:t>
      </w:r>
      <w:r w:rsidR="005C5C45" w:rsidRPr="00121A6A">
        <w:rPr>
          <w:rStyle w:val="FootnoteReference"/>
          <w:sz w:val="24"/>
          <w:szCs w:val="24"/>
        </w:rPr>
        <w:footnoteReference w:id="102"/>
      </w:r>
      <w:r w:rsidR="00F47531" w:rsidRPr="00121A6A">
        <w:rPr>
          <w:sz w:val="24"/>
          <w:szCs w:val="24"/>
        </w:rPr>
        <w:t xml:space="preserve"> </w:t>
      </w:r>
      <w:r w:rsidR="00A64B64" w:rsidRPr="00121A6A">
        <w:rPr>
          <w:sz w:val="24"/>
          <w:szCs w:val="24"/>
        </w:rPr>
        <w:t>Hoe anders is dit onder het regime van het EVRM, ILO</w:t>
      </w:r>
      <w:r w:rsidR="00B773D6" w:rsidRPr="00121A6A">
        <w:rPr>
          <w:sz w:val="24"/>
          <w:szCs w:val="24"/>
        </w:rPr>
        <w:t>-Verdrag 87</w:t>
      </w:r>
      <w:r w:rsidR="00A64B64" w:rsidRPr="00121A6A">
        <w:rPr>
          <w:sz w:val="24"/>
          <w:szCs w:val="24"/>
        </w:rPr>
        <w:t xml:space="preserve"> en het ESH</w:t>
      </w:r>
      <w:r w:rsidR="003E0136" w:rsidRPr="00121A6A">
        <w:rPr>
          <w:sz w:val="24"/>
          <w:szCs w:val="24"/>
        </w:rPr>
        <w:t xml:space="preserve">, waarover </w:t>
      </w:r>
      <w:r w:rsidR="005A0B4B" w:rsidRPr="00121A6A">
        <w:rPr>
          <w:sz w:val="24"/>
          <w:szCs w:val="24"/>
        </w:rPr>
        <w:t>meer in het volgende hoofdstuk.</w:t>
      </w:r>
    </w:p>
    <w:bookmarkEnd w:id="41"/>
    <w:p w14:paraId="3ECD3463" w14:textId="77777777" w:rsidR="00E50DE5" w:rsidRPr="00121A6A" w:rsidRDefault="00E50DE5">
      <w:pPr>
        <w:rPr>
          <w:sz w:val="24"/>
          <w:szCs w:val="24"/>
        </w:rPr>
      </w:pPr>
      <w:r w:rsidRPr="00121A6A">
        <w:rPr>
          <w:sz w:val="24"/>
          <w:szCs w:val="24"/>
        </w:rPr>
        <w:br w:type="page"/>
      </w:r>
    </w:p>
    <w:p w14:paraId="5A9C51C2" w14:textId="69F46745" w:rsidR="00BA3986" w:rsidRPr="00121A6A" w:rsidRDefault="00BA3986" w:rsidP="00E50DE5">
      <w:pPr>
        <w:pStyle w:val="Heading1"/>
        <w:rPr>
          <w:szCs w:val="24"/>
        </w:rPr>
      </w:pPr>
      <w:bookmarkStart w:id="43" w:name="_Toc169963058"/>
      <w:r w:rsidRPr="00121A6A">
        <w:rPr>
          <w:szCs w:val="24"/>
        </w:rPr>
        <w:lastRenderedPageBreak/>
        <w:t>Hoofdstuk 3</w:t>
      </w:r>
      <w:r w:rsidR="009F557F" w:rsidRPr="00121A6A">
        <w:rPr>
          <w:szCs w:val="24"/>
        </w:rPr>
        <w:t>.</w:t>
      </w:r>
      <w:r w:rsidR="002E5A9C" w:rsidRPr="00121A6A">
        <w:rPr>
          <w:szCs w:val="24"/>
        </w:rPr>
        <w:t xml:space="preserve"> </w:t>
      </w:r>
      <w:r w:rsidR="0029480E">
        <w:rPr>
          <w:szCs w:val="24"/>
        </w:rPr>
        <w:t>H</w:t>
      </w:r>
      <w:r w:rsidR="002E5A9C" w:rsidRPr="00121A6A">
        <w:rPr>
          <w:szCs w:val="24"/>
        </w:rPr>
        <w:t>et</w:t>
      </w:r>
      <w:r w:rsidR="00D33B14" w:rsidRPr="00121A6A">
        <w:rPr>
          <w:szCs w:val="24"/>
        </w:rPr>
        <w:t xml:space="preserve"> stakingsrecht in de internationale rechtsorde</w:t>
      </w:r>
      <w:bookmarkEnd w:id="43"/>
    </w:p>
    <w:p w14:paraId="30A1AA8B" w14:textId="77777777" w:rsidR="00BA3986" w:rsidRPr="00121A6A" w:rsidRDefault="00BA3986" w:rsidP="00BA3986">
      <w:pPr>
        <w:spacing w:after="0"/>
        <w:jc w:val="both"/>
        <w:rPr>
          <w:sz w:val="24"/>
          <w:szCs w:val="24"/>
        </w:rPr>
      </w:pPr>
    </w:p>
    <w:p w14:paraId="543906EB" w14:textId="3975DA2D" w:rsidR="00BA3986" w:rsidRPr="00121A6A" w:rsidRDefault="00BA3986" w:rsidP="00BA3986">
      <w:pPr>
        <w:pStyle w:val="Heading2"/>
        <w:rPr>
          <w:sz w:val="24"/>
          <w:szCs w:val="24"/>
        </w:rPr>
      </w:pPr>
      <w:bookmarkStart w:id="44" w:name="_Toc169963059"/>
      <w:r w:rsidRPr="00121A6A">
        <w:rPr>
          <w:sz w:val="24"/>
          <w:szCs w:val="24"/>
        </w:rPr>
        <w:t>3.1 Inhoud</w:t>
      </w:r>
      <w:bookmarkEnd w:id="44"/>
    </w:p>
    <w:p w14:paraId="386CBDC5" w14:textId="7B95CEEC" w:rsidR="0057407C" w:rsidRPr="00121A6A" w:rsidRDefault="00F6475F" w:rsidP="00474723">
      <w:pPr>
        <w:spacing w:after="0"/>
        <w:jc w:val="both"/>
        <w:rPr>
          <w:sz w:val="24"/>
          <w:szCs w:val="24"/>
        </w:rPr>
      </w:pPr>
      <w:r w:rsidRPr="00121A6A">
        <w:rPr>
          <w:sz w:val="24"/>
          <w:szCs w:val="24"/>
        </w:rPr>
        <w:t>In d</w:t>
      </w:r>
      <w:r w:rsidR="0057407C" w:rsidRPr="00121A6A">
        <w:rPr>
          <w:sz w:val="24"/>
          <w:szCs w:val="24"/>
        </w:rPr>
        <w:t xml:space="preserve">it hoofdstuk </w:t>
      </w:r>
      <w:r w:rsidRPr="00121A6A">
        <w:rPr>
          <w:sz w:val="24"/>
          <w:szCs w:val="24"/>
        </w:rPr>
        <w:t xml:space="preserve">staat de tweede deelvraag </w:t>
      </w:r>
      <w:r w:rsidR="00100DAD" w:rsidRPr="00121A6A">
        <w:rPr>
          <w:sz w:val="24"/>
          <w:szCs w:val="24"/>
        </w:rPr>
        <w:t xml:space="preserve">centraal </w:t>
      </w:r>
      <w:r w:rsidRPr="00121A6A">
        <w:rPr>
          <w:sz w:val="24"/>
          <w:szCs w:val="24"/>
        </w:rPr>
        <w:t xml:space="preserve">naar </w:t>
      </w:r>
      <w:r w:rsidR="007A18E3" w:rsidRPr="00121A6A">
        <w:rPr>
          <w:sz w:val="24"/>
          <w:szCs w:val="24"/>
        </w:rPr>
        <w:t xml:space="preserve">de toetsingskaders van het EHRM, de </w:t>
      </w:r>
      <w:proofErr w:type="spellStart"/>
      <w:r w:rsidR="007A18E3" w:rsidRPr="00121A6A">
        <w:rPr>
          <w:sz w:val="24"/>
          <w:szCs w:val="24"/>
        </w:rPr>
        <w:t>CoE</w:t>
      </w:r>
      <w:proofErr w:type="spellEnd"/>
      <w:r w:rsidR="007A18E3" w:rsidRPr="00121A6A">
        <w:rPr>
          <w:sz w:val="24"/>
          <w:szCs w:val="24"/>
        </w:rPr>
        <w:t xml:space="preserve">/CFA en het ECSR met betrekking tot het stakingsrecht en de invloed </w:t>
      </w:r>
      <w:r w:rsidR="00100DAD" w:rsidRPr="00121A6A">
        <w:rPr>
          <w:sz w:val="24"/>
          <w:szCs w:val="24"/>
        </w:rPr>
        <w:t>die</w:t>
      </w:r>
      <w:r w:rsidR="007A18E3" w:rsidRPr="00121A6A">
        <w:rPr>
          <w:sz w:val="24"/>
          <w:szCs w:val="24"/>
        </w:rPr>
        <w:t xml:space="preserve"> deze toetsingskaders </w:t>
      </w:r>
      <w:r w:rsidR="006802C7" w:rsidRPr="00121A6A">
        <w:rPr>
          <w:sz w:val="24"/>
          <w:szCs w:val="24"/>
        </w:rPr>
        <w:t>(</w:t>
      </w:r>
      <w:r w:rsidR="00100DAD" w:rsidRPr="00121A6A">
        <w:rPr>
          <w:sz w:val="24"/>
          <w:szCs w:val="24"/>
        </w:rPr>
        <w:t>zouden moeten</w:t>
      </w:r>
      <w:r w:rsidR="006802C7" w:rsidRPr="00121A6A">
        <w:rPr>
          <w:sz w:val="24"/>
          <w:szCs w:val="24"/>
        </w:rPr>
        <w:t>)</w:t>
      </w:r>
      <w:r w:rsidR="00100DAD" w:rsidRPr="00121A6A">
        <w:rPr>
          <w:sz w:val="24"/>
          <w:szCs w:val="24"/>
        </w:rPr>
        <w:t xml:space="preserve"> hebben </w:t>
      </w:r>
      <w:r w:rsidR="007A18E3" w:rsidRPr="00121A6A">
        <w:rPr>
          <w:sz w:val="24"/>
          <w:szCs w:val="24"/>
        </w:rPr>
        <w:t>op de interpretatie van artikel 28 Hv. Aangevangen wordt</w:t>
      </w:r>
      <w:r w:rsidR="0057407C" w:rsidRPr="00121A6A">
        <w:rPr>
          <w:sz w:val="24"/>
          <w:szCs w:val="24"/>
        </w:rPr>
        <w:t xml:space="preserve"> met een</w:t>
      </w:r>
      <w:r w:rsidR="009D0376" w:rsidRPr="00121A6A">
        <w:rPr>
          <w:sz w:val="24"/>
          <w:szCs w:val="24"/>
        </w:rPr>
        <w:t xml:space="preserve"> korte</w:t>
      </w:r>
      <w:r w:rsidR="0057407C" w:rsidRPr="00121A6A">
        <w:rPr>
          <w:sz w:val="24"/>
          <w:szCs w:val="24"/>
        </w:rPr>
        <w:t xml:space="preserve"> </w:t>
      </w:r>
      <w:r w:rsidR="0083133D" w:rsidRPr="00121A6A">
        <w:rPr>
          <w:sz w:val="24"/>
          <w:szCs w:val="24"/>
        </w:rPr>
        <w:t xml:space="preserve">uiteenzetting en vergelijking van </w:t>
      </w:r>
      <w:r w:rsidR="00D05E62" w:rsidRPr="00121A6A">
        <w:rPr>
          <w:sz w:val="24"/>
          <w:szCs w:val="24"/>
        </w:rPr>
        <w:t>de</w:t>
      </w:r>
      <w:r w:rsidR="0083133D" w:rsidRPr="00121A6A">
        <w:rPr>
          <w:sz w:val="24"/>
          <w:szCs w:val="24"/>
        </w:rPr>
        <w:t xml:space="preserve"> grondrechtenstelsel</w:t>
      </w:r>
      <w:r w:rsidR="00D05E62" w:rsidRPr="00121A6A">
        <w:rPr>
          <w:sz w:val="24"/>
          <w:szCs w:val="24"/>
        </w:rPr>
        <w:t xml:space="preserve">s </w:t>
      </w:r>
      <w:r w:rsidR="00BF7479">
        <w:rPr>
          <w:sz w:val="24"/>
          <w:szCs w:val="24"/>
        </w:rPr>
        <w:t>van</w:t>
      </w:r>
      <w:r w:rsidR="0083133D" w:rsidRPr="00121A6A">
        <w:rPr>
          <w:sz w:val="24"/>
          <w:szCs w:val="24"/>
        </w:rPr>
        <w:t xml:space="preserve"> het EVRM, ILO-Verdrag 87</w:t>
      </w:r>
      <w:r w:rsidR="001503C7" w:rsidRPr="00121A6A">
        <w:rPr>
          <w:sz w:val="24"/>
          <w:szCs w:val="24"/>
        </w:rPr>
        <w:t xml:space="preserve"> </w:t>
      </w:r>
      <w:r w:rsidR="002B1081" w:rsidRPr="00121A6A">
        <w:rPr>
          <w:sz w:val="24"/>
          <w:szCs w:val="24"/>
        </w:rPr>
        <w:t xml:space="preserve">en het ESH </w:t>
      </w:r>
      <w:r w:rsidR="009D2040" w:rsidRPr="00121A6A">
        <w:rPr>
          <w:sz w:val="24"/>
          <w:szCs w:val="24"/>
        </w:rPr>
        <w:t>(par. 3.2)</w:t>
      </w:r>
      <w:r w:rsidR="0083133D" w:rsidRPr="00121A6A">
        <w:rPr>
          <w:sz w:val="24"/>
          <w:szCs w:val="24"/>
        </w:rPr>
        <w:t xml:space="preserve">. Daarna volgt </w:t>
      </w:r>
      <w:r w:rsidR="00E3072F">
        <w:rPr>
          <w:sz w:val="24"/>
          <w:szCs w:val="24"/>
        </w:rPr>
        <w:t>een</w:t>
      </w:r>
      <w:r w:rsidR="0083133D" w:rsidRPr="00121A6A">
        <w:rPr>
          <w:sz w:val="24"/>
          <w:szCs w:val="24"/>
        </w:rPr>
        <w:t xml:space="preserve"> </w:t>
      </w:r>
      <w:r w:rsidR="0057407C" w:rsidRPr="00121A6A">
        <w:rPr>
          <w:sz w:val="24"/>
          <w:szCs w:val="24"/>
        </w:rPr>
        <w:t xml:space="preserve">analyse van </w:t>
      </w:r>
      <w:r w:rsidR="009D2040" w:rsidRPr="00121A6A">
        <w:rPr>
          <w:sz w:val="24"/>
          <w:szCs w:val="24"/>
        </w:rPr>
        <w:t>de</w:t>
      </w:r>
      <w:r w:rsidR="0057407C" w:rsidRPr="00121A6A">
        <w:rPr>
          <w:sz w:val="24"/>
          <w:szCs w:val="24"/>
        </w:rPr>
        <w:t xml:space="preserve"> stakingsrecht</w:t>
      </w:r>
      <w:r w:rsidR="009D2040" w:rsidRPr="00121A6A">
        <w:rPr>
          <w:sz w:val="24"/>
          <w:szCs w:val="24"/>
        </w:rPr>
        <w:t>spraak</w:t>
      </w:r>
      <w:r w:rsidR="0057407C" w:rsidRPr="00121A6A">
        <w:rPr>
          <w:sz w:val="24"/>
          <w:szCs w:val="24"/>
        </w:rPr>
        <w:t xml:space="preserve"> </w:t>
      </w:r>
      <w:r w:rsidR="00D05E62" w:rsidRPr="00121A6A">
        <w:rPr>
          <w:sz w:val="24"/>
          <w:szCs w:val="24"/>
        </w:rPr>
        <w:t>voortvloeiend uit</w:t>
      </w:r>
      <w:r w:rsidR="00561381" w:rsidRPr="00121A6A">
        <w:rPr>
          <w:sz w:val="24"/>
          <w:szCs w:val="24"/>
        </w:rPr>
        <w:t xml:space="preserve"> </w:t>
      </w:r>
      <w:r w:rsidR="00D05E62" w:rsidRPr="00121A6A">
        <w:rPr>
          <w:sz w:val="24"/>
          <w:szCs w:val="24"/>
        </w:rPr>
        <w:t>deze stelsels</w:t>
      </w:r>
      <w:r w:rsidR="00474723" w:rsidRPr="00121A6A">
        <w:rPr>
          <w:sz w:val="24"/>
          <w:szCs w:val="24"/>
        </w:rPr>
        <w:t xml:space="preserve">, waarbij wordt nagegaan in </w:t>
      </w:r>
      <w:r w:rsidR="0057407C" w:rsidRPr="00121A6A">
        <w:rPr>
          <w:sz w:val="24"/>
          <w:szCs w:val="24"/>
        </w:rPr>
        <w:t>hoeverre het stakingsrecht</w:t>
      </w:r>
      <w:r w:rsidR="00474723" w:rsidRPr="00121A6A">
        <w:rPr>
          <w:sz w:val="24"/>
          <w:szCs w:val="24"/>
        </w:rPr>
        <w:t xml:space="preserve"> kan</w:t>
      </w:r>
      <w:r w:rsidR="0057407C" w:rsidRPr="00121A6A">
        <w:rPr>
          <w:sz w:val="24"/>
          <w:szCs w:val="24"/>
        </w:rPr>
        <w:t xml:space="preserve"> worden beperkt op economische gronden</w:t>
      </w:r>
      <w:r w:rsidR="006E70EC" w:rsidRPr="00121A6A">
        <w:rPr>
          <w:sz w:val="24"/>
          <w:szCs w:val="24"/>
        </w:rPr>
        <w:t xml:space="preserve"> (inclusief het vrij verkeer)</w:t>
      </w:r>
      <w:r w:rsidR="0057407C" w:rsidRPr="00121A6A">
        <w:rPr>
          <w:sz w:val="24"/>
          <w:szCs w:val="24"/>
        </w:rPr>
        <w:t xml:space="preserve"> en hoe </w:t>
      </w:r>
      <w:r w:rsidR="00474723" w:rsidRPr="00121A6A">
        <w:rPr>
          <w:sz w:val="24"/>
          <w:szCs w:val="24"/>
        </w:rPr>
        <w:t xml:space="preserve">dat </w:t>
      </w:r>
      <w:r w:rsidR="002818DC" w:rsidRPr="00121A6A">
        <w:rPr>
          <w:sz w:val="24"/>
          <w:szCs w:val="24"/>
        </w:rPr>
        <w:t xml:space="preserve">zich </w:t>
      </w:r>
      <w:r w:rsidR="0057407C" w:rsidRPr="00121A6A">
        <w:rPr>
          <w:sz w:val="24"/>
          <w:szCs w:val="24"/>
        </w:rPr>
        <w:t xml:space="preserve">verhoudt </w:t>
      </w:r>
      <w:r w:rsidR="002818DC">
        <w:rPr>
          <w:sz w:val="24"/>
          <w:szCs w:val="24"/>
        </w:rPr>
        <w:t>tot</w:t>
      </w:r>
      <w:r w:rsidR="0057407C" w:rsidRPr="00121A6A">
        <w:rPr>
          <w:sz w:val="24"/>
          <w:szCs w:val="24"/>
        </w:rPr>
        <w:t xml:space="preserve"> het in hoofdstuk </w:t>
      </w:r>
      <w:r w:rsidR="00D064CC">
        <w:rPr>
          <w:sz w:val="24"/>
          <w:szCs w:val="24"/>
        </w:rPr>
        <w:t>2</w:t>
      </w:r>
      <w:r w:rsidR="0057407C" w:rsidRPr="00121A6A">
        <w:rPr>
          <w:sz w:val="24"/>
          <w:szCs w:val="24"/>
        </w:rPr>
        <w:t xml:space="preserve"> vastgestelde raamwerk</w:t>
      </w:r>
      <w:r w:rsidR="00474723" w:rsidRPr="00121A6A">
        <w:rPr>
          <w:sz w:val="24"/>
          <w:szCs w:val="24"/>
        </w:rPr>
        <w:t xml:space="preserve"> (par. 3.3).</w:t>
      </w:r>
      <w:r w:rsidR="00584346" w:rsidRPr="00121A6A">
        <w:rPr>
          <w:sz w:val="24"/>
          <w:szCs w:val="24"/>
        </w:rPr>
        <w:t xml:space="preserve"> </w:t>
      </w:r>
      <w:r w:rsidR="001F4D0D" w:rsidRPr="00121A6A">
        <w:rPr>
          <w:sz w:val="24"/>
          <w:szCs w:val="24"/>
        </w:rPr>
        <w:t xml:space="preserve">Deze analyse legt bloot dat </w:t>
      </w:r>
      <w:r w:rsidR="00474723" w:rsidRPr="00121A6A">
        <w:rPr>
          <w:sz w:val="24"/>
          <w:szCs w:val="24"/>
        </w:rPr>
        <w:t xml:space="preserve">frictie </w:t>
      </w:r>
      <w:r w:rsidR="001F4D0D" w:rsidRPr="00121A6A">
        <w:rPr>
          <w:sz w:val="24"/>
          <w:szCs w:val="24"/>
        </w:rPr>
        <w:t xml:space="preserve">bestaat </w:t>
      </w:r>
      <w:r w:rsidR="00474723" w:rsidRPr="00121A6A">
        <w:rPr>
          <w:sz w:val="24"/>
          <w:szCs w:val="24"/>
        </w:rPr>
        <w:t xml:space="preserve">tussen het stakingsrecht </w:t>
      </w:r>
      <w:r w:rsidR="007917EC">
        <w:rPr>
          <w:sz w:val="24"/>
          <w:szCs w:val="24"/>
        </w:rPr>
        <w:t>in de verschillende rechtsordes</w:t>
      </w:r>
      <w:r w:rsidR="001F4D0D" w:rsidRPr="00121A6A">
        <w:rPr>
          <w:sz w:val="24"/>
          <w:szCs w:val="24"/>
        </w:rPr>
        <w:t>.</w:t>
      </w:r>
      <w:r w:rsidR="00474723" w:rsidRPr="00121A6A">
        <w:rPr>
          <w:sz w:val="24"/>
          <w:szCs w:val="24"/>
        </w:rPr>
        <w:t xml:space="preserve"> </w:t>
      </w:r>
      <w:r w:rsidR="001F4D0D" w:rsidRPr="00121A6A">
        <w:rPr>
          <w:sz w:val="24"/>
          <w:szCs w:val="24"/>
        </w:rPr>
        <w:t xml:space="preserve">Dat roept de vraag op in hoeverre het </w:t>
      </w:r>
      <w:r w:rsidR="002818DC">
        <w:rPr>
          <w:sz w:val="24"/>
          <w:szCs w:val="24"/>
        </w:rPr>
        <w:t>Unierecht</w:t>
      </w:r>
      <w:r w:rsidR="001F4D0D" w:rsidRPr="00121A6A">
        <w:rPr>
          <w:sz w:val="24"/>
          <w:szCs w:val="24"/>
        </w:rPr>
        <w:t xml:space="preserve"> voorziet in bepalingen </w:t>
      </w:r>
      <w:r w:rsidR="00E3072F">
        <w:rPr>
          <w:sz w:val="24"/>
          <w:szCs w:val="24"/>
        </w:rPr>
        <w:t>waarmee wordt beoogd</w:t>
      </w:r>
      <w:r w:rsidR="009D0376" w:rsidRPr="00121A6A">
        <w:rPr>
          <w:sz w:val="24"/>
          <w:szCs w:val="24"/>
        </w:rPr>
        <w:t xml:space="preserve"> </w:t>
      </w:r>
      <w:r w:rsidR="00E3072F">
        <w:rPr>
          <w:sz w:val="24"/>
          <w:szCs w:val="24"/>
        </w:rPr>
        <w:t xml:space="preserve">een </w:t>
      </w:r>
      <w:r w:rsidR="00C535E5" w:rsidRPr="00121A6A">
        <w:rPr>
          <w:sz w:val="24"/>
          <w:szCs w:val="24"/>
        </w:rPr>
        <w:t>dergelijk</w:t>
      </w:r>
      <w:r w:rsidR="001F4D0D" w:rsidRPr="00121A6A">
        <w:rPr>
          <w:sz w:val="24"/>
          <w:szCs w:val="24"/>
        </w:rPr>
        <w:t xml:space="preserve"> rechtsconflict </w:t>
      </w:r>
      <w:r w:rsidR="00C535E5" w:rsidRPr="00121A6A">
        <w:rPr>
          <w:sz w:val="24"/>
          <w:szCs w:val="24"/>
        </w:rPr>
        <w:t>tegen te gaan</w:t>
      </w:r>
      <w:r w:rsidR="001F4D0D" w:rsidRPr="00121A6A">
        <w:rPr>
          <w:sz w:val="24"/>
          <w:szCs w:val="24"/>
        </w:rPr>
        <w:t>.</w:t>
      </w:r>
      <w:r w:rsidR="00474723" w:rsidRPr="00121A6A">
        <w:rPr>
          <w:sz w:val="24"/>
          <w:szCs w:val="24"/>
        </w:rPr>
        <w:t xml:space="preserve"> </w:t>
      </w:r>
      <w:r w:rsidR="007917EC">
        <w:rPr>
          <w:sz w:val="24"/>
          <w:szCs w:val="24"/>
        </w:rPr>
        <w:t>D</w:t>
      </w:r>
      <w:r w:rsidR="0057407C" w:rsidRPr="00121A6A">
        <w:rPr>
          <w:sz w:val="24"/>
          <w:szCs w:val="24"/>
        </w:rPr>
        <w:t xml:space="preserve">iverse bepalingen </w:t>
      </w:r>
      <w:r w:rsidR="007917EC">
        <w:rPr>
          <w:sz w:val="24"/>
          <w:szCs w:val="24"/>
        </w:rPr>
        <w:t xml:space="preserve">lijken </w:t>
      </w:r>
      <w:r w:rsidR="0057407C" w:rsidRPr="00121A6A">
        <w:rPr>
          <w:sz w:val="24"/>
          <w:szCs w:val="24"/>
        </w:rPr>
        <w:t xml:space="preserve">het Hof te instrueren of </w:t>
      </w:r>
      <w:r w:rsidR="006802C7" w:rsidRPr="00121A6A">
        <w:rPr>
          <w:sz w:val="24"/>
          <w:szCs w:val="24"/>
        </w:rPr>
        <w:t xml:space="preserve">zelfs </w:t>
      </w:r>
      <w:r w:rsidR="0057407C" w:rsidRPr="00121A6A">
        <w:rPr>
          <w:sz w:val="24"/>
          <w:szCs w:val="24"/>
        </w:rPr>
        <w:t>dwingen zijn rechtspraak te conformeren aan</w:t>
      </w:r>
      <w:r w:rsidR="00A46356" w:rsidRPr="00121A6A">
        <w:rPr>
          <w:sz w:val="24"/>
          <w:szCs w:val="24"/>
        </w:rPr>
        <w:t xml:space="preserve"> </w:t>
      </w:r>
      <w:r w:rsidR="00A377D3" w:rsidRPr="00121A6A">
        <w:rPr>
          <w:sz w:val="24"/>
          <w:szCs w:val="24"/>
        </w:rPr>
        <w:t>EVRM-</w:t>
      </w:r>
      <w:r w:rsidR="002818DC">
        <w:rPr>
          <w:sz w:val="24"/>
          <w:szCs w:val="24"/>
        </w:rPr>
        <w:t>,</w:t>
      </w:r>
      <w:r w:rsidR="00A377D3" w:rsidRPr="00121A6A">
        <w:rPr>
          <w:sz w:val="24"/>
          <w:szCs w:val="24"/>
        </w:rPr>
        <w:t xml:space="preserve"> </w:t>
      </w:r>
      <w:r w:rsidR="002818DC">
        <w:rPr>
          <w:sz w:val="24"/>
          <w:szCs w:val="24"/>
        </w:rPr>
        <w:t>ILO</w:t>
      </w:r>
      <w:r w:rsidR="00A377D3" w:rsidRPr="00121A6A">
        <w:rPr>
          <w:sz w:val="24"/>
          <w:szCs w:val="24"/>
        </w:rPr>
        <w:t xml:space="preserve">- en </w:t>
      </w:r>
      <w:r w:rsidR="002818DC">
        <w:rPr>
          <w:sz w:val="24"/>
          <w:szCs w:val="24"/>
        </w:rPr>
        <w:t>ESH</w:t>
      </w:r>
      <w:r w:rsidR="00A377D3" w:rsidRPr="00121A6A">
        <w:rPr>
          <w:sz w:val="24"/>
          <w:szCs w:val="24"/>
        </w:rPr>
        <w:t xml:space="preserve">-recht </w:t>
      </w:r>
      <w:r w:rsidR="009D2040" w:rsidRPr="00121A6A">
        <w:rPr>
          <w:sz w:val="24"/>
          <w:szCs w:val="24"/>
        </w:rPr>
        <w:t>(par. 3.4)</w:t>
      </w:r>
      <w:r w:rsidR="0057407C" w:rsidRPr="00121A6A">
        <w:rPr>
          <w:sz w:val="24"/>
          <w:szCs w:val="24"/>
        </w:rPr>
        <w:t xml:space="preserve">. </w:t>
      </w:r>
      <w:r w:rsidR="00100DAD" w:rsidRPr="00121A6A">
        <w:rPr>
          <w:sz w:val="24"/>
          <w:szCs w:val="24"/>
        </w:rPr>
        <w:t>Desalniettemin wordt</w:t>
      </w:r>
      <w:r w:rsidR="007A18E3" w:rsidRPr="00121A6A">
        <w:rPr>
          <w:sz w:val="24"/>
          <w:szCs w:val="24"/>
        </w:rPr>
        <w:t xml:space="preserve"> geconcludeerd </w:t>
      </w:r>
      <w:r w:rsidR="00100DAD" w:rsidRPr="00121A6A">
        <w:rPr>
          <w:sz w:val="24"/>
          <w:szCs w:val="24"/>
        </w:rPr>
        <w:t>dat</w:t>
      </w:r>
      <w:r w:rsidR="004D626F" w:rsidRPr="00121A6A">
        <w:rPr>
          <w:sz w:val="24"/>
          <w:szCs w:val="24"/>
        </w:rPr>
        <w:t xml:space="preserve">, vanwege de </w:t>
      </w:r>
      <w:r w:rsidR="00D2366B" w:rsidRPr="00121A6A">
        <w:rPr>
          <w:sz w:val="24"/>
          <w:szCs w:val="24"/>
        </w:rPr>
        <w:t xml:space="preserve">divergerende </w:t>
      </w:r>
      <w:r w:rsidR="004D626F" w:rsidRPr="00121A6A">
        <w:rPr>
          <w:sz w:val="24"/>
          <w:szCs w:val="24"/>
        </w:rPr>
        <w:t xml:space="preserve">stelsels van grondrechtenbescherming, </w:t>
      </w:r>
      <w:r w:rsidR="007A18E3" w:rsidRPr="00121A6A">
        <w:rPr>
          <w:sz w:val="24"/>
          <w:szCs w:val="24"/>
        </w:rPr>
        <w:t xml:space="preserve">het in hoofdstuk </w:t>
      </w:r>
      <w:r w:rsidR="00D064CC">
        <w:rPr>
          <w:sz w:val="24"/>
          <w:szCs w:val="24"/>
        </w:rPr>
        <w:t>2</w:t>
      </w:r>
      <w:r w:rsidR="007A18E3" w:rsidRPr="00121A6A">
        <w:rPr>
          <w:sz w:val="24"/>
          <w:szCs w:val="24"/>
        </w:rPr>
        <w:t xml:space="preserve"> vastgestelde raamwerk </w:t>
      </w:r>
      <w:r w:rsidR="00100DAD" w:rsidRPr="00121A6A">
        <w:rPr>
          <w:sz w:val="24"/>
          <w:szCs w:val="24"/>
        </w:rPr>
        <w:t xml:space="preserve">niet </w:t>
      </w:r>
      <w:r w:rsidR="00334129" w:rsidRPr="00121A6A">
        <w:rPr>
          <w:sz w:val="24"/>
          <w:szCs w:val="24"/>
        </w:rPr>
        <w:t>(</w:t>
      </w:r>
      <w:r w:rsidR="00100DAD" w:rsidRPr="00121A6A">
        <w:rPr>
          <w:sz w:val="24"/>
          <w:szCs w:val="24"/>
        </w:rPr>
        <w:t>substantieel</w:t>
      </w:r>
      <w:r w:rsidR="00334129" w:rsidRPr="00121A6A">
        <w:rPr>
          <w:sz w:val="24"/>
          <w:szCs w:val="24"/>
        </w:rPr>
        <w:t>)</w:t>
      </w:r>
      <w:r w:rsidR="00100DAD" w:rsidRPr="00121A6A">
        <w:rPr>
          <w:sz w:val="24"/>
          <w:szCs w:val="24"/>
        </w:rPr>
        <w:t xml:space="preserve"> wordt</w:t>
      </w:r>
      <w:r w:rsidR="007A18E3" w:rsidRPr="00121A6A">
        <w:rPr>
          <w:sz w:val="24"/>
          <w:szCs w:val="24"/>
        </w:rPr>
        <w:t xml:space="preserve"> beïnvloed door </w:t>
      </w:r>
      <w:r w:rsidR="002B1AD7" w:rsidRPr="00121A6A">
        <w:rPr>
          <w:sz w:val="24"/>
          <w:szCs w:val="24"/>
        </w:rPr>
        <w:t>de stakings</w:t>
      </w:r>
      <w:r w:rsidR="007A18E3" w:rsidRPr="00121A6A">
        <w:rPr>
          <w:sz w:val="24"/>
          <w:szCs w:val="24"/>
        </w:rPr>
        <w:t>recht</w:t>
      </w:r>
      <w:r w:rsidR="002B1AD7" w:rsidRPr="00121A6A">
        <w:rPr>
          <w:sz w:val="24"/>
          <w:szCs w:val="24"/>
        </w:rPr>
        <w:t>spraak</w:t>
      </w:r>
      <w:r w:rsidR="00334129" w:rsidRPr="00121A6A">
        <w:rPr>
          <w:sz w:val="24"/>
          <w:szCs w:val="24"/>
        </w:rPr>
        <w:t xml:space="preserve"> uit Straatsburg en</w:t>
      </w:r>
      <w:r w:rsidR="009E273C" w:rsidRPr="00121A6A">
        <w:rPr>
          <w:sz w:val="24"/>
          <w:szCs w:val="24"/>
        </w:rPr>
        <w:t>/of</w:t>
      </w:r>
      <w:r w:rsidR="00334129" w:rsidRPr="00121A6A">
        <w:rPr>
          <w:sz w:val="24"/>
          <w:szCs w:val="24"/>
        </w:rPr>
        <w:t xml:space="preserve"> Genève</w:t>
      </w:r>
      <w:r w:rsidR="00186E3F" w:rsidRPr="00121A6A">
        <w:rPr>
          <w:sz w:val="24"/>
          <w:szCs w:val="24"/>
        </w:rPr>
        <w:t xml:space="preserve"> (par. 3.5)</w:t>
      </w:r>
      <w:r w:rsidR="004D626F" w:rsidRPr="00121A6A">
        <w:rPr>
          <w:sz w:val="24"/>
          <w:szCs w:val="24"/>
        </w:rPr>
        <w:t>.</w:t>
      </w:r>
    </w:p>
    <w:p w14:paraId="0F1E14D4" w14:textId="77777777" w:rsidR="003A2800" w:rsidRPr="00121A6A" w:rsidRDefault="003A2800" w:rsidP="00806E94">
      <w:pPr>
        <w:spacing w:after="0"/>
        <w:jc w:val="both"/>
        <w:rPr>
          <w:sz w:val="24"/>
          <w:szCs w:val="24"/>
        </w:rPr>
      </w:pPr>
    </w:p>
    <w:p w14:paraId="7CA57090" w14:textId="7237AFD3" w:rsidR="003A2800" w:rsidRPr="00121A6A" w:rsidRDefault="003A2800" w:rsidP="00D05E62">
      <w:pPr>
        <w:pStyle w:val="Heading2"/>
        <w:jc w:val="both"/>
        <w:rPr>
          <w:sz w:val="24"/>
          <w:szCs w:val="24"/>
        </w:rPr>
      </w:pPr>
      <w:bookmarkStart w:id="45" w:name="_Toc169963060"/>
      <w:r w:rsidRPr="00121A6A">
        <w:rPr>
          <w:sz w:val="24"/>
          <w:szCs w:val="24"/>
        </w:rPr>
        <w:t xml:space="preserve">3.2 </w:t>
      </w:r>
      <w:r w:rsidR="004D626F" w:rsidRPr="00121A6A">
        <w:rPr>
          <w:sz w:val="24"/>
          <w:szCs w:val="24"/>
        </w:rPr>
        <w:t>V</w:t>
      </w:r>
      <w:r w:rsidR="004D0BF3" w:rsidRPr="00121A6A">
        <w:rPr>
          <w:sz w:val="24"/>
          <w:szCs w:val="24"/>
        </w:rPr>
        <w:t>erschillende grondrechtenstelsels</w:t>
      </w:r>
      <w:r w:rsidR="004D626F" w:rsidRPr="00121A6A">
        <w:rPr>
          <w:sz w:val="24"/>
          <w:szCs w:val="24"/>
        </w:rPr>
        <w:t xml:space="preserve"> vergeleken</w:t>
      </w:r>
      <w:r w:rsidR="00D05E62" w:rsidRPr="00121A6A">
        <w:rPr>
          <w:sz w:val="24"/>
          <w:szCs w:val="24"/>
        </w:rPr>
        <w:t>: EVRM, ESH</w:t>
      </w:r>
      <w:r w:rsidR="0042343B" w:rsidRPr="00121A6A">
        <w:rPr>
          <w:sz w:val="24"/>
          <w:szCs w:val="24"/>
        </w:rPr>
        <w:t xml:space="preserve"> en ILO-Verdrag 87</w:t>
      </w:r>
      <w:bookmarkEnd w:id="45"/>
    </w:p>
    <w:p w14:paraId="1AC70071" w14:textId="20AAF8B0" w:rsidR="00E320A0" w:rsidRPr="00121A6A" w:rsidRDefault="00D513D2" w:rsidP="00E320A0">
      <w:pPr>
        <w:spacing w:after="0"/>
        <w:jc w:val="both"/>
        <w:rPr>
          <w:sz w:val="24"/>
          <w:szCs w:val="24"/>
        </w:rPr>
      </w:pPr>
      <w:r w:rsidRPr="00121A6A">
        <w:rPr>
          <w:sz w:val="24"/>
          <w:szCs w:val="24"/>
        </w:rPr>
        <w:t>I</w:t>
      </w:r>
      <w:r w:rsidR="008377BB" w:rsidRPr="00121A6A">
        <w:rPr>
          <w:sz w:val="24"/>
          <w:szCs w:val="24"/>
        </w:rPr>
        <w:t>n deze paragraaf</w:t>
      </w:r>
      <w:r w:rsidRPr="00121A6A">
        <w:rPr>
          <w:sz w:val="24"/>
          <w:szCs w:val="24"/>
        </w:rPr>
        <w:t xml:space="preserve"> wordt</w:t>
      </w:r>
      <w:r w:rsidR="008377BB" w:rsidRPr="00121A6A">
        <w:rPr>
          <w:sz w:val="24"/>
          <w:szCs w:val="24"/>
        </w:rPr>
        <w:t xml:space="preserve"> stilgestaan bij (relevante verschillen tussen) de grondrechtenstelsels </w:t>
      </w:r>
      <w:r w:rsidR="00A656F4">
        <w:rPr>
          <w:sz w:val="24"/>
          <w:szCs w:val="24"/>
        </w:rPr>
        <w:t>van</w:t>
      </w:r>
      <w:r w:rsidR="00DA14E6" w:rsidRPr="00121A6A">
        <w:rPr>
          <w:sz w:val="24"/>
          <w:szCs w:val="24"/>
        </w:rPr>
        <w:t xml:space="preserve"> het</w:t>
      </w:r>
      <w:r w:rsidR="00DE69DF" w:rsidRPr="00121A6A">
        <w:rPr>
          <w:sz w:val="24"/>
          <w:szCs w:val="24"/>
        </w:rPr>
        <w:t xml:space="preserve"> </w:t>
      </w:r>
      <w:r w:rsidRPr="00121A6A">
        <w:rPr>
          <w:sz w:val="24"/>
          <w:szCs w:val="24"/>
        </w:rPr>
        <w:t xml:space="preserve">EVRM, ILO-Verdrag 87 en </w:t>
      </w:r>
      <w:r w:rsidR="00DA14E6" w:rsidRPr="00121A6A">
        <w:rPr>
          <w:sz w:val="24"/>
          <w:szCs w:val="24"/>
        </w:rPr>
        <w:t xml:space="preserve">het </w:t>
      </w:r>
      <w:r w:rsidRPr="00121A6A">
        <w:rPr>
          <w:sz w:val="24"/>
          <w:szCs w:val="24"/>
        </w:rPr>
        <w:t>ESH</w:t>
      </w:r>
      <w:r w:rsidR="008377BB" w:rsidRPr="00121A6A">
        <w:rPr>
          <w:sz w:val="24"/>
          <w:szCs w:val="24"/>
        </w:rPr>
        <w:t xml:space="preserve">. Deze uiteenzetting verschaft een algemeen kader waarin de te bespreken uitspraken van het EHRM, de </w:t>
      </w:r>
      <w:proofErr w:type="spellStart"/>
      <w:r w:rsidR="008377BB" w:rsidRPr="00121A6A">
        <w:rPr>
          <w:sz w:val="24"/>
          <w:szCs w:val="24"/>
        </w:rPr>
        <w:t>CoE</w:t>
      </w:r>
      <w:proofErr w:type="spellEnd"/>
      <w:r w:rsidR="008377BB" w:rsidRPr="00121A6A">
        <w:rPr>
          <w:sz w:val="24"/>
          <w:szCs w:val="24"/>
        </w:rPr>
        <w:t>/CFA en het ECSR moeten worden geplaatst.</w:t>
      </w:r>
      <w:r w:rsidR="00E320A0" w:rsidRPr="00121A6A">
        <w:rPr>
          <w:sz w:val="24"/>
          <w:szCs w:val="24"/>
        </w:rPr>
        <w:t xml:space="preserve"> </w:t>
      </w:r>
    </w:p>
    <w:p w14:paraId="10E9C6EC" w14:textId="77777777" w:rsidR="00A92F1E" w:rsidRPr="00121A6A" w:rsidRDefault="00A92F1E" w:rsidP="00A92F1E">
      <w:pPr>
        <w:spacing w:after="0"/>
        <w:jc w:val="both"/>
        <w:rPr>
          <w:sz w:val="24"/>
          <w:szCs w:val="24"/>
        </w:rPr>
      </w:pPr>
    </w:p>
    <w:p w14:paraId="387D98C3" w14:textId="2B5DCF4C" w:rsidR="00A92F1E" w:rsidRPr="00121A6A" w:rsidRDefault="00A92F1E" w:rsidP="00A92F1E">
      <w:pPr>
        <w:pStyle w:val="Heading3"/>
        <w:jc w:val="both"/>
        <w:rPr>
          <w:sz w:val="24"/>
          <w:szCs w:val="24"/>
        </w:rPr>
      </w:pPr>
      <w:bookmarkStart w:id="46" w:name="_Toc169963061"/>
      <w:r w:rsidRPr="00121A6A">
        <w:rPr>
          <w:sz w:val="24"/>
          <w:szCs w:val="24"/>
        </w:rPr>
        <w:t>Handhaving</w:t>
      </w:r>
      <w:r w:rsidR="00311A24">
        <w:rPr>
          <w:sz w:val="24"/>
          <w:szCs w:val="24"/>
        </w:rPr>
        <w:t xml:space="preserve"> van</w:t>
      </w:r>
      <w:r w:rsidRPr="00121A6A">
        <w:rPr>
          <w:sz w:val="24"/>
          <w:szCs w:val="24"/>
        </w:rPr>
        <w:t xml:space="preserve"> EVRM-, </w:t>
      </w:r>
      <w:r w:rsidR="000E4DB2">
        <w:rPr>
          <w:sz w:val="24"/>
          <w:szCs w:val="24"/>
        </w:rPr>
        <w:t xml:space="preserve">ESH- en </w:t>
      </w:r>
      <w:r w:rsidR="009E273C" w:rsidRPr="00121A6A">
        <w:rPr>
          <w:sz w:val="24"/>
          <w:szCs w:val="24"/>
        </w:rPr>
        <w:t>ILO-</w:t>
      </w:r>
      <w:r w:rsidRPr="00121A6A">
        <w:rPr>
          <w:sz w:val="24"/>
          <w:szCs w:val="24"/>
        </w:rPr>
        <w:t>grondrechten</w:t>
      </w:r>
      <w:bookmarkEnd w:id="46"/>
    </w:p>
    <w:p w14:paraId="416CD96D" w14:textId="6E2C50BF" w:rsidR="00AF3126" w:rsidRPr="00121A6A" w:rsidRDefault="00E320A0" w:rsidP="00A92F1E">
      <w:pPr>
        <w:spacing w:after="0"/>
        <w:jc w:val="both"/>
        <w:rPr>
          <w:sz w:val="24"/>
          <w:szCs w:val="24"/>
        </w:rPr>
      </w:pPr>
      <w:r w:rsidRPr="00121A6A">
        <w:rPr>
          <w:sz w:val="24"/>
          <w:szCs w:val="24"/>
        </w:rPr>
        <w:t xml:space="preserve">Anders dan Uniegrondrechten (artikel 51 lid 1 Hv) zijn EVRM-, </w:t>
      </w:r>
      <w:r w:rsidR="00E71531">
        <w:rPr>
          <w:sz w:val="24"/>
          <w:szCs w:val="24"/>
        </w:rPr>
        <w:t xml:space="preserve">ESH- en </w:t>
      </w:r>
      <w:r w:rsidRPr="00121A6A">
        <w:rPr>
          <w:sz w:val="24"/>
          <w:szCs w:val="24"/>
        </w:rPr>
        <w:t xml:space="preserve">ILO-grondrechten </w:t>
      </w:r>
      <w:r w:rsidR="00D17CC4" w:rsidRPr="00121A6A">
        <w:rPr>
          <w:sz w:val="24"/>
          <w:szCs w:val="24"/>
        </w:rPr>
        <w:t>onvoorwaardelijk gericht</w:t>
      </w:r>
      <w:r w:rsidRPr="00121A6A">
        <w:rPr>
          <w:sz w:val="24"/>
          <w:szCs w:val="24"/>
        </w:rPr>
        <w:t xml:space="preserve"> </w:t>
      </w:r>
      <w:r w:rsidR="00D17CC4" w:rsidRPr="00121A6A">
        <w:rPr>
          <w:sz w:val="24"/>
          <w:szCs w:val="24"/>
        </w:rPr>
        <w:t xml:space="preserve">tot </w:t>
      </w:r>
      <w:r w:rsidR="009E273C" w:rsidRPr="00121A6A">
        <w:rPr>
          <w:sz w:val="24"/>
          <w:szCs w:val="24"/>
        </w:rPr>
        <w:t xml:space="preserve">de </w:t>
      </w:r>
      <w:r w:rsidR="00AD454D" w:rsidRPr="00121A6A">
        <w:rPr>
          <w:sz w:val="24"/>
          <w:szCs w:val="24"/>
        </w:rPr>
        <w:t xml:space="preserve">verdragsluitende </w:t>
      </w:r>
      <w:r w:rsidR="00D17CC4" w:rsidRPr="00121A6A">
        <w:rPr>
          <w:sz w:val="24"/>
          <w:szCs w:val="24"/>
        </w:rPr>
        <w:t>staten.</w:t>
      </w:r>
      <w:r w:rsidR="009E273C" w:rsidRPr="00121A6A">
        <w:rPr>
          <w:rStyle w:val="FootnoteReference"/>
          <w:sz w:val="24"/>
          <w:szCs w:val="24"/>
        </w:rPr>
        <w:footnoteReference w:id="103"/>
      </w:r>
      <w:r w:rsidR="00FF5174" w:rsidRPr="00121A6A">
        <w:rPr>
          <w:sz w:val="24"/>
          <w:szCs w:val="24"/>
        </w:rPr>
        <w:t xml:space="preserve"> Nationale </w:t>
      </w:r>
      <w:r w:rsidR="00B32100" w:rsidRPr="00121A6A">
        <w:rPr>
          <w:sz w:val="24"/>
          <w:szCs w:val="24"/>
        </w:rPr>
        <w:t>autoriteiten</w:t>
      </w:r>
      <w:r w:rsidR="00FF5174" w:rsidRPr="00121A6A">
        <w:rPr>
          <w:sz w:val="24"/>
          <w:szCs w:val="24"/>
        </w:rPr>
        <w:t xml:space="preserve"> moeten de</w:t>
      </w:r>
      <w:r w:rsidR="00FD2F0A" w:rsidRPr="00121A6A">
        <w:rPr>
          <w:sz w:val="24"/>
          <w:szCs w:val="24"/>
        </w:rPr>
        <w:t>ze</w:t>
      </w:r>
      <w:r w:rsidR="00FF5174" w:rsidRPr="00121A6A">
        <w:rPr>
          <w:sz w:val="24"/>
          <w:szCs w:val="24"/>
        </w:rPr>
        <w:t xml:space="preserve"> verdragsnormen dus steeds in acht nemen.</w:t>
      </w:r>
      <w:r w:rsidR="00B32100" w:rsidRPr="00121A6A">
        <w:rPr>
          <w:sz w:val="24"/>
          <w:szCs w:val="24"/>
        </w:rPr>
        <w:t xml:space="preserve"> Dat </w:t>
      </w:r>
      <w:r w:rsidR="00FF5174" w:rsidRPr="00121A6A">
        <w:rPr>
          <w:sz w:val="24"/>
          <w:szCs w:val="24"/>
        </w:rPr>
        <w:t>betekent echter niet dat</w:t>
      </w:r>
      <w:r w:rsidR="004F352F" w:rsidRPr="00121A6A">
        <w:rPr>
          <w:sz w:val="24"/>
          <w:szCs w:val="24"/>
        </w:rPr>
        <w:t xml:space="preserve"> </w:t>
      </w:r>
      <w:r w:rsidR="001503C7" w:rsidRPr="00121A6A">
        <w:rPr>
          <w:sz w:val="24"/>
          <w:szCs w:val="24"/>
        </w:rPr>
        <w:t>deze normen</w:t>
      </w:r>
      <w:r w:rsidR="00FF5174" w:rsidRPr="00121A6A">
        <w:rPr>
          <w:sz w:val="24"/>
          <w:szCs w:val="24"/>
        </w:rPr>
        <w:t xml:space="preserve"> ook </w:t>
      </w:r>
      <w:r w:rsidR="00153281" w:rsidRPr="00121A6A">
        <w:rPr>
          <w:sz w:val="24"/>
          <w:szCs w:val="24"/>
        </w:rPr>
        <w:t>op dezelfde manier kunnen worden afgedwongen.</w:t>
      </w:r>
      <w:r w:rsidR="009E7259" w:rsidRPr="00121A6A">
        <w:rPr>
          <w:sz w:val="24"/>
          <w:szCs w:val="24"/>
        </w:rPr>
        <w:t xml:space="preserve"> </w:t>
      </w:r>
      <w:r w:rsidR="007E2199" w:rsidRPr="00121A6A">
        <w:rPr>
          <w:sz w:val="24"/>
          <w:szCs w:val="24"/>
        </w:rPr>
        <w:t>O</w:t>
      </w:r>
      <w:r w:rsidR="00B97C1A" w:rsidRPr="00121A6A">
        <w:rPr>
          <w:sz w:val="24"/>
          <w:szCs w:val="24"/>
        </w:rPr>
        <w:t>vereenkomstig de artikelen 34 en 35 EVRM</w:t>
      </w:r>
      <w:r w:rsidR="00124ECF" w:rsidRPr="00121A6A">
        <w:rPr>
          <w:sz w:val="24"/>
          <w:szCs w:val="24"/>
        </w:rPr>
        <w:t xml:space="preserve"> </w:t>
      </w:r>
      <w:r w:rsidR="007E2199" w:rsidRPr="00121A6A">
        <w:rPr>
          <w:sz w:val="24"/>
          <w:szCs w:val="24"/>
        </w:rPr>
        <w:t xml:space="preserve">kunnen </w:t>
      </w:r>
      <w:r w:rsidR="007749FA" w:rsidRPr="00121A6A">
        <w:rPr>
          <w:sz w:val="24"/>
          <w:szCs w:val="24"/>
        </w:rPr>
        <w:t xml:space="preserve">bij het EHRM </w:t>
      </w:r>
      <w:r w:rsidR="007E2199" w:rsidRPr="00121A6A">
        <w:rPr>
          <w:sz w:val="24"/>
          <w:szCs w:val="24"/>
        </w:rPr>
        <w:t>individuele verzoekschriften worden</w:t>
      </w:r>
      <w:r w:rsidR="00B97C1A" w:rsidRPr="00121A6A">
        <w:rPr>
          <w:sz w:val="24"/>
          <w:szCs w:val="24"/>
        </w:rPr>
        <w:t xml:space="preserve"> </w:t>
      </w:r>
      <w:r w:rsidR="007E2199" w:rsidRPr="00121A6A">
        <w:rPr>
          <w:sz w:val="24"/>
          <w:szCs w:val="24"/>
        </w:rPr>
        <w:t>ingediend</w:t>
      </w:r>
      <w:r w:rsidR="00B97C1A" w:rsidRPr="00121A6A">
        <w:rPr>
          <w:sz w:val="24"/>
          <w:szCs w:val="24"/>
        </w:rPr>
        <w:t>.</w:t>
      </w:r>
      <w:r w:rsidR="00830EDF" w:rsidRPr="00121A6A">
        <w:rPr>
          <w:sz w:val="24"/>
          <w:szCs w:val="24"/>
        </w:rPr>
        <w:t xml:space="preserve"> </w:t>
      </w:r>
      <w:r w:rsidR="00B97C1A" w:rsidRPr="00121A6A">
        <w:rPr>
          <w:sz w:val="24"/>
          <w:szCs w:val="24"/>
        </w:rPr>
        <w:t>Daa</w:t>
      </w:r>
      <w:r w:rsidR="00830EDF" w:rsidRPr="00121A6A">
        <w:rPr>
          <w:sz w:val="24"/>
          <w:szCs w:val="24"/>
        </w:rPr>
        <w:t>rin</w:t>
      </w:r>
      <w:r w:rsidR="00124ECF" w:rsidRPr="00121A6A">
        <w:rPr>
          <w:sz w:val="24"/>
          <w:szCs w:val="24"/>
        </w:rPr>
        <w:t xml:space="preserve"> </w:t>
      </w:r>
      <w:r w:rsidR="00830EDF" w:rsidRPr="00121A6A">
        <w:rPr>
          <w:sz w:val="24"/>
          <w:szCs w:val="24"/>
        </w:rPr>
        <w:t xml:space="preserve">kan </w:t>
      </w:r>
      <w:r w:rsidR="00B72C60" w:rsidRPr="00121A6A">
        <w:rPr>
          <w:sz w:val="24"/>
          <w:szCs w:val="24"/>
        </w:rPr>
        <w:t xml:space="preserve">worden geklaagd over de onverenigbaarheid van </w:t>
      </w:r>
      <w:r w:rsidR="00830EDF" w:rsidRPr="00121A6A">
        <w:rPr>
          <w:sz w:val="24"/>
          <w:szCs w:val="24"/>
        </w:rPr>
        <w:t>nationaal recht</w:t>
      </w:r>
      <w:r w:rsidR="00B72C60" w:rsidRPr="00121A6A">
        <w:rPr>
          <w:sz w:val="24"/>
          <w:szCs w:val="24"/>
        </w:rPr>
        <w:t xml:space="preserve"> </w:t>
      </w:r>
      <w:r w:rsidR="00CA1202" w:rsidRPr="00121A6A">
        <w:rPr>
          <w:sz w:val="24"/>
          <w:szCs w:val="24"/>
        </w:rPr>
        <w:t>(inclusief rechterlijke uitspra</w:t>
      </w:r>
      <w:r w:rsidR="007E2199" w:rsidRPr="00121A6A">
        <w:rPr>
          <w:sz w:val="24"/>
          <w:szCs w:val="24"/>
        </w:rPr>
        <w:t>ken</w:t>
      </w:r>
      <w:r w:rsidR="00CA1202" w:rsidRPr="00121A6A">
        <w:rPr>
          <w:sz w:val="24"/>
          <w:szCs w:val="24"/>
        </w:rPr>
        <w:t xml:space="preserve">) </w:t>
      </w:r>
      <w:r w:rsidR="00B72C60" w:rsidRPr="00121A6A">
        <w:rPr>
          <w:sz w:val="24"/>
          <w:szCs w:val="24"/>
        </w:rPr>
        <w:t xml:space="preserve">met het EVRM. </w:t>
      </w:r>
      <w:r w:rsidR="00196734" w:rsidRPr="00121A6A">
        <w:rPr>
          <w:sz w:val="24"/>
          <w:szCs w:val="24"/>
        </w:rPr>
        <w:t xml:space="preserve">Als het EHRM de klacht gegrond bevindt, </w:t>
      </w:r>
      <w:r w:rsidR="007E2199" w:rsidRPr="00121A6A">
        <w:rPr>
          <w:sz w:val="24"/>
          <w:szCs w:val="24"/>
        </w:rPr>
        <w:t>dient de</w:t>
      </w:r>
      <w:r w:rsidR="00196734" w:rsidRPr="00121A6A">
        <w:rPr>
          <w:sz w:val="24"/>
          <w:szCs w:val="24"/>
        </w:rPr>
        <w:t xml:space="preserve"> </w:t>
      </w:r>
      <w:r w:rsidR="007E2199" w:rsidRPr="00121A6A">
        <w:rPr>
          <w:sz w:val="24"/>
          <w:szCs w:val="24"/>
        </w:rPr>
        <w:t xml:space="preserve">staat </w:t>
      </w:r>
      <w:r w:rsidR="00196734" w:rsidRPr="00121A6A">
        <w:rPr>
          <w:sz w:val="24"/>
          <w:szCs w:val="24"/>
        </w:rPr>
        <w:t>rechtsherstel</w:t>
      </w:r>
      <w:r w:rsidR="007749FA" w:rsidRPr="00121A6A">
        <w:rPr>
          <w:sz w:val="24"/>
          <w:szCs w:val="24"/>
        </w:rPr>
        <w:t xml:space="preserve"> </w:t>
      </w:r>
      <w:r w:rsidR="007E2199" w:rsidRPr="00121A6A">
        <w:rPr>
          <w:sz w:val="24"/>
          <w:szCs w:val="24"/>
        </w:rPr>
        <w:t xml:space="preserve">te bieden </w:t>
      </w:r>
      <w:r w:rsidR="007749FA" w:rsidRPr="00121A6A">
        <w:rPr>
          <w:sz w:val="24"/>
          <w:szCs w:val="24"/>
        </w:rPr>
        <w:t>(artikel 46 EVRM)</w:t>
      </w:r>
      <w:r w:rsidR="00196734" w:rsidRPr="00121A6A">
        <w:rPr>
          <w:sz w:val="24"/>
          <w:szCs w:val="24"/>
        </w:rPr>
        <w:t>.</w:t>
      </w:r>
      <w:r w:rsidR="001933B0" w:rsidRPr="00121A6A">
        <w:rPr>
          <w:sz w:val="24"/>
          <w:szCs w:val="24"/>
        </w:rPr>
        <w:t xml:space="preserve"> Daaruit volgt dat rechtspraak van het EHRM juridisch bindend is.</w:t>
      </w:r>
      <w:r w:rsidR="005A5805" w:rsidRPr="00121A6A">
        <w:rPr>
          <w:sz w:val="24"/>
          <w:szCs w:val="24"/>
        </w:rPr>
        <w:t xml:space="preserve"> </w:t>
      </w:r>
      <w:r w:rsidR="00BB4101" w:rsidRPr="00121A6A">
        <w:rPr>
          <w:sz w:val="24"/>
          <w:szCs w:val="24"/>
        </w:rPr>
        <w:t>O</w:t>
      </w:r>
      <w:r w:rsidR="001933B0" w:rsidRPr="00121A6A">
        <w:rPr>
          <w:sz w:val="24"/>
          <w:szCs w:val="24"/>
        </w:rPr>
        <w:t xml:space="preserve">verwegingen van de </w:t>
      </w:r>
      <w:proofErr w:type="spellStart"/>
      <w:r w:rsidR="001933B0" w:rsidRPr="00121A6A">
        <w:rPr>
          <w:sz w:val="24"/>
          <w:szCs w:val="24"/>
        </w:rPr>
        <w:t>CoE</w:t>
      </w:r>
      <w:proofErr w:type="spellEnd"/>
      <w:r w:rsidR="001933B0" w:rsidRPr="00121A6A">
        <w:rPr>
          <w:sz w:val="24"/>
          <w:szCs w:val="24"/>
        </w:rPr>
        <w:t>/CFA en het ECSR</w:t>
      </w:r>
      <w:r w:rsidR="00BB4101" w:rsidRPr="00121A6A">
        <w:rPr>
          <w:sz w:val="24"/>
          <w:szCs w:val="24"/>
        </w:rPr>
        <w:t xml:space="preserve"> zijn</w:t>
      </w:r>
      <w:r w:rsidR="001933B0" w:rsidRPr="00121A6A">
        <w:rPr>
          <w:sz w:val="24"/>
          <w:szCs w:val="24"/>
        </w:rPr>
        <w:t xml:space="preserve"> </w:t>
      </w:r>
      <w:r w:rsidR="00D817EC" w:rsidRPr="00121A6A">
        <w:rPr>
          <w:sz w:val="24"/>
          <w:szCs w:val="24"/>
        </w:rPr>
        <w:t xml:space="preserve">daarentegen </w:t>
      </w:r>
      <w:r w:rsidR="001933B0" w:rsidRPr="00121A6A">
        <w:rPr>
          <w:sz w:val="24"/>
          <w:szCs w:val="24"/>
        </w:rPr>
        <w:t>‘slechts’ gezaghebbend</w:t>
      </w:r>
      <w:r w:rsidR="008742AF" w:rsidRPr="00121A6A">
        <w:rPr>
          <w:sz w:val="24"/>
          <w:szCs w:val="24"/>
        </w:rPr>
        <w:t>.</w:t>
      </w:r>
      <w:r w:rsidR="001933B0" w:rsidRPr="00121A6A">
        <w:rPr>
          <w:rStyle w:val="FootnoteReference"/>
          <w:sz w:val="24"/>
          <w:szCs w:val="24"/>
        </w:rPr>
        <w:footnoteReference w:id="104"/>
      </w:r>
      <w:r w:rsidR="008742AF" w:rsidRPr="00121A6A">
        <w:rPr>
          <w:sz w:val="24"/>
          <w:szCs w:val="24"/>
        </w:rPr>
        <w:t xml:space="preserve"> </w:t>
      </w:r>
      <w:r w:rsidR="009D40C9" w:rsidRPr="00121A6A">
        <w:rPr>
          <w:sz w:val="24"/>
          <w:szCs w:val="24"/>
        </w:rPr>
        <w:t>Het</w:t>
      </w:r>
      <w:r w:rsidR="00552AA3" w:rsidRPr="00121A6A">
        <w:rPr>
          <w:sz w:val="24"/>
          <w:szCs w:val="24"/>
        </w:rPr>
        <w:t xml:space="preserve"> handhavingsmechanisme </w:t>
      </w:r>
      <w:r w:rsidR="00BF7479">
        <w:rPr>
          <w:sz w:val="24"/>
          <w:szCs w:val="24"/>
        </w:rPr>
        <w:t>van</w:t>
      </w:r>
      <w:r w:rsidR="00552AA3" w:rsidRPr="00121A6A">
        <w:rPr>
          <w:sz w:val="24"/>
          <w:szCs w:val="24"/>
        </w:rPr>
        <w:t xml:space="preserve"> </w:t>
      </w:r>
      <w:r w:rsidR="00E71531">
        <w:rPr>
          <w:sz w:val="24"/>
          <w:szCs w:val="24"/>
        </w:rPr>
        <w:t>het ESH en ILO-Verdrag 87</w:t>
      </w:r>
      <w:r w:rsidR="008742AF" w:rsidRPr="00121A6A">
        <w:rPr>
          <w:sz w:val="24"/>
          <w:szCs w:val="24"/>
        </w:rPr>
        <w:t xml:space="preserve"> </w:t>
      </w:r>
      <w:r w:rsidR="007764D8" w:rsidRPr="00121A6A">
        <w:rPr>
          <w:sz w:val="24"/>
          <w:szCs w:val="24"/>
        </w:rPr>
        <w:t>is tweezijdig</w:t>
      </w:r>
      <w:r w:rsidR="00796BB2" w:rsidRPr="00121A6A">
        <w:rPr>
          <w:sz w:val="24"/>
          <w:szCs w:val="24"/>
        </w:rPr>
        <w:t xml:space="preserve"> en </w:t>
      </w:r>
      <w:r w:rsidR="00857023" w:rsidRPr="00121A6A">
        <w:rPr>
          <w:sz w:val="24"/>
          <w:szCs w:val="24"/>
        </w:rPr>
        <w:t xml:space="preserve">lijkt </w:t>
      </w:r>
      <w:r w:rsidR="007E2199" w:rsidRPr="00121A6A">
        <w:rPr>
          <w:sz w:val="24"/>
          <w:szCs w:val="24"/>
        </w:rPr>
        <w:t>sterk</w:t>
      </w:r>
      <w:r w:rsidR="00857023" w:rsidRPr="00121A6A">
        <w:rPr>
          <w:sz w:val="24"/>
          <w:szCs w:val="24"/>
        </w:rPr>
        <w:t xml:space="preserve"> op</w:t>
      </w:r>
      <w:r w:rsidR="00796BB2" w:rsidRPr="00121A6A">
        <w:rPr>
          <w:sz w:val="24"/>
          <w:szCs w:val="24"/>
        </w:rPr>
        <w:t xml:space="preserve"> elkaar. </w:t>
      </w:r>
      <w:r w:rsidR="00E42360">
        <w:rPr>
          <w:sz w:val="24"/>
          <w:szCs w:val="24"/>
        </w:rPr>
        <w:t>Daarom</w:t>
      </w:r>
      <w:r w:rsidR="00796BB2" w:rsidRPr="00121A6A">
        <w:rPr>
          <w:sz w:val="24"/>
          <w:szCs w:val="24"/>
        </w:rPr>
        <w:t xml:space="preserve"> word</w:t>
      </w:r>
      <w:r w:rsidR="00E42360">
        <w:rPr>
          <w:sz w:val="24"/>
          <w:szCs w:val="24"/>
        </w:rPr>
        <w:t xml:space="preserve">en </w:t>
      </w:r>
      <w:r w:rsidR="00E71531">
        <w:rPr>
          <w:sz w:val="24"/>
          <w:szCs w:val="24"/>
        </w:rPr>
        <w:t>beide</w:t>
      </w:r>
      <w:r w:rsidR="00E42360">
        <w:rPr>
          <w:sz w:val="24"/>
          <w:szCs w:val="24"/>
        </w:rPr>
        <w:t xml:space="preserve"> toezichtsprocedures </w:t>
      </w:r>
      <w:r w:rsidR="00B12F72" w:rsidRPr="00121A6A">
        <w:rPr>
          <w:sz w:val="24"/>
          <w:szCs w:val="24"/>
        </w:rPr>
        <w:t>hierna</w:t>
      </w:r>
      <w:r w:rsidR="00E42360">
        <w:rPr>
          <w:sz w:val="24"/>
          <w:szCs w:val="24"/>
        </w:rPr>
        <w:t>, vanuit het perspectief van het ESH,</w:t>
      </w:r>
      <w:r w:rsidR="00D817EC" w:rsidRPr="00121A6A">
        <w:rPr>
          <w:sz w:val="24"/>
          <w:szCs w:val="24"/>
        </w:rPr>
        <w:t xml:space="preserve"> </w:t>
      </w:r>
      <w:r w:rsidR="00E42360">
        <w:rPr>
          <w:sz w:val="24"/>
          <w:szCs w:val="24"/>
        </w:rPr>
        <w:t>tezamen besproken.</w:t>
      </w:r>
      <w:r w:rsidR="00A45329">
        <w:rPr>
          <w:rStyle w:val="FootnoteReference"/>
          <w:sz w:val="24"/>
          <w:szCs w:val="24"/>
        </w:rPr>
        <w:footnoteReference w:id="105"/>
      </w:r>
    </w:p>
    <w:p w14:paraId="40AA4EA9" w14:textId="2DBC4B7E" w:rsidR="003F2F45" w:rsidRPr="00121A6A" w:rsidRDefault="00D77641" w:rsidP="00AF3126">
      <w:pPr>
        <w:spacing w:after="0"/>
        <w:ind w:firstLine="708"/>
        <w:jc w:val="both"/>
        <w:rPr>
          <w:sz w:val="24"/>
          <w:szCs w:val="24"/>
        </w:rPr>
      </w:pPr>
      <w:r w:rsidRPr="00121A6A">
        <w:rPr>
          <w:sz w:val="24"/>
          <w:szCs w:val="24"/>
        </w:rPr>
        <w:lastRenderedPageBreak/>
        <w:t>Ten eerste</w:t>
      </w:r>
      <w:r w:rsidR="007764D8" w:rsidRPr="00121A6A">
        <w:rPr>
          <w:sz w:val="24"/>
          <w:szCs w:val="24"/>
        </w:rPr>
        <w:t xml:space="preserve"> </w:t>
      </w:r>
      <w:r w:rsidR="007A7D5D" w:rsidRPr="00121A6A">
        <w:rPr>
          <w:sz w:val="24"/>
          <w:szCs w:val="24"/>
        </w:rPr>
        <w:t xml:space="preserve">moeten verdragsstaten </w:t>
      </w:r>
      <w:r w:rsidR="00425A15">
        <w:rPr>
          <w:sz w:val="24"/>
          <w:szCs w:val="24"/>
        </w:rPr>
        <w:t>bij tijden</w:t>
      </w:r>
      <w:r w:rsidR="007A7D5D" w:rsidRPr="00121A6A">
        <w:rPr>
          <w:sz w:val="24"/>
          <w:szCs w:val="24"/>
        </w:rPr>
        <w:t xml:space="preserve"> een landenrapport opmaken </w:t>
      </w:r>
      <w:r w:rsidR="00243B92" w:rsidRPr="00121A6A">
        <w:rPr>
          <w:sz w:val="24"/>
          <w:szCs w:val="24"/>
        </w:rPr>
        <w:t>waarin staat hoe ESH</w:t>
      </w:r>
      <w:r w:rsidR="008742AF" w:rsidRPr="00121A6A">
        <w:rPr>
          <w:sz w:val="24"/>
          <w:szCs w:val="24"/>
        </w:rPr>
        <w:t>-</w:t>
      </w:r>
      <w:r w:rsidR="007A7D5D" w:rsidRPr="00121A6A">
        <w:rPr>
          <w:sz w:val="24"/>
          <w:szCs w:val="24"/>
        </w:rPr>
        <w:t>voorschriften worden nageleefd.</w:t>
      </w:r>
      <w:r w:rsidR="00243B92" w:rsidRPr="00121A6A">
        <w:rPr>
          <w:sz w:val="24"/>
          <w:szCs w:val="24"/>
        </w:rPr>
        <w:t xml:space="preserve"> </w:t>
      </w:r>
      <w:r w:rsidR="00796BB2" w:rsidRPr="00121A6A">
        <w:rPr>
          <w:sz w:val="24"/>
          <w:szCs w:val="24"/>
        </w:rPr>
        <w:t>H</w:t>
      </w:r>
      <w:r w:rsidR="00243B92" w:rsidRPr="00121A6A">
        <w:rPr>
          <w:sz w:val="24"/>
          <w:szCs w:val="24"/>
        </w:rPr>
        <w:t xml:space="preserve">et ECSR </w:t>
      </w:r>
      <w:r w:rsidR="00796BB2" w:rsidRPr="00121A6A">
        <w:rPr>
          <w:sz w:val="24"/>
          <w:szCs w:val="24"/>
        </w:rPr>
        <w:t xml:space="preserve">(bij de ILO: de </w:t>
      </w:r>
      <w:proofErr w:type="spellStart"/>
      <w:r w:rsidR="00796BB2" w:rsidRPr="00121A6A">
        <w:rPr>
          <w:sz w:val="24"/>
          <w:szCs w:val="24"/>
        </w:rPr>
        <w:t>CoE</w:t>
      </w:r>
      <w:proofErr w:type="spellEnd"/>
      <w:r w:rsidR="00796BB2" w:rsidRPr="00121A6A">
        <w:rPr>
          <w:sz w:val="24"/>
          <w:szCs w:val="24"/>
        </w:rPr>
        <w:t>)</w:t>
      </w:r>
      <w:r w:rsidR="00B5304F" w:rsidRPr="00121A6A">
        <w:rPr>
          <w:sz w:val="24"/>
          <w:szCs w:val="24"/>
        </w:rPr>
        <w:t>, bestaande uit onafhankelijke experts op het gebied van sociale (grond)rechten,</w:t>
      </w:r>
      <w:r w:rsidR="00796BB2" w:rsidRPr="00121A6A">
        <w:rPr>
          <w:sz w:val="24"/>
          <w:szCs w:val="24"/>
        </w:rPr>
        <w:t xml:space="preserve"> </w:t>
      </w:r>
      <w:r w:rsidR="00243B92" w:rsidRPr="00121A6A">
        <w:rPr>
          <w:sz w:val="24"/>
          <w:szCs w:val="24"/>
        </w:rPr>
        <w:t>onderzoekt op basis van de</w:t>
      </w:r>
      <w:r w:rsidR="007A7D5D" w:rsidRPr="00121A6A">
        <w:rPr>
          <w:sz w:val="24"/>
          <w:szCs w:val="24"/>
        </w:rPr>
        <w:t>ze</w:t>
      </w:r>
      <w:r w:rsidR="00243B92" w:rsidRPr="00121A6A">
        <w:rPr>
          <w:sz w:val="24"/>
          <w:szCs w:val="24"/>
        </w:rPr>
        <w:t xml:space="preserve"> rapporten de situatie in de betreffende landen en beslist of </w:t>
      </w:r>
      <w:r w:rsidR="00D9293E" w:rsidRPr="00121A6A">
        <w:rPr>
          <w:sz w:val="24"/>
          <w:szCs w:val="24"/>
        </w:rPr>
        <w:t>deze</w:t>
      </w:r>
      <w:r w:rsidR="00243B92" w:rsidRPr="00121A6A">
        <w:rPr>
          <w:sz w:val="24"/>
          <w:szCs w:val="24"/>
        </w:rPr>
        <w:t xml:space="preserve"> </w:t>
      </w:r>
      <w:r w:rsidR="00AF3126" w:rsidRPr="00121A6A">
        <w:rPr>
          <w:sz w:val="24"/>
          <w:szCs w:val="24"/>
        </w:rPr>
        <w:t>ESH</w:t>
      </w:r>
      <w:r w:rsidR="001B0C81" w:rsidRPr="00121A6A">
        <w:rPr>
          <w:sz w:val="24"/>
          <w:szCs w:val="24"/>
        </w:rPr>
        <w:t>-conform is</w:t>
      </w:r>
      <w:r w:rsidR="00243B92" w:rsidRPr="00121A6A">
        <w:rPr>
          <w:sz w:val="24"/>
          <w:szCs w:val="24"/>
        </w:rPr>
        <w:t xml:space="preserve">. </w:t>
      </w:r>
      <w:r w:rsidR="000046B9" w:rsidRPr="00121A6A">
        <w:rPr>
          <w:sz w:val="24"/>
          <w:szCs w:val="24"/>
        </w:rPr>
        <w:t xml:space="preserve">De </w:t>
      </w:r>
      <w:r w:rsidR="00654E03" w:rsidRPr="00121A6A">
        <w:rPr>
          <w:sz w:val="24"/>
          <w:szCs w:val="24"/>
        </w:rPr>
        <w:t>opvolging</w:t>
      </w:r>
      <w:r w:rsidR="000046B9" w:rsidRPr="00121A6A">
        <w:rPr>
          <w:sz w:val="24"/>
          <w:szCs w:val="24"/>
        </w:rPr>
        <w:t xml:space="preserve"> van d</w:t>
      </w:r>
      <w:r w:rsidR="007A7D5D" w:rsidRPr="00121A6A">
        <w:rPr>
          <w:sz w:val="24"/>
          <w:szCs w:val="24"/>
        </w:rPr>
        <w:t>eze</w:t>
      </w:r>
      <w:r w:rsidR="00243B92" w:rsidRPr="00121A6A">
        <w:rPr>
          <w:sz w:val="24"/>
          <w:szCs w:val="24"/>
        </w:rPr>
        <w:t xml:space="preserve"> beslissingen, </w:t>
      </w:r>
      <w:r w:rsidR="00796BB2" w:rsidRPr="00121A6A">
        <w:rPr>
          <w:sz w:val="24"/>
          <w:szCs w:val="24"/>
        </w:rPr>
        <w:t>b</w:t>
      </w:r>
      <w:r w:rsidR="00243B92" w:rsidRPr="00121A6A">
        <w:rPr>
          <w:sz w:val="24"/>
          <w:szCs w:val="24"/>
        </w:rPr>
        <w:t xml:space="preserve">ekend als </w:t>
      </w:r>
      <w:r w:rsidR="007A7D5D" w:rsidRPr="00121A6A">
        <w:rPr>
          <w:sz w:val="24"/>
          <w:szCs w:val="24"/>
        </w:rPr>
        <w:t>c</w:t>
      </w:r>
      <w:r w:rsidR="00243B92" w:rsidRPr="00121A6A">
        <w:rPr>
          <w:sz w:val="24"/>
          <w:szCs w:val="24"/>
        </w:rPr>
        <w:t>onclusies, wordt verzekerd door het Comité van Ministers</w:t>
      </w:r>
      <w:r w:rsidR="00AA6DE5" w:rsidRPr="00121A6A">
        <w:rPr>
          <w:sz w:val="24"/>
          <w:szCs w:val="24"/>
        </w:rPr>
        <w:t xml:space="preserve"> (bij de ILO: </w:t>
      </w:r>
      <w:r w:rsidR="00AA6DE5" w:rsidRPr="0080665C">
        <w:rPr>
          <w:sz w:val="24"/>
          <w:szCs w:val="24"/>
        </w:rPr>
        <w:t xml:space="preserve">de </w:t>
      </w:r>
      <w:proofErr w:type="spellStart"/>
      <w:r w:rsidR="00AA6DE5" w:rsidRPr="0080665C">
        <w:rPr>
          <w:sz w:val="24"/>
          <w:szCs w:val="24"/>
        </w:rPr>
        <w:t>Committee</w:t>
      </w:r>
      <w:proofErr w:type="spellEnd"/>
      <w:r w:rsidR="00AA6DE5" w:rsidRPr="0080665C">
        <w:rPr>
          <w:sz w:val="24"/>
          <w:szCs w:val="24"/>
        </w:rPr>
        <w:t xml:space="preserve"> on Application of Standards</w:t>
      </w:r>
      <w:r w:rsidR="00975872" w:rsidRPr="00121A6A">
        <w:rPr>
          <w:sz w:val="24"/>
          <w:szCs w:val="24"/>
        </w:rPr>
        <w:t xml:space="preserve">, oftewel </w:t>
      </w:r>
      <w:r w:rsidR="001B0C81" w:rsidRPr="00121A6A">
        <w:rPr>
          <w:sz w:val="24"/>
          <w:szCs w:val="24"/>
        </w:rPr>
        <w:t xml:space="preserve">de </w:t>
      </w:r>
      <w:r w:rsidR="00AA6DE5" w:rsidRPr="00121A6A">
        <w:rPr>
          <w:sz w:val="24"/>
          <w:szCs w:val="24"/>
        </w:rPr>
        <w:t>CAS</w:t>
      </w:r>
      <w:r w:rsidR="000C6CC3" w:rsidRPr="00121A6A">
        <w:rPr>
          <w:sz w:val="24"/>
          <w:szCs w:val="24"/>
        </w:rPr>
        <w:t>, die tripartiet is samengesteld</w:t>
      </w:r>
      <w:r w:rsidR="002F74EB" w:rsidRPr="00121A6A">
        <w:rPr>
          <w:sz w:val="24"/>
          <w:szCs w:val="24"/>
        </w:rPr>
        <w:t xml:space="preserve"> uit afgevaardigden van regeringen, werkgevers en werknemers</w:t>
      </w:r>
      <w:r w:rsidR="00AA6DE5" w:rsidRPr="00121A6A">
        <w:rPr>
          <w:sz w:val="24"/>
          <w:szCs w:val="24"/>
        </w:rPr>
        <w:t>)</w:t>
      </w:r>
      <w:r w:rsidR="00243B92" w:rsidRPr="00121A6A">
        <w:rPr>
          <w:sz w:val="24"/>
          <w:szCs w:val="24"/>
        </w:rPr>
        <w:t xml:space="preserve">. </w:t>
      </w:r>
      <w:r w:rsidR="00AA6DE5" w:rsidRPr="00121A6A">
        <w:rPr>
          <w:sz w:val="24"/>
          <w:szCs w:val="24"/>
        </w:rPr>
        <w:t>Dit Comité</w:t>
      </w:r>
      <w:r w:rsidR="007A7D5D" w:rsidRPr="00121A6A">
        <w:rPr>
          <w:sz w:val="24"/>
          <w:szCs w:val="24"/>
        </w:rPr>
        <w:t xml:space="preserve"> neemt gezaghebbende</w:t>
      </w:r>
      <w:r w:rsidR="00243B92" w:rsidRPr="00121A6A">
        <w:rPr>
          <w:sz w:val="24"/>
          <w:szCs w:val="24"/>
        </w:rPr>
        <w:t xml:space="preserve"> </w:t>
      </w:r>
      <w:r w:rsidR="007A7D5D" w:rsidRPr="00121A6A">
        <w:rPr>
          <w:sz w:val="24"/>
          <w:szCs w:val="24"/>
        </w:rPr>
        <w:t>r</w:t>
      </w:r>
      <w:r w:rsidR="00243B92" w:rsidRPr="00121A6A">
        <w:rPr>
          <w:sz w:val="24"/>
          <w:szCs w:val="24"/>
        </w:rPr>
        <w:t>esolutie</w:t>
      </w:r>
      <w:r w:rsidR="007A7D5D" w:rsidRPr="00121A6A">
        <w:rPr>
          <w:sz w:val="24"/>
          <w:szCs w:val="24"/>
        </w:rPr>
        <w:t>s</w:t>
      </w:r>
      <w:r w:rsidR="00243B92" w:rsidRPr="00121A6A">
        <w:rPr>
          <w:sz w:val="24"/>
          <w:szCs w:val="24"/>
        </w:rPr>
        <w:t xml:space="preserve"> aan die individuele aanbevelingen </w:t>
      </w:r>
      <w:r w:rsidR="001B0C81" w:rsidRPr="00121A6A">
        <w:rPr>
          <w:sz w:val="24"/>
          <w:szCs w:val="24"/>
        </w:rPr>
        <w:t>kunnen</w:t>
      </w:r>
      <w:r w:rsidR="00243B92" w:rsidRPr="00121A6A">
        <w:rPr>
          <w:sz w:val="24"/>
          <w:szCs w:val="24"/>
        </w:rPr>
        <w:t xml:space="preserve"> bevatten.</w:t>
      </w:r>
      <w:r w:rsidRPr="00121A6A">
        <w:rPr>
          <w:sz w:val="24"/>
          <w:szCs w:val="24"/>
        </w:rPr>
        <w:t xml:space="preserve"> Ten tweede</w:t>
      </w:r>
      <w:r w:rsidR="00243B92" w:rsidRPr="00121A6A">
        <w:rPr>
          <w:sz w:val="24"/>
          <w:szCs w:val="24"/>
        </w:rPr>
        <w:t xml:space="preserve"> kan een collectieve klachtenprocedure worden </w:t>
      </w:r>
      <w:r w:rsidR="004533B2" w:rsidRPr="00121A6A">
        <w:rPr>
          <w:sz w:val="24"/>
          <w:szCs w:val="24"/>
        </w:rPr>
        <w:t>geïnitieerd</w:t>
      </w:r>
      <w:r w:rsidR="00287F32" w:rsidRPr="00121A6A">
        <w:rPr>
          <w:sz w:val="24"/>
          <w:szCs w:val="24"/>
        </w:rPr>
        <w:t xml:space="preserve">, althans indien de verwerende lidstaat het aanvullende </w:t>
      </w:r>
      <w:r w:rsidR="000C6CC3" w:rsidRPr="00121A6A">
        <w:rPr>
          <w:sz w:val="24"/>
          <w:szCs w:val="24"/>
        </w:rPr>
        <w:t>ESH-</w:t>
      </w:r>
      <w:r w:rsidR="00287F32" w:rsidRPr="00121A6A">
        <w:rPr>
          <w:sz w:val="24"/>
          <w:szCs w:val="24"/>
        </w:rPr>
        <w:t>protocol hieromtrent heeft geratificeerd</w:t>
      </w:r>
      <w:r w:rsidRPr="00121A6A">
        <w:rPr>
          <w:sz w:val="24"/>
          <w:szCs w:val="24"/>
        </w:rPr>
        <w:t>.</w:t>
      </w:r>
      <w:r w:rsidR="00243B92" w:rsidRPr="00121A6A">
        <w:rPr>
          <w:sz w:val="24"/>
          <w:szCs w:val="24"/>
        </w:rPr>
        <w:t xml:space="preserve"> </w:t>
      </w:r>
      <w:r w:rsidR="00E043C1" w:rsidRPr="00121A6A">
        <w:rPr>
          <w:sz w:val="24"/>
          <w:szCs w:val="24"/>
        </w:rPr>
        <w:t>Zoals de naam al zegt, ziet d</w:t>
      </w:r>
      <w:r w:rsidR="00243B92" w:rsidRPr="00121A6A">
        <w:rPr>
          <w:sz w:val="24"/>
          <w:szCs w:val="24"/>
        </w:rPr>
        <w:t>e</w:t>
      </w:r>
      <w:r w:rsidRPr="00121A6A">
        <w:rPr>
          <w:sz w:val="24"/>
          <w:szCs w:val="24"/>
        </w:rPr>
        <w:t>ze</w:t>
      </w:r>
      <w:r w:rsidR="00243B92" w:rsidRPr="00121A6A">
        <w:rPr>
          <w:sz w:val="24"/>
          <w:szCs w:val="24"/>
        </w:rPr>
        <w:t xml:space="preserve"> </w:t>
      </w:r>
      <w:r w:rsidRPr="00121A6A">
        <w:rPr>
          <w:sz w:val="24"/>
          <w:szCs w:val="24"/>
        </w:rPr>
        <w:t xml:space="preserve">procedure </w:t>
      </w:r>
      <w:r w:rsidR="00243B92" w:rsidRPr="00121A6A">
        <w:rPr>
          <w:sz w:val="24"/>
          <w:szCs w:val="24"/>
        </w:rPr>
        <w:t>niet op individuele gevallen</w:t>
      </w:r>
      <w:r w:rsidR="00060C93" w:rsidRPr="00121A6A">
        <w:rPr>
          <w:sz w:val="24"/>
          <w:szCs w:val="24"/>
        </w:rPr>
        <w:t xml:space="preserve">. </w:t>
      </w:r>
      <w:r w:rsidR="00E043C1" w:rsidRPr="00121A6A">
        <w:rPr>
          <w:sz w:val="24"/>
          <w:szCs w:val="24"/>
        </w:rPr>
        <w:t xml:space="preserve">De zaak </w:t>
      </w:r>
      <w:r w:rsidR="00243B92" w:rsidRPr="00121A6A">
        <w:rPr>
          <w:sz w:val="24"/>
          <w:szCs w:val="24"/>
        </w:rPr>
        <w:t xml:space="preserve">moet betrekking hebben op </w:t>
      </w:r>
      <w:r w:rsidRPr="00121A6A">
        <w:rPr>
          <w:sz w:val="24"/>
          <w:szCs w:val="24"/>
        </w:rPr>
        <w:t xml:space="preserve">(vermeende) </w:t>
      </w:r>
      <w:r w:rsidR="00243B92" w:rsidRPr="00121A6A">
        <w:rPr>
          <w:sz w:val="24"/>
          <w:szCs w:val="24"/>
        </w:rPr>
        <w:t xml:space="preserve">onverenigbaarheid van nationale wetgeving </w:t>
      </w:r>
      <w:r w:rsidR="001B0C81" w:rsidRPr="00121A6A">
        <w:rPr>
          <w:sz w:val="24"/>
          <w:szCs w:val="24"/>
        </w:rPr>
        <w:t>en/</w:t>
      </w:r>
      <w:r w:rsidR="00243B92" w:rsidRPr="00121A6A">
        <w:rPr>
          <w:sz w:val="24"/>
          <w:szCs w:val="24"/>
        </w:rPr>
        <w:t xml:space="preserve">of </w:t>
      </w:r>
      <w:r w:rsidRPr="00121A6A">
        <w:rPr>
          <w:sz w:val="24"/>
          <w:szCs w:val="24"/>
        </w:rPr>
        <w:t>(rechts)</w:t>
      </w:r>
      <w:r w:rsidR="00243B92" w:rsidRPr="00121A6A">
        <w:rPr>
          <w:sz w:val="24"/>
          <w:szCs w:val="24"/>
        </w:rPr>
        <w:t xml:space="preserve">praktijken met het ESH. Bovendien </w:t>
      </w:r>
      <w:r w:rsidR="006D3E29" w:rsidRPr="00121A6A">
        <w:rPr>
          <w:sz w:val="24"/>
          <w:szCs w:val="24"/>
        </w:rPr>
        <w:t xml:space="preserve">hebben </w:t>
      </w:r>
      <w:r w:rsidR="00243B92" w:rsidRPr="00121A6A">
        <w:rPr>
          <w:sz w:val="24"/>
          <w:szCs w:val="24"/>
        </w:rPr>
        <w:t xml:space="preserve">alleen specifiek aangeduide categorieën organisaties </w:t>
      </w:r>
      <w:r w:rsidR="006D3E29" w:rsidRPr="00121A6A">
        <w:rPr>
          <w:sz w:val="24"/>
          <w:szCs w:val="24"/>
        </w:rPr>
        <w:t xml:space="preserve">(en geen natuurlijke personen) </w:t>
      </w:r>
      <w:r w:rsidR="00243B92" w:rsidRPr="00121A6A">
        <w:rPr>
          <w:sz w:val="24"/>
          <w:szCs w:val="24"/>
        </w:rPr>
        <w:t xml:space="preserve">het recht </w:t>
      </w:r>
      <w:r w:rsidR="00DB7F9C">
        <w:rPr>
          <w:sz w:val="24"/>
          <w:szCs w:val="24"/>
        </w:rPr>
        <w:t xml:space="preserve">om </w:t>
      </w:r>
      <w:r w:rsidRPr="00121A6A">
        <w:rPr>
          <w:sz w:val="24"/>
          <w:szCs w:val="24"/>
        </w:rPr>
        <w:t xml:space="preserve">een </w:t>
      </w:r>
      <w:r w:rsidR="00C44A8B" w:rsidRPr="00121A6A">
        <w:rPr>
          <w:sz w:val="24"/>
          <w:szCs w:val="24"/>
        </w:rPr>
        <w:t xml:space="preserve">dergelijke </w:t>
      </w:r>
      <w:r w:rsidRPr="00121A6A">
        <w:rPr>
          <w:sz w:val="24"/>
          <w:szCs w:val="24"/>
        </w:rPr>
        <w:t>procedure te starten.</w:t>
      </w:r>
      <w:r w:rsidRPr="00121A6A">
        <w:rPr>
          <w:rStyle w:val="FootnoteReference"/>
          <w:sz w:val="24"/>
          <w:szCs w:val="24"/>
        </w:rPr>
        <w:footnoteReference w:id="106"/>
      </w:r>
      <w:r w:rsidR="00243B92" w:rsidRPr="00121A6A">
        <w:rPr>
          <w:sz w:val="24"/>
          <w:szCs w:val="24"/>
        </w:rPr>
        <w:t xml:space="preserve"> Indien de klacht ontvankelijk is, onderzoekt het ECSR </w:t>
      </w:r>
      <w:r w:rsidR="00796BB2" w:rsidRPr="00121A6A">
        <w:rPr>
          <w:sz w:val="24"/>
          <w:szCs w:val="24"/>
        </w:rPr>
        <w:t xml:space="preserve">(bij de ILO: </w:t>
      </w:r>
      <w:r w:rsidR="00342B75" w:rsidRPr="00121A6A">
        <w:rPr>
          <w:sz w:val="24"/>
          <w:szCs w:val="24"/>
        </w:rPr>
        <w:t>de</w:t>
      </w:r>
      <w:r w:rsidR="00796BB2" w:rsidRPr="00121A6A">
        <w:rPr>
          <w:sz w:val="24"/>
          <w:szCs w:val="24"/>
        </w:rPr>
        <w:t xml:space="preserve"> CFA</w:t>
      </w:r>
      <w:r w:rsidR="002F74EB" w:rsidRPr="00121A6A">
        <w:rPr>
          <w:sz w:val="24"/>
          <w:szCs w:val="24"/>
        </w:rPr>
        <w:t>, eveneens tripartiet samengesteld</w:t>
      </w:r>
      <w:r w:rsidR="00796BB2" w:rsidRPr="00121A6A">
        <w:rPr>
          <w:sz w:val="24"/>
          <w:szCs w:val="24"/>
        </w:rPr>
        <w:t xml:space="preserve">) </w:t>
      </w:r>
      <w:r w:rsidR="00450FA9" w:rsidRPr="00121A6A">
        <w:rPr>
          <w:sz w:val="24"/>
          <w:szCs w:val="24"/>
        </w:rPr>
        <w:t>deze</w:t>
      </w:r>
      <w:r w:rsidR="00243B92" w:rsidRPr="00121A6A">
        <w:rPr>
          <w:sz w:val="24"/>
          <w:szCs w:val="24"/>
        </w:rPr>
        <w:t xml:space="preserve"> inhoudelijk en neemt het een</w:t>
      </w:r>
      <w:r w:rsidR="00AF3126" w:rsidRPr="00121A6A">
        <w:rPr>
          <w:sz w:val="24"/>
          <w:szCs w:val="24"/>
        </w:rPr>
        <w:t xml:space="preserve"> </w:t>
      </w:r>
      <w:r w:rsidR="00243B92" w:rsidRPr="00121A6A">
        <w:rPr>
          <w:sz w:val="24"/>
          <w:szCs w:val="24"/>
        </w:rPr>
        <w:t>beslissing</w:t>
      </w:r>
      <w:r w:rsidR="00640E9A" w:rsidRPr="00121A6A">
        <w:rPr>
          <w:sz w:val="24"/>
          <w:szCs w:val="24"/>
        </w:rPr>
        <w:t>.</w:t>
      </w:r>
    </w:p>
    <w:p w14:paraId="5EAE77B0" w14:textId="580BB179" w:rsidR="00ED138A" w:rsidRPr="00121A6A" w:rsidRDefault="00C169C2" w:rsidP="00EB3DFC">
      <w:pPr>
        <w:spacing w:after="0"/>
        <w:ind w:firstLine="708"/>
        <w:jc w:val="both"/>
        <w:rPr>
          <w:sz w:val="24"/>
          <w:szCs w:val="24"/>
        </w:rPr>
      </w:pPr>
      <w:r w:rsidRPr="00121A6A">
        <w:rPr>
          <w:sz w:val="24"/>
          <w:szCs w:val="24"/>
        </w:rPr>
        <w:t>I</w:t>
      </w:r>
      <w:r w:rsidR="003F0D29" w:rsidRPr="00121A6A">
        <w:rPr>
          <w:sz w:val="24"/>
          <w:szCs w:val="24"/>
        </w:rPr>
        <w:t xml:space="preserve">n het kader van </w:t>
      </w:r>
      <w:r w:rsidR="009D5294" w:rsidRPr="00121A6A">
        <w:rPr>
          <w:sz w:val="24"/>
          <w:szCs w:val="24"/>
        </w:rPr>
        <w:t xml:space="preserve">de </w:t>
      </w:r>
      <w:r w:rsidR="003F0D29" w:rsidRPr="00121A6A">
        <w:rPr>
          <w:sz w:val="24"/>
          <w:szCs w:val="24"/>
        </w:rPr>
        <w:t>afdwingbaarheid</w:t>
      </w:r>
      <w:r w:rsidRPr="00121A6A">
        <w:rPr>
          <w:sz w:val="24"/>
          <w:szCs w:val="24"/>
        </w:rPr>
        <w:t xml:space="preserve"> is ten slotte</w:t>
      </w:r>
      <w:r w:rsidR="003F0D29" w:rsidRPr="00121A6A">
        <w:rPr>
          <w:sz w:val="24"/>
          <w:szCs w:val="24"/>
        </w:rPr>
        <w:t xml:space="preserve"> </w:t>
      </w:r>
      <w:r w:rsidR="00106ED0" w:rsidRPr="00121A6A">
        <w:rPr>
          <w:sz w:val="24"/>
          <w:szCs w:val="24"/>
        </w:rPr>
        <w:t>van belang dat g</w:t>
      </w:r>
      <w:r w:rsidR="00153281" w:rsidRPr="00121A6A">
        <w:rPr>
          <w:sz w:val="24"/>
          <w:szCs w:val="24"/>
        </w:rPr>
        <w:t xml:space="preserve">rondrechten primair bedoeld </w:t>
      </w:r>
      <w:r w:rsidR="00106ED0" w:rsidRPr="00121A6A">
        <w:rPr>
          <w:sz w:val="24"/>
          <w:szCs w:val="24"/>
        </w:rPr>
        <w:t xml:space="preserve">zijn </w:t>
      </w:r>
      <w:r w:rsidR="00153281" w:rsidRPr="00121A6A">
        <w:rPr>
          <w:sz w:val="24"/>
          <w:szCs w:val="24"/>
        </w:rPr>
        <w:t xml:space="preserve">als schild </w:t>
      </w:r>
      <w:r w:rsidR="003F0D29" w:rsidRPr="00121A6A">
        <w:rPr>
          <w:sz w:val="24"/>
          <w:szCs w:val="24"/>
        </w:rPr>
        <w:t>voor</w:t>
      </w:r>
      <w:r w:rsidR="00153281" w:rsidRPr="00121A6A">
        <w:rPr>
          <w:sz w:val="24"/>
          <w:szCs w:val="24"/>
        </w:rPr>
        <w:t xml:space="preserve"> burgers tegen overheidsoptreden. </w:t>
      </w:r>
      <w:bookmarkStart w:id="47" w:name="_Hlk163650933"/>
      <w:r w:rsidR="00153281" w:rsidRPr="00121A6A">
        <w:rPr>
          <w:sz w:val="24"/>
          <w:szCs w:val="24"/>
        </w:rPr>
        <w:t xml:space="preserve">De verschillende verdragen binden daarom in principe alleen </w:t>
      </w:r>
      <w:r w:rsidR="00D9293E" w:rsidRPr="00121A6A">
        <w:rPr>
          <w:sz w:val="24"/>
          <w:szCs w:val="24"/>
        </w:rPr>
        <w:t xml:space="preserve">de </w:t>
      </w:r>
      <w:r w:rsidR="00153281" w:rsidRPr="00121A6A">
        <w:rPr>
          <w:sz w:val="24"/>
          <w:szCs w:val="24"/>
        </w:rPr>
        <w:t>staten</w:t>
      </w:r>
      <w:r w:rsidR="00DB7F9C">
        <w:rPr>
          <w:sz w:val="24"/>
          <w:szCs w:val="24"/>
        </w:rPr>
        <w:t xml:space="preserve"> die daarbij partij zijn</w:t>
      </w:r>
      <w:r w:rsidR="006351AD">
        <w:rPr>
          <w:sz w:val="24"/>
          <w:szCs w:val="24"/>
        </w:rPr>
        <w:t>; a</w:t>
      </w:r>
      <w:r w:rsidR="00153281" w:rsidRPr="00121A6A">
        <w:rPr>
          <w:sz w:val="24"/>
          <w:szCs w:val="24"/>
        </w:rPr>
        <w:t xml:space="preserve">ls uitgangspunt </w:t>
      </w:r>
      <w:r w:rsidR="00D9293E" w:rsidRPr="00121A6A">
        <w:rPr>
          <w:sz w:val="24"/>
          <w:szCs w:val="24"/>
        </w:rPr>
        <w:t>kunnen</w:t>
      </w:r>
      <w:r w:rsidR="00153281" w:rsidRPr="00121A6A">
        <w:rPr>
          <w:sz w:val="24"/>
          <w:szCs w:val="24"/>
        </w:rPr>
        <w:t xml:space="preserve"> </w:t>
      </w:r>
      <w:r w:rsidR="00DB7F9C">
        <w:rPr>
          <w:sz w:val="24"/>
          <w:szCs w:val="24"/>
        </w:rPr>
        <w:t>particulieren de verdragsnormen</w:t>
      </w:r>
      <w:r w:rsidR="00153281" w:rsidRPr="00121A6A">
        <w:rPr>
          <w:sz w:val="24"/>
          <w:szCs w:val="24"/>
        </w:rPr>
        <w:t xml:space="preserve"> </w:t>
      </w:r>
      <w:r w:rsidR="003F0D29" w:rsidRPr="00121A6A">
        <w:rPr>
          <w:sz w:val="24"/>
          <w:szCs w:val="24"/>
        </w:rPr>
        <w:t xml:space="preserve">enkel </w:t>
      </w:r>
      <w:r w:rsidR="00DB7F9C">
        <w:rPr>
          <w:sz w:val="24"/>
          <w:szCs w:val="24"/>
        </w:rPr>
        <w:t xml:space="preserve">inroepen </w:t>
      </w:r>
      <w:r w:rsidR="00153281" w:rsidRPr="00121A6A">
        <w:rPr>
          <w:sz w:val="24"/>
          <w:szCs w:val="24"/>
        </w:rPr>
        <w:t xml:space="preserve">in </w:t>
      </w:r>
      <w:r w:rsidR="00DB7F9C">
        <w:rPr>
          <w:sz w:val="24"/>
          <w:szCs w:val="24"/>
        </w:rPr>
        <w:t xml:space="preserve">een </w:t>
      </w:r>
      <w:r w:rsidR="00153281" w:rsidRPr="00121A6A">
        <w:rPr>
          <w:sz w:val="24"/>
          <w:szCs w:val="24"/>
        </w:rPr>
        <w:t>verticale, publiekrechtelijke rechtsverhouding</w:t>
      </w:r>
      <w:bookmarkEnd w:id="47"/>
      <w:r w:rsidR="00153281" w:rsidRPr="00121A6A">
        <w:rPr>
          <w:sz w:val="24"/>
          <w:szCs w:val="24"/>
        </w:rPr>
        <w:t>.</w:t>
      </w:r>
      <w:r w:rsidR="00153281" w:rsidRPr="00121A6A">
        <w:rPr>
          <w:rStyle w:val="FootnoteReference"/>
          <w:sz w:val="24"/>
          <w:szCs w:val="24"/>
        </w:rPr>
        <w:footnoteReference w:id="107"/>
      </w:r>
      <w:r w:rsidR="00153281" w:rsidRPr="00121A6A">
        <w:rPr>
          <w:sz w:val="24"/>
          <w:szCs w:val="24"/>
        </w:rPr>
        <w:t xml:space="preserve"> </w:t>
      </w:r>
      <w:r w:rsidR="00612CD5" w:rsidRPr="00121A6A">
        <w:rPr>
          <w:sz w:val="24"/>
          <w:szCs w:val="24"/>
        </w:rPr>
        <w:t xml:space="preserve">Niettemin heeft het EHRM </w:t>
      </w:r>
      <w:r w:rsidR="00FE71A0" w:rsidRPr="00121A6A">
        <w:rPr>
          <w:sz w:val="24"/>
          <w:szCs w:val="24"/>
        </w:rPr>
        <w:t xml:space="preserve">zijn </w:t>
      </w:r>
      <w:r w:rsidR="00C1577E" w:rsidRPr="00121A6A">
        <w:rPr>
          <w:sz w:val="24"/>
          <w:szCs w:val="24"/>
        </w:rPr>
        <w:t>jurisdictie</w:t>
      </w:r>
      <w:r w:rsidR="00B94F12" w:rsidRPr="00121A6A">
        <w:rPr>
          <w:sz w:val="24"/>
          <w:szCs w:val="24"/>
        </w:rPr>
        <w:t xml:space="preserve"> uitgebreid door indirecte horizontale werking van EVRM-grondrechten</w:t>
      </w:r>
      <w:r w:rsidR="00E71531">
        <w:rPr>
          <w:sz w:val="24"/>
          <w:szCs w:val="24"/>
        </w:rPr>
        <w:t xml:space="preserve"> te aanvaarden</w:t>
      </w:r>
      <w:r w:rsidR="00224E34" w:rsidRPr="00121A6A">
        <w:rPr>
          <w:sz w:val="24"/>
          <w:szCs w:val="24"/>
        </w:rPr>
        <w:t>.</w:t>
      </w:r>
      <w:r w:rsidR="00B94F12" w:rsidRPr="00121A6A">
        <w:rPr>
          <w:rStyle w:val="FootnoteReference"/>
          <w:sz w:val="24"/>
          <w:szCs w:val="24"/>
        </w:rPr>
        <w:footnoteReference w:id="108"/>
      </w:r>
      <w:r w:rsidR="00375E9E" w:rsidRPr="00121A6A">
        <w:rPr>
          <w:sz w:val="24"/>
          <w:szCs w:val="24"/>
        </w:rPr>
        <w:t xml:space="preserve"> </w:t>
      </w:r>
      <w:r w:rsidR="00150D53" w:rsidRPr="00121A6A">
        <w:rPr>
          <w:sz w:val="24"/>
          <w:szCs w:val="24"/>
        </w:rPr>
        <w:t xml:space="preserve">Volgens deze doctrine </w:t>
      </w:r>
      <w:r w:rsidR="00375E9E" w:rsidRPr="00121A6A">
        <w:rPr>
          <w:sz w:val="24"/>
          <w:szCs w:val="24"/>
        </w:rPr>
        <w:t xml:space="preserve">kan op de nationale rechter die moet oordelen over </w:t>
      </w:r>
      <w:r w:rsidR="00FE71A0" w:rsidRPr="00121A6A">
        <w:rPr>
          <w:sz w:val="24"/>
          <w:szCs w:val="24"/>
        </w:rPr>
        <w:t xml:space="preserve">een </w:t>
      </w:r>
      <w:r w:rsidR="009F1558" w:rsidRPr="00121A6A">
        <w:rPr>
          <w:sz w:val="24"/>
          <w:szCs w:val="24"/>
        </w:rPr>
        <w:t>privaatrechtelijk</w:t>
      </w:r>
      <w:r w:rsidR="00375E9E" w:rsidRPr="00121A6A">
        <w:rPr>
          <w:sz w:val="24"/>
          <w:szCs w:val="24"/>
        </w:rPr>
        <w:t xml:space="preserve"> </w:t>
      </w:r>
      <w:r w:rsidR="00FE71A0" w:rsidRPr="00121A6A">
        <w:rPr>
          <w:sz w:val="24"/>
          <w:szCs w:val="24"/>
        </w:rPr>
        <w:t>rechts</w:t>
      </w:r>
      <w:r w:rsidR="00375E9E" w:rsidRPr="00121A6A">
        <w:rPr>
          <w:sz w:val="24"/>
          <w:szCs w:val="24"/>
        </w:rPr>
        <w:t>geschil</w:t>
      </w:r>
      <w:r w:rsidR="00150D53" w:rsidRPr="00121A6A">
        <w:rPr>
          <w:sz w:val="24"/>
          <w:szCs w:val="24"/>
        </w:rPr>
        <w:t xml:space="preserve"> </w:t>
      </w:r>
      <w:r w:rsidR="00375E9E" w:rsidRPr="00121A6A">
        <w:rPr>
          <w:sz w:val="24"/>
          <w:szCs w:val="24"/>
        </w:rPr>
        <w:t xml:space="preserve">een positieve verplichting </w:t>
      </w:r>
      <w:r w:rsidR="0081161C" w:rsidRPr="00121A6A">
        <w:rPr>
          <w:sz w:val="24"/>
          <w:szCs w:val="24"/>
        </w:rPr>
        <w:t>(inspannings</w:t>
      </w:r>
      <w:r w:rsidR="003956D1">
        <w:rPr>
          <w:sz w:val="24"/>
          <w:szCs w:val="24"/>
        </w:rPr>
        <w:t>-</w:t>
      </w:r>
      <w:r w:rsidR="0081161C" w:rsidRPr="00121A6A">
        <w:rPr>
          <w:sz w:val="24"/>
          <w:szCs w:val="24"/>
        </w:rPr>
        <w:t xml:space="preserve">verbintenis) </w:t>
      </w:r>
      <w:r w:rsidR="00375E9E" w:rsidRPr="00121A6A">
        <w:rPr>
          <w:sz w:val="24"/>
          <w:szCs w:val="24"/>
        </w:rPr>
        <w:t xml:space="preserve">rusten om </w:t>
      </w:r>
      <w:r w:rsidR="0081161C" w:rsidRPr="00121A6A">
        <w:rPr>
          <w:sz w:val="24"/>
          <w:szCs w:val="24"/>
        </w:rPr>
        <w:t>EVRM-</w:t>
      </w:r>
      <w:r w:rsidR="00375E9E" w:rsidRPr="00121A6A">
        <w:rPr>
          <w:sz w:val="24"/>
          <w:szCs w:val="24"/>
        </w:rPr>
        <w:t>grondrechten afdoende te waarborgen. Doo</w:t>
      </w:r>
      <w:r w:rsidR="007744EF" w:rsidRPr="00121A6A">
        <w:rPr>
          <w:sz w:val="24"/>
          <w:szCs w:val="24"/>
        </w:rPr>
        <w:t>r</w:t>
      </w:r>
      <w:r w:rsidR="00A129C1">
        <w:rPr>
          <w:sz w:val="24"/>
          <w:szCs w:val="24"/>
        </w:rPr>
        <w:t xml:space="preserve"> de</w:t>
      </w:r>
      <w:r w:rsidR="00375E9E" w:rsidRPr="00121A6A">
        <w:rPr>
          <w:sz w:val="24"/>
          <w:szCs w:val="24"/>
        </w:rPr>
        <w:t xml:space="preserve"> </w:t>
      </w:r>
      <w:r w:rsidR="00FE71A0" w:rsidRPr="00121A6A">
        <w:rPr>
          <w:sz w:val="24"/>
          <w:szCs w:val="24"/>
        </w:rPr>
        <w:t xml:space="preserve">betrokkenheid van </w:t>
      </w:r>
      <w:r w:rsidR="00375E9E" w:rsidRPr="00121A6A">
        <w:rPr>
          <w:sz w:val="24"/>
          <w:szCs w:val="24"/>
        </w:rPr>
        <w:t>een overheidsrechter kan het EVRM</w:t>
      </w:r>
      <w:r w:rsidR="00B70CE8" w:rsidRPr="00121A6A">
        <w:rPr>
          <w:sz w:val="24"/>
          <w:szCs w:val="24"/>
        </w:rPr>
        <w:t xml:space="preserve"> dus</w:t>
      </w:r>
      <w:r w:rsidR="00375E9E" w:rsidRPr="00121A6A">
        <w:rPr>
          <w:sz w:val="24"/>
          <w:szCs w:val="24"/>
        </w:rPr>
        <w:t xml:space="preserve"> toch indirect</w:t>
      </w:r>
      <w:r w:rsidR="00150D53" w:rsidRPr="00121A6A">
        <w:rPr>
          <w:sz w:val="24"/>
          <w:szCs w:val="24"/>
        </w:rPr>
        <w:t xml:space="preserve"> worden toegepast</w:t>
      </w:r>
      <w:r w:rsidR="00375E9E" w:rsidRPr="00121A6A">
        <w:rPr>
          <w:sz w:val="24"/>
          <w:szCs w:val="24"/>
        </w:rPr>
        <w:t xml:space="preserve"> op rechtsverhouding</w:t>
      </w:r>
      <w:r w:rsidR="00FE71A0" w:rsidRPr="00121A6A">
        <w:rPr>
          <w:sz w:val="24"/>
          <w:szCs w:val="24"/>
        </w:rPr>
        <w:t>en</w:t>
      </w:r>
      <w:r w:rsidR="00375E9E" w:rsidRPr="00121A6A">
        <w:rPr>
          <w:sz w:val="24"/>
          <w:szCs w:val="24"/>
        </w:rPr>
        <w:t xml:space="preserve"> tussen burgers onderling. </w:t>
      </w:r>
      <w:r w:rsidR="00C43B16" w:rsidRPr="00121A6A">
        <w:rPr>
          <w:sz w:val="24"/>
          <w:szCs w:val="24"/>
        </w:rPr>
        <w:t>Een individu d</w:t>
      </w:r>
      <w:r w:rsidR="00744AF9" w:rsidRPr="00121A6A">
        <w:rPr>
          <w:sz w:val="24"/>
          <w:szCs w:val="24"/>
        </w:rPr>
        <w:t>at</w:t>
      </w:r>
      <w:r w:rsidR="002E2C0D" w:rsidRPr="00121A6A">
        <w:rPr>
          <w:sz w:val="24"/>
          <w:szCs w:val="24"/>
        </w:rPr>
        <w:t xml:space="preserve"> </w:t>
      </w:r>
      <w:r w:rsidR="00C43B16" w:rsidRPr="00121A6A">
        <w:rPr>
          <w:sz w:val="24"/>
          <w:szCs w:val="24"/>
        </w:rPr>
        <w:t xml:space="preserve">meent dat </w:t>
      </w:r>
      <w:r w:rsidR="002E2C0D" w:rsidRPr="00121A6A">
        <w:rPr>
          <w:sz w:val="24"/>
          <w:szCs w:val="24"/>
        </w:rPr>
        <w:t xml:space="preserve">de nationale rechter </w:t>
      </w:r>
      <w:r w:rsidR="00C43B16" w:rsidRPr="00121A6A">
        <w:rPr>
          <w:sz w:val="24"/>
          <w:szCs w:val="24"/>
        </w:rPr>
        <w:t xml:space="preserve">zijn </w:t>
      </w:r>
      <w:r w:rsidR="002E2C0D" w:rsidRPr="00121A6A">
        <w:rPr>
          <w:sz w:val="24"/>
          <w:szCs w:val="24"/>
        </w:rPr>
        <w:t>EVRM-recht</w:t>
      </w:r>
      <w:r w:rsidR="00C43B16" w:rsidRPr="00121A6A">
        <w:rPr>
          <w:sz w:val="24"/>
          <w:szCs w:val="24"/>
        </w:rPr>
        <w:t xml:space="preserve">en </w:t>
      </w:r>
      <w:r w:rsidR="00D20472" w:rsidRPr="00121A6A">
        <w:rPr>
          <w:sz w:val="24"/>
          <w:szCs w:val="24"/>
        </w:rPr>
        <w:t xml:space="preserve">onvoldoende heeft </w:t>
      </w:r>
      <w:r w:rsidR="003956D1">
        <w:rPr>
          <w:sz w:val="24"/>
          <w:szCs w:val="24"/>
        </w:rPr>
        <w:t>beschermd</w:t>
      </w:r>
      <w:r w:rsidR="002E2C0D" w:rsidRPr="00121A6A">
        <w:rPr>
          <w:sz w:val="24"/>
          <w:szCs w:val="24"/>
        </w:rPr>
        <w:t xml:space="preserve">, </w:t>
      </w:r>
      <w:r w:rsidR="00C43B16" w:rsidRPr="00121A6A">
        <w:rPr>
          <w:sz w:val="24"/>
          <w:szCs w:val="24"/>
        </w:rPr>
        <w:t xml:space="preserve">kan </w:t>
      </w:r>
      <w:r w:rsidR="002E2C0D" w:rsidRPr="00121A6A">
        <w:rPr>
          <w:sz w:val="24"/>
          <w:szCs w:val="24"/>
        </w:rPr>
        <w:t>hierover klagen in Straatsburg.</w:t>
      </w:r>
      <w:r w:rsidR="0097163A" w:rsidRPr="00121A6A">
        <w:rPr>
          <w:rStyle w:val="FootnoteReference"/>
          <w:sz w:val="24"/>
          <w:szCs w:val="24"/>
        </w:rPr>
        <w:footnoteReference w:id="109"/>
      </w:r>
      <w:r w:rsidR="00060C93" w:rsidRPr="00121A6A">
        <w:rPr>
          <w:sz w:val="24"/>
          <w:szCs w:val="24"/>
        </w:rPr>
        <w:t xml:space="preserve"> </w:t>
      </w:r>
      <w:r w:rsidR="00F20943" w:rsidRPr="00121A6A">
        <w:rPr>
          <w:sz w:val="24"/>
          <w:szCs w:val="24"/>
        </w:rPr>
        <w:t xml:space="preserve">Omdat </w:t>
      </w:r>
      <w:r w:rsidR="00C41083">
        <w:rPr>
          <w:sz w:val="24"/>
          <w:szCs w:val="24"/>
        </w:rPr>
        <w:t>bij</w:t>
      </w:r>
      <w:r w:rsidR="00D05499">
        <w:rPr>
          <w:sz w:val="24"/>
          <w:szCs w:val="24"/>
        </w:rPr>
        <w:t xml:space="preserve"> ILO-Verdrag 87</w:t>
      </w:r>
      <w:r w:rsidR="00F20943" w:rsidRPr="00121A6A">
        <w:rPr>
          <w:sz w:val="24"/>
          <w:szCs w:val="24"/>
        </w:rPr>
        <w:t xml:space="preserve"> en het ESH </w:t>
      </w:r>
      <w:r w:rsidR="00BC31F4" w:rsidRPr="00121A6A">
        <w:rPr>
          <w:sz w:val="24"/>
          <w:szCs w:val="24"/>
        </w:rPr>
        <w:t xml:space="preserve">een individuele klachtenprocedure </w:t>
      </w:r>
      <w:r w:rsidR="00C41083">
        <w:rPr>
          <w:sz w:val="24"/>
          <w:szCs w:val="24"/>
        </w:rPr>
        <w:t>ontbreekt</w:t>
      </w:r>
      <w:r w:rsidR="00F20943" w:rsidRPr="00121A6A">
        <w:rPr>
          <w:sz w:val="24"/>
          <w:szCs w:val="24"/>
        </w:rPr>
        <w:t xml:space="preserve">, </w:t>
      </w:r>
      <w:r w:rsidR="00B70CE8" w:rsidRPr="00121A6A">
        <w:rPr>
          <w:sz w:val="24"/>
          <w:szCs w:val="24"/>
        </w:rPr>
        <w:t>is</w:t>
      </w:r>
      <w:r w:rsidR="00F20943" w:rsidRPr="00121A6A">
        <w:rPr>
          <w:sz w:val="24"/>
          <w:szCs w:val="24"/>
        </w:rPr>
        <w:t xml:space="preserve"> een dergelijke indirecte horizontale werking onder deze regimes niet</w:t>
      </w:r>
      <w:r w:rsidR="00B70CE8" w:rsidRPr="00121A6A">
        <w:rPr>
          <w:sz w:val="24"/>
          <w:szCs w:val="24"/>
        </w:rPr>
        <w:t xml:space="preserve"> mogelijk</w:t>
      </w:r>
      <w:r w:rsidR="00F20943" w:rsidRPr="00121A6A">
        <w:rPr>
          <w:sz w:val="24"/>
          <w:szCs w:val="24"/>
        </w:rPr>
        <w:t>.</w:t>
      </w:r>
      <w:r w:rsidR="009133CD" w:rsidRPr="00121A6A">
        <w:rPr>
          <w:rStyle w:val="FootnoteReference"/>
          <w:sz w:val="24"/>
          <w:szCs w:val="24"/>
        </w:rPr>
        <w:footnoteReference w:id="110"/>
      </w:r>
      <w:r w:rsidR="0026091A" w:rsidRPr="00121A6A">
        <w:rPr>
          <w:sz w:val="24"/>
          <w:szCs w:val="24"/>
        </w:rPr>
        <w:t xml:space="preserve"> </w:t>
      </w:r>
      <w:r w:rsidR="00F20943" w:rsidRPr="00121A6A">
        <w:rPr>
          <w:sz w:val="24"/>
          <w:szCs w:val="24"/>
        </w:rPr>
        <w:t>H</w:t>
      </w:r>
      <w:r w:rsidR="00D87F5A" w:rsidRPr="00121A6A">
        <w:rPr>
          <w:sz w:val="24"/>
          <w:szCs w:val="24"/>
        </w:rPr>
        <w:t xml:space="preserve">ooguit </w:t>
      </w:r>
      <w:r w:rsidR="00F20943" w:rsidRPr="00121A6A">
        <w:rPr>
          <w:sz w:val="24"/>
          <w:szCs w:val="24"/>
        </w:rPr>
        <w:t xml:space="preserve">kan </w:t>
      </w:r>
      <w:r w:rsidR="005A5805" w:rsidRPr="00121A6A">
        <w:rPr>
          <w:sz w:val="24"/>
          <w:szCs w:val="24"/>
        </w:rPr>
        <w:t>door niet-individuen via</w:t>
      </w:r>
      <w:r w:rsidR="0033311E" w:rsidRPr="00121A6A">
        <w:rPr>
          <w:sz w:val="24"/>
          <w:szCs w:val="24"/>
        </w:rPr>
        <w:t xml:space="preserve"> de collectieve klachtenprocedure de vraag worden voorgelegd naar de (on)</w:t>
      </w:r>
      <w:r w:rsidR="0026091A" w:rsidRPr="00121A6A">
        <w:rPr>
          <w:sz w:val="24"/>
          <w:szCs w:val="24"/>
        </w:rPr>
        <w:t>verenigbaarheid</w:t>
      </w:r>
      <w:r w:rsidR="0033311E" w:rsidRPr="00121A6A">
        <w:rPr>
          <w:sz w:val="24"/>
          <w:szCs w:val="24"/>
        </w:rPr>
        <w:t xml:space="preserve"> van</w:t>
      </w:r>
      <w:r w:rsidR="00D87F5A" w:rsidRPr="00121A6A">
        <w:rPr>
          <w:sz w:val="24"/>
          <w:szCs w:val="24"/>
        </w:rPr>
        <w:t xml:space="preserve"> </w:t>
      </w:r>
      <w:r w:rsidR="0033311E" w:rsidRPr="00121A6A">
        <w:rPr>
          <w:sz w:val="24"/>
          <w:szCs w:val="24"/>
        </w:rPr>
        <w:t>nationaal recht en/of nationale praktijken met</w:t>
      </w:r>
      <w:r w:rsidR="00FE4E8E">
        <w:rPr>
          <w:sz w:val="24"/>
          <w:szCs w:val="24"/>
        </w:rPr>
        <w:t xml:space="preserve"> de</w:t>
      </w:r>
      <w:r w:rsidR="006274C6" w:rsidRPr="00121A6A">
        <w:rPr>
          <w:sz w:val="24"/>
          <w:szCs w:val="24"/>
        </w:rPr>
        <w:t xml:space="preserve"> genoemde verdragen –</w:t>
      </w:r>
      <w:r w:rsidR="0033311E" w:rsidRPr="00121A6A">
        <w:rPr>
          <w:sz w:val="24"/>
          <w:szCs w:val="24"/>
        </w:rPr>
        <w:t xml:space="preserve"> </w:t>
      </w:r>
      <w:r w:rsidR="00D87F5A" w:rsidRPr="00121A6A">
        <w:rPr>
          <w:sz w:val="24"/>
          <w:szCs w:val="24"/>
        </w:rPr>
        <w:t>inclusief</w:t>
      </w:r>
      <w:r w:rsidR="0033311E" w:rsidRPr="00121A6A">
        <w:rPr>
          <w:sz w:val="24"/>
          <w:szCs w:val="24"/>
        </w:rPr>
        <w:t xml:space="preserve"> </w:t>
      </w:r>
      <w:r w:rsidR="007415F6" w:rsidRPr="00121A6A">
        <w:rPr>
          <w:sz w:val="24"/>
          <w:szCs w:val="24"/>
        </w:rPr>
        <w:t xml:space="preserve">de uitwerking daarvan </w:t>
      </w:r>
      <w:r w:rsidR="0033311E" w:rsidRPr="00121A6A">
        <w:rPr>
          <w:sz w:val="24"/>
          <w:szCs w:val="24"/>
        </w:rPr>
        <w:t>in horizontale verhoudingen.</w:t>
      </w:r>
      <w:r w:rsidR="0026091A" w:rsidRPr="00121A6A">
        <w:rPr>
          <w:sz w:val="24"/>
          <w:szCs w:val="24"/>
        </w:rPr>
        <w:t xml:space="preserve"> </w:t>
      </w:r>
      <w:r w:rsidR="001C22CF" w:rsidRPr="00121A6A">
        <w:rPr>
          <w:sz w:val="24"/>
          <w:szCs w:val="24"/>
        </w:rPr>
        <w:t>Daarnaast</w:t>
      </w:r>
      <w:r w:rsidR="0026091A" w:rsidRPr="00121A6A">
        <w:rPr>
          <w:sz w:val="24"/>
          <w:szCs w:val="24"/>
        </w:rPr>
        <w:t xml:space="preserve"> hebben de overwegingen van de </w:t>
      </w:r>
      <w:proofErr w:type="spellStart"/>
      <w:r w:rsidR="0026091A" w:rsidRPr="00121A6A">
        <w:rPr>
          <w:sz w:val="24"/>
          <w:szCs w:val="24"/>
        </w:rPr>
        <w:t>CoE</w:t>
      </w:r>
      <w:proofErr w:type="spellEnd"/>
      <w:r w:rsidR="0026091A" w:rsidRPr="00121A6A">
        <w:rPr>
          <w:sz w:val="24"/>
          <w:szCs w:val="24"/>
        </w:rPr>
        <w:t xml:space="preserve">/CFA en het ECSR allicht invloed op </w:t>
      </w:r>
      <w:r w:rsidR="00A13A43" w:rsidRPr="00121A6A">
        <w:rPr>
          <w:sz w:val="24"/>
          <w:szCs w:val="24"/>
        </w:rPr>
        <w:t xml:space="preserve">nationale </w:t>
      </w:r>
      <w:r w:rsidR="0026091A" w:rsidRPr="00121A6A">
        <w:rPr>
          <w:sz w:val="24"/>
          <w:szCs w:val="24"/>
        </w:rPr>
        <w:t>stakingsrechtspraak, ook in horizontale rechtsverhoudingen.</w:t>
      </w:r>
    </w:p>
    <w:p w14:paraId="7063B3C8" w14:textId="77777777" w:rsidR="00A92F1E" w:rsidRPr="00121A6A" w:rsidRDefault="00A92F1E" w:rsidP="00A92F1E">
      <w:pPr>
        <w:spacing w:after="0"/>
        <w:jc w:val="both"/>
        <w:rPr>
          <w:sz w:val="24"/>
          <w:szCs w:val="24"/>
        </w:rPr>
      </w:pPr>
    </w:p>
    <w:p w14:paraId="3E9E6866" w14:textId="5EAEEF74" w:rsidR="00A92F1E" w:rsidRPr="00121A6A" w:rsidRDefault="00A92F1E" w:rsidP="00A92F1E">
      <w:pPr>
        <w:pStyle w:val="Heading3"/>
        <w:jc w:val="both"/>
        <w:rPr>
          <w:sz w:val="24"/>
          <w:szCs w:val="24"/>
        </w:rPr>
      </w:pPr>
      <w:bookmarkStart w:id="48" w:name="_Toc169963062"/>
      <w:r w:rsidRPr="00121A6A">
        <w:rPr>
          <w:sz w:val="24"/>
          <w:szCs w:val="24"/>
        </w:rPr>
        <w:lastRenderedPageBreak/>
        <w:t>Het stakingsrecht onder de verschillende stelsels</w:t>
      </w:r>
      <w:bookmarkEnd w:id="48"/>
    </w:p>
    <w:p w14:paraId="4C900672" w14:textId="2FD7E38B" w:rsidR="00A6559E" w:rsidRPr="00121A6A" w:rsidRDefault="00BF456A" w:rsidP="00A92F1E">
      <w:pPr>
        <w:spacing w:after="0"/>
        <w:jc w:val="both"/>
        <w:rPr>
          <w:sz w:val="24"/>
          <w:szCs w:val="24"/>
        </w:rPr>
      </w:pPr>
      <w:r w:rsidRPr="00121A6A">
        <w:rPr>
          <w:sz w:val="24"/>
          <w:szCs w:val="24"/>
        </w:rPr>
        <w:t xml:space="preserve">Aan het slot van deze paragraaf moet </w:t>
      </w:r>
      <w:r w:rsidR="00C169C2" w:rsidRPr="00121A6A">
        <w:rPr>
          <w:sz w:val="24"/>
          <w:szCs w:val="24"/>
        </w:rPr>
        <w:t xml:space="preserve">een korte opmerking worden gemaakt over </w:t>
      </w:r>
      <w:r w:rsidRPr="00121A6A">
        <w:rPr>
          <w:sz w:val="24"/>
          <w:szCs w:val="24"/>
        </w:rPr>
        <w:t>het stakingsrecht</w:t>
      </w:r>
      <w:r w:rsidR="00C169C2" w:rsidRPr="00121A6A">
        <w:rPr>
          <w:sz w:val="24"/>
          <w:szCs w:val="24"/>
        </w:rPr>
        <w:t xml:space="preserve"> als zodanig onder de verscheidene regimes. Van belang is namelijk dat noch in artikel 11 EVRM, noch in ILO-Verdrag 87 expliciet wordt gerept van het stakingsrecht. Artikel 11 lid 1 EVRM erkent (enkel) ‘</w:t>
      </w:r>
      <w:r w:rsidR="00C169C2" w:rsidRPr="00121A6A">
        <w:rPr>
          <w:i/>
          <w:iCs/>
          <w:sz w:val="24"/>
          <w:szCs w:val="24"/>
        </w:rPr>
        <w:t>het recht met anderen vakverenigingen op te richten en zich bij vakverenigingen aan te sluiten voor de bescherming van zijn belangen</w:t>
      </w:r>
      <w:r w:rsidR="00C169C2" w:rsidRPr="00121A6A">
        <w:rPr>
          <w:sz w:val="24"/>
          <w:szCs w:val="24"/>
        </w:rPr>
        <w:t xml:space="preserve">’. ILO-Verdrag 87 heeft evenzeer (louter) betrekking op de vakverenigingsvrijheid, terwijl ILO-Verdrag 98 handelt over het collectief onderhandelingsrecht </w:t>
      </w:r>
      <w:r w:rsidR="00190491" w:rsidRPr="00121A6A">
        <w:rPr>
          <w:sz w:val="24"/>
          <w:szCs w:val="24"/>
        </w:rPr>
        <w:t>zonder</w:t>
      </w:r>
      <w:r w:rsidR="00C169C2" w:rsidRPr="00121A6A">
        <w:rPr>
          <w:sz w:val="24"/>
          <w:szCs w:val="24"/>
        </w:rPr>
        <w:t xml:space="preserve"> </w:t>
      </w:r>
      <w:r w:rsidR="00190491" w:rsidRPr="00121A6A">
        <w:rPr>
          <w:sz w:val="24"/>
          <w:szCs w:val="24"/>
        </w:rPr>
        <w:t>daarbij</w:t>
      </w:r>
      <w:r w:rsidR="00C169C2" w:rsidRPr="00121A6A">
        <w:rPr>
          <w:sz w:val="24"/>
          <w:szCs w:val="24"/>
        </w:rPr>
        <w:t xml:space="preserve"> het stakingsrecht </w:t>
      </w:r>
      <w:r w:rsidR="00190491" w:rsidRPr="00121A6A">
        <w:rPr>
          <w:sz w:val="24"/>
          <w:szCs w:val="24"/>
        </w:rPr>
        <w:t xml:space="preserve">te </w:t>
      </w:r>
      <w:r w:rsidR="00C169C2" w:rsidRPr="00121A6A">
        <w:rPr>
          <w:sz w:val="24"/>
          <w:szCs w:val="24"/>
        </w:rPr>
        <w:t>erken</w:t>
      </w:r>
      <w:r w:rsidR="00190491" w:rsidRPr="00121A6A">
        <w:rPr>
          <w:sz w:val="24"/>
          <w:szCs w:val="24"/>
        </w:rPr>
        <w:t>nen</w:t>
      </w:r>
      <w:r w:rsidR="00C169C2" w:rsidRPr="00121A6A">
        <w:rPr>
          <w:sz w:val="24"/>
          <w:szCs w:val="24"/>
        </w:rPr>
        <w:t xml:space="preserve"> of</w:t>
      </w:r>
      <w:r w:rsidR="00190491" w:rsidRPr="00121A6A">
        <w:rPr>
          <w:sz w:val="24"/>
          <w:szCs w:val="24"/>
        </w:rPr>
        <w:t xml:space="preserve"> te reguleren</w:t>
      </w:r>
      <w:r w:rsidR="00C169C2" w:rsidRPr="00121A6A">
        <w:rPr>
          <w:sz w:val="24"/>
          <w:szCs w:val="24"/>
        </w:rPr>
        <w:t>. Uit rechtspraak van het EHRM</w:t>
      </w:r>
      <w:r w:rsidR="00190491" w:rsidRPr="00121A6A">
        <w:rPr>
          <w:sz w:val="24"/>
          <w:szCs w:val="24"/>
        </w:rPr>
        <w:t xml:space="preserve"> </w:t>
      </w:r>
      <w:r w:rsidR="00C169C2" w:rsidRPr="00121A6A">
        <w:rPr>
          <w:sz w:val="24"/>
          <w:szCs w:val="24"/>
        </w:rPr>
        <w:t xml:space="preserve">en de </w:t>
      </w:r>
      <w:proofErr w:type="spellStart"/>
      <w:r w:rsidR="00C169C2" w:rsidRPr="00121A6A">
        <w:rPr>
          <w:sz w:val="24"/>
          <w:szCs w:val="24"/>
        </w:rPr>
        <w:t>CoE</w:t>
      </w:r>
      <w:proofErr w:type="spellEnd"/>
      <w:r w:rsidR="00C169C2" w:rsidRPr="00121A6A">
        <w:rPr>
          <w:sz w:val="24"/>
          <w:szCs w:val="24"/>
        </w:rPr>
        <w:t xml:space="preserve">/CFA volgt echter dat het stakingsrecht moet worden ‘ingelezen’ in </w:t>
      </w:r>
      <w:r w:rsidR="00450B2E">
        <w:rPr>
          <w:sz w:val="24"/>
          <w:szCs w:val="24"/>
        </w:rPr>
        <w:t xml:space="preserve">de </w:t>
      </w:r>
      <w:r w:rsidR="00C169C2" w:rsidRPr="00121A6A">
        <w:rPr>
          <w:sz w:val="24"/>
          <w:szCs w:val="24"/>
        </w:rPr>
        <w:t>betreffende verdragsbepalingen.</w:t>
      </w:r>
      <w:r w:rsidR="00C169C2" w:rsidRPr="00121A6A">
        <w:rPr>
          <w:rStyle w:val="FootnoteReference"/>
          <w:sz w:val="24"/>
          <w:szCs w:val="24"/>
        </w:rPr>
        <w:footnoteReference w:id="111"/>
      </w:r>
      <w:r w:rsidR="00C169C2" w:rsidRPr="00121A6A">
        <w:rPr>
          <w:sz w:val="24"/>
          <w:szCs w:val="24"/>
        </w:rPr>
        <w:t xml:space="preserve"> </w:t>
      </w:r>
      <w:r w:rsidRPr="00121A6A">
        <w:rPr>
          <w:sz w:val="24"/>
          <w:szCs w:val="24"/>
        </w:rPr>
        <w:t>Bij</w:t>
      </w:r>
      <w:r w:rsidR="00C169C2" w:rsidRPr="00121A6A">
        <w:rPr>
          <w:sz w:val="24"/>
          <w:szCs w:val="24"/>
        </w:rPr>
        <w:t xml:space="preserve"> artikel 6 lid 4 ESH is een dergelijke constructie niet nodig: deze bepaling erkent expliciet ‘</w:t>
      </w:r>
      <w:r w:rsidR="00C169C2" w:rsidRPr="00121A6A">
        <w:rPr>
          <w:i/>
          <w:iCs/>
          <w:sz w:val="24"/>
          <w:szCs w:val="24"/>
        </w:rPr>
        <w:t>het recht van werknemers […] op collectief optreden in gevallen van belangengeschillen, met inbegrip van het stakingsrecht.</w:t>
      </w:r>
      <w:r w:rsidR="00C169C2" w:rsidRPr="00121A6A">
        <w:rPr>
          <w:sz w:val="24"/>
          <w:szCs w:val="24"/>
        </w:rPr>
        <w:t>’</w:t>
      </w:r>
    </w:p>
    <w:p w14:paraId="7132F784" w14:textId="2749C129" w:rsidR="00C169C2" w:rsidRPr="00121A6A" w:rsidRDefault="00710E60" w:rsidP="00A6559E">
      <w:pPr>
        <w:spacing w:after="0"/>
        <w:ind w:firstLine="708"/>
        <w:jc w:val="both"/>
        <w:rPr>
          <w:sz w:val="24"/>
          <w:szCs w:val="24"/>
        </w:rPr>
      </w:pPr>
      <w:r w:rsidRPr="00121A6A">
        <w:rPr>
          <w:sz w:val="24"/>
          <w:szCs w:val="24"/>
        </w:rPr>
        <w:t>Uit de systematiek</w:t>
      </w:r>
      <w:r w:rsidR="00A6559E" w:rsidRPr="00121A6A">
        <w:rPr>
          <w:sz w:val="24"/>
          <w:szCs w:val="24"/>
        </w:rPr>
        <w:t xml:space="preserve"> van artikel 11 EVRM, </w:t>
      </w:r>
      <w:r w:rsidRPr="00121A6A">
        <w:rPr>
          <w:sz w:val="24"/>
          <w:szCs w:val="24"/>
        </w:rPr>
        <w:t xml:space="preserve">ILO-Verdrag 87 en </w:t>
      </w:r>
      <w:r w:rsidR="00A6559E" w:rsidRPr="00121A6A">
        <w:rPr>
          <w:sz w:val="24"/>
          <w:szCs w:val="24"/>
        </w:rPr>
        <w:t>artikel 6 lid 4</w:t>
      </w:r>
      <w:r w:rsidRPr="00121A6A">
        <w:rPr>
          <w:sz w:val="24"/>
          <w:szCs w:val="24"/>
        </w:rPr>
        <w:t xml:space="preserve"> ESH</w:t>
      </w:r>
      <w:r w:rsidR="00A6559E" w:rsidRPr="00121A6A">
        <w:rPr>
          <w:sz w:val="24"/>
          <w:szCs w:val="24"/>
        </w:rPr>
        <w:t xml:space="preserve"> volgt dat</w:t>
      </w:r>
      <w:r w:rsidRPr="00121A6A">
        <w:rPr>
          <w:sz w:val="24"/>
          <w:szCs w:val="24"/>
        </w:rPr>
        <w:t xml:space="preserve"> het stakingsrecht</w:t>
      </w:r>
      <w:r w:rsidR="00A64EE2" w:rsidRPr="00121A6A">
        <w:rPr>
          <w:sz w:val="24"/>
          <w:szCs w:val="24"/>
        </w:rPr>
        <w:t xml:space="preserve"> zonder meer</w:t>
      </w:r>
      <w:r w:rsidRPr="00121A6A">
        <w:rPr>
          <w:sz w:val="24"/>
          <w:szCs w:val="24"/>
        </w:rPr>
        <w:t xml:space="preserve"> bestaat en </w:t>
      </w:r>
      <w:r w:rsidR="00450B2E">
        <w:rPr>
          <w:sz w:val="24"/>
          <w:szCs w:val="24"/>
        </w:rPr>
        <w:t>het inroepen</w:t>
      </w:r>
      <w:r w:rsidRPr="00121A6A">
        <w:rPr>
          <w:sz w:val="24"/>
          <w:szCs w:val="24"/>
        </w:rPr>
        <w:t xml:space="preserve"> </w:t>
      </w:r>
      <w:r w:rsidR="00450B2E">
        <w:rPr>
          <w:sz w:val="24"/>
          <w:szCs w:val="24"/>
        </w:rPr>
        <w:t>daar</w:t>
      </w:r>
      <w:r w:rsidRPr="00121A6A">
        <w:rPr>
          <w:sz w:val="24"/>
          <w:szCs w:val="24"/>
        </w:rPr>
        <w:t xml:space="preserve">van is toegestaan. Pas in het kader van de vraag naar </w:t>
      </w:r>
      <w:r w:rsidR="00F5497A">
        <w:rPr>
          <w:sz w:val="24"/>
          <w:szCs w:val="24"/>
        </w:rPr>
        <w:t xml:space="preserve">een </w:t>
      </w:r>
      <w:r w:rsidRPr="00121A6A">
        <w:rPr>
          <w:sz w:val="24"/>
          <w:szCs w:val="24"/>
        </w:rPr>
        <w:t>gerechtvaardigde beperking</w:t>
      </w:r>
      <w:r w:rsidR="00F5497A">
        <w:rPr>
          <w:sz w:val="24"/>
          <w:szCs w:val="24"/>
        </w:rPr>
        <w:t xml:space="preserve"> </w:t>
      </w:r>
      <w:r w:rsidRPr="00121A6A">
        <w:rPr>
          <w:sz w:val="24"/>
          <w:szCs w:val="24"/>
        </w:rPr>
        <w:t>van dit recht vindt een belangenafweging plaats.</w:t>
      </w:r>
      <w:r w:rsidR="00434B61" w:rsidRPr="00121A6A">
        <w:rPr>
          <w:rStyle w:val="FootnoteReference"/>
          <w:sz w:val="24"/>
          <w:szCs w:val="24"/>
        </w:rPr>
        <w:footnoteReference w:id="112"/>
      </w:r>
      <w:r w:rsidR="00905D25" w:rsidRPr="00121A6A">
        <w:rPr>
          <w:sz w:val="24"/>
          <w:szCs w:val="24"/>
        </w:rPr>
        <w:t xml:space="preserve"> </w:t>
      </w:r>
      <w:r w:rsidR="00F61804" w:rsidRPr="00121A6A">
        <w:rPr>
          <w:sz w:val="24"/>
          <w:szCs w:val="24"/>
        </w:rPr>
        <w:t>D</w:t>
      </w:r>
      <w:r w:rsidR="00D459D7">
        <w:rPr>
          <w:sz w:val="24"/>
          <w:szCs w:val="24"/>
        </w:rPr>
        <w:t>eze methode</w:t>
      </w:r>
      <w:r w:rsidR="00F61804" w:rsidRPr="00121A6A">
        <w:rPr>
          <w:sz w:val="24"/>
          <w:szCs w:val="24"/>
        </w:rPr>
        <w:t xml:space="preserve"> contrasteert met </w:t>
      </w:r>
      <w:r w:rsidR="00D459D7">
        <w:rPr>
          <w:sz w:val="24"/>
          <w:szCs w:val="24"/>
        </w:rPr>
        <w:t>de systematiek</w:t>
      </w:r>
      <w:r w:rsidR="00F61804" w:rsidRPr="00121A6A">
        <w:rPr>
          <w:sz w:val="24"/>
          <w:szCs w:val="24"/>
        </w:rPr>
        <w:t xml:space="preserve"> </w:t>
      </w:r>
      <w:r w:rsidR="007153B5">
        <w:rPr>
          <w:sz w:val="24"/>
          <w:szCs w:val="24"/>
        </w:rPr>
        <w:t xml:space="preserve">van </w:t>
      </w:r>
      <w:r w:rsidR="003E369F">
        <w:rPr>
          <w:sz w:val="24"/>
          <w:szCs w:val="24"/>
        </w:rPr>
        <w:t>het Handvest</w:t>
      </w:r>
      <w:r w:rsidR="007153B5">
        <w:rPr>
          <w:sz w:val="24"/>
          <w:szCs w:val="24"/>
        </w:rPr>
        <w:t xml:space="preserve">, die dwingt tot een </w:t>
      </w:r>
      <w:r w:rsidR="00F861AB" w:rsidRPr="00121A6A">
        <w:rPr>
          <w:sz w:val="24"/>
          <w:szCs w:val="24"/>
        </w:rPr>
        <w:t>benadering</w:t>
      </w:r>
      <w:r w:rsidR="007153B5">
        <w:rPr>
          <w:sz w:val="24"/>
          <w:szCs w:val="24"/>
        </w:rPr>
        <w:t xml:space="preserve"> </w:t>
      </w:r>
      <w:r w:rsidR="00F61804" w:rsidRPr="00121A6A">
        <w:rPr>
          <w:sz w:val="24"/>
          <w:szCs w:val="24"/>
        </w:rPr>
        <w:t xml:space="preserve">waarin </w:t>
      </w:r>
      <w:r w:rsidR="00A371C7" w:rsidRPr="00121A6A">
        <w:rPr>
          <w:sz w:val="24"/>
          <w:szCs w:val="24"/>
        </w:rPr>
        <w:t>per definitie sprake is van een inbreuk op het werkgeversrecht (</w:t>
      </w:r>
      <w:r w:rsidR="00EF4983">
        <w:rPr>
          <w:sz w:val="24"/>
          <w:szCs w:val="24"/>
        </w:rPr>
        <w:t xml:space="preserve">het </w:t>
      </w:r>
      <w:r w:rsidR="00A371C7" w:rsidRPr="00121A6A">
        <w:rPr>
          <w:sz w:val="24"/>
          <w:szCs w:val="24"/>
        </w:rPr>
        <w:t xml:space="preserve">vrij verkeer) en </w:t>
      </w:r>
      <w:r w:rsidR="00F861AB" w:rsidRPr="00121A6A">
        <w:rPr>
          <w:sz w:val="24"/>
          <w:szCs w:val="24"/>
        </w:rPr>
        <w:t>de uitoefening van</w:t>
      </w:r>
      <w:r w:rsidR="00905D25" w:rsidRPr="00121A6A">
        <w:rPr>
          <w:sz w:val="24"/>
          <w:szCs w:val="24"/>
        </w:rPr>
        <w:t xml:space="preserve"> </w:t>
      </w:r>
      <w:r w:rsidRPr="00121A6A">
        <w:rPr>
          <w:sz w:val="24"/>
          <w:szCs w:val="24"/>
        </w:rPr>
        <w:t xml:space="preserve">het stakingsrecht </w:t>
      </w:r>
      <w:r w:rsidR="00F85840" w:rsidRPr="00121A6A">
        <w:rPr>
          <w:sz w:val="24"/>
          <w:szCs w:val="24"/>
        </w:rPr>
        <w:t>(</w:t>
      </w:r>
      <w:r w:rsidR="00A64456" w:rsidRPr="00121A6A">
        <w:rPr>
          <w:sz w:val="24"/>
          <w:szCs w:val="24"/>
        </w:rPr>
        <w:t>derhalve</w:t>
      </w:r>
      <w:r w:rsidR="00F85840" w:rsidRPr="00121A6A">
        <w:rPr>
          <w:sz w:val="24"/>
          <w:szCs w:val="24"/>
        </w:rPr>
        <w:t>)</w:t>
      </w:r>
      <w:r w:rsidR="00A64456" w:rsidRPr="00121A6A">
        <w:rPr>
          <w:sz w:val="24"/>
          <w:szCs w:val="24"/>
        </w:rPr>
        <w:t xml:space="preserve"> </w:t>
      </w:r>
      <w:r w:rsidRPr="00121A6A">
        <w:rPr>
          <w:sz w:val="24"/>
          <w:szCs w:val="24"/>
        </w:rPr>
        <w:t>rechtvaardiging behoeft.</w:t>
      </w:r>
      <w:r w:rsidR="00BE67AF" w:rsidRPr="00121A6A">
        <w:rPr>
          <w:sz w:val="24"/>
          <w:szCs w:val="24"/>
        </w:rPr>
        <w:t xml:space="preserve"> Hierna zal blijken dat </w:t>
      </w:r>
      <w:r w:rsidR="00A42185">
        <w:rPr>
          <w:sz w:val="24"/>
          <w:szCs w:val="24"/>
        </w:rPr>
        <w:t>deze discrepantie</w:t>
      </w:r>
      <w:r w:rsidR="00BE67AF" w:rsidRPr="00121A6A">
        <w:rPr>
          <w:sz w:val="24"/>
          <w:szCs w:val="24"/>
        </w:rPr>
        <w:t xml:space="preserve"> leidt tot een uiteenlopende mate van bescherming van het stakingsrecht.</w:t>
      </w:r>
    </w:p>
    <w:p w14:paraId="481104AD" w14:textId="77777777" w:rsidR="00ED138A" w:rsidRPr="00121A6A" w:rsidRDefault="00ED138A" w:rsidP="00ED138A">
      <w:pPr>
        <w:spacing w:after="0"/>
        <w:rPr>
          <w:sz w:val="24"/>
          <w:szCs w:val="24"/>
        </w:rPr>
      </w:pPr>
    </w:p>
    <w:p w14:paraId="4E42A53E" w14:textId="6CD0A3FF" w:rsidR="00332F8D" w:rsidRPr="00121A6A" w:rsidRDefault="00332F8D" w:rsidP="00332F8D">
      <w:pPr>
        <w:pStyle w:val="Heading2"/>
        <w:rPr>
          <w:sz w:val="24"/>
          <w:szCs w:val="24"/>
        </w:rPr>
      </w:pPr>
      <w:bookmarkStart w:id="50" w:name="_Toc169963063"/>
      <w:r w:rsidRPr="00121A6A">
        <w:rPr>
          <w:sz w:val="24"/>
          <w:szCs w:val="24"/>
        </w:rPr>
        <w:t xml:space="preserve">3.3 </w:t>
      </w:r>
      <w:r w:rsidR="00E86F32">
        <w:rPr>
          <w:sz w:val="24"/>
          <w:szCs w:val="24"/>
        </w:rPr>
        <w:t>De i</w:t>
      </w:r>
      <w:r w:rsidRPr="00121A6A">
        <w:rPr>
          <w:sz w:val="24"/>
          <w:szCs w:val="24"/>
        </w:rPr>
        <w:t>nternationale stakingsrechtspraak</w:t>
      </w:r>
      <w:r w:rsidR="0039327E" w:rsidRPr="00121A6A">
        <w:rPr>
          <w:sz w:val="24"/>
          <w:szCs w:val="24"/>
        </w:rPr>
        <w:t xml:space="preserve"> </w:t>
      </w:r>
      <w:r w:rsidR="007E74E7" w:rsidRPr="00121A6A">
        <w:rPr>
          <w:sz w:val="24"/>
          <w:szCs w:val="24"/>
        </w:rPr>
        <w:t>en de verhouding</w:t>
      </w:r>
      <w:r w:rsidR="0039327E" w:rsidRPr="00121A6A">
        <w:rPr>
          <w:sz w:val="24"/>
          <w:szCs w:val="24"/>
        </w:rPr>
        <w:t xml:space="preserve"> met </w:t>
      </w:r>
      <w:r w:rsidR="00447949">
        <w:rPr>
          <w:sz w:val="24"/>
          <w:szCs w:val="24"/>
        </w:rPr>
        <w:t xml:space="preserve">het </w:t>
      </w:r>
      <w:r w:rsidR="0039327E" w:rsidRPr="00121A6A">
        <w:rPr>
          <w:sz w:val="24"/>
          <w:szCs w:val="24"/>
        </w:rPr>
        <w:t>Unierecht</w:t>
      </w:r>
      <w:bookmarkEnd w:id="50"/>
    </w:p>
    <w:p w14:paraId="50FA5BA9" w14:textId="2ED0D34A" w:rsidR="001954C4" w:rsidRPr="00121A6A" w:rsidRDefault="00D459D7" w:rsidP="00C169C2">
      <w:pPr>
        <w:spacing w:after="0"/>
        <w:jc w:val="both"/>
        <w:rPr>
          <w:sz w:val="24"/>
          <w:szCs w:val="24"/>
        </w:rPr>
      </w:pPr>
      <w:r>
        <w:rPr>
          <w:sz w:val="24"/>
          <w:szCs w:val="24"/>
        </w:rPr>
        <w:t>In deze paragraaf wordt allereerst de</w:t>
      </w:r>
      <w:r w:rsidR="001954C4" w:rsidRPr="00121A6A">
        <w:rPr>
          <w:sz w:val="24"/>
          <w:szCs w:val="24"/>
        </w:rPr>
        <w:t xml:space="preserve"> stakingsrechtspraak van het EHRM</w:t>
      </w:r>
      <w:r w:rsidR="006B73F3" w:rsidRPr="00121A6A">
        <w:rPr>
          <w:sz w:val="24"/>
          <w:szCs w:val="24"/>
        </w:rPr>
        <w:t xml:space="preserve"> </w:t>
      </w:r>
      <w:r>
        <w:rPr>
          <w:sz w:val="24"/>
          <w:szCs w:val="24"/>
        </w:rPr>
        <w:t xml:space="preserve">besproken. Daarbij wordt </w:t>
      </w:r>
      <w:r w:rsidR="001954C4" w:rsidRPr="00121A6A">
        <w:rPr>
          <w:sz w:val="24"/>
          <w:szCs w:val="24"/>
        </w:rPr>
        <w:t>aandacht besteed aan de erkenning van het stakingsrecht als (belangrijk dan wel essentieel) onderdeel van artikel 11 EVRM</w:t>
      </w:r>
      <w:r w:rsidR="00C9432F" w:rsidRPr="00121A6A">
        <w:rPr>
          <w:sz w:val="24"/>
          <w:szCs w:val="24"/>
        </w:rPr>
        <w:t xml:space="preserve">, alsmede </w:t>
      </w:r>
      <w:r w:rsidR="0055740B" w:rsidRPr="00121A6A">
        <w:rPr>
          <w:sz w:val="24"/>
          <w:szCs w:val="24"/>
        </w:rPr>
        <w:t xml:space="preserve">aan </w:t>
      </w:r>
      <w:r w:rsidR="001954C4" w:rsidRPr="00121A6A">
        <w:rPr>
          <w:sz w:val="24"/>
          <w:szCs w:val="24"/>
        </w:rPr>
        <w:t xml:space="preserve">de mogelijkheid </w:t>
      </w:r>
      <w:r w:rsidR="00447949">
        <w:rPr>
          <w:sz w:val="24"/>
          <w:szCs w:val="24"/>
        </w:rPr>
        <w:t>van inperking van dit recht</w:t>
      </w:r>
      <w:r w:rsidR="006B73F3" w:rsidRPr="00121A6A">
        <w:rPr>
          <w:sz w:val="24"/>
          <w:szCs w:val="24"/>
        </w:rPr>
        <w:t xml:space="preserve"> </w:t>
      </w:r>
      <w:r w:rsidR="001954C4" w:rsidRPr="00121A6A">
        <w:rPr>
          <w:sz w:val="24"/>
          <w:szCs w:val="24"/>
        </w:rPr>
        <w:t xml:space="preserve">omwille van het economisch </w:t>
      </w:r>
      <w:r w:rsidR="006B73F3" w:rsidRPr="00121A6A">
        <w:rPr>
          <w:sz w:val="24"/>
          <w:szCs w:val="24"/>
        </w:rPr>
        <w:t>werkgevers</w:t>
      </w:r>
      <w:r w:rsidR="001954C4" w:rsidRPr="00121A6A">
        <w:rPr>
          <w:sz w:val="24"/>
          <w:szCs w:val="24"/>
        </w:rPr>
        <w:t>belang</w:t>
      </w:r>
      <w:r w:rsidR="00C9432F" w:rsidRPr="00121A6A">
        <w:rPr>
          <w:sz w:val="24"/>
          <w:szCs w:val="24"/>
        </w:rPr>
        <w:t xml:space="preserve">. Bij dat laatste wordt </w:t>
      </w:r>
      <w:r w:rsidR="00DC1789" w:rsidRPr="00121A6A">
        <w:rPr>
          <w:sz w:val="24"/>
          <w:szCs w:val="24"/>
        </w:rPr>
        <w:t>e</w:t>
      </w:r>
      <w:r w:rsidR="001954C4" w:rsidRPr="00121A6A">
        <w:rPr>
          <w:sz w:val="24"/>
          <w:szCs w:val="24"/>
        </w:rPr>
        <w:t>en parallel met</w:t>
      </w:r>
      <w:r w:rsidR="00447949">
        <w:rPr>
          <w:sz w:val="24"/>
          <w:szCs w:val="24"/>
        </w:rPr>
        <w:t xml:space="preserve"> het</w:t>
      </w:r>
      <w:r w:rsidR="001954C4" w:rsidRPr="00121A6A">
        <w:rPr>
          <w:sz w:val="24"/>
          <w:szCs w:val="24"/>
        </w:rPr>
        <w:t xml:space="preserve"> Unierecht</w:t>
      </w:r>
      <w:r w:rsidR="003B4855" w:rsidRPr="00121A6A">
        <w:rPr>
          <w:sz w:val="24"/>
          <w:szCs w:val="24"/>
        </w:rPr>
        <w:t xml:space="preserve"> </w:t>
      </w:r>
      <w:r w:rsidR="00C9432F" w:rsidRPr="00121A6A">
        <w:rPr>
          <w:sz w:val="24"/>
          <w:szCs w:val="24"/>
        </w:rPr>
        <w:t>getrokken</w:t>
      </w:r>
      <w:r w:rsidR="001954C4" w:rsidRPr="00121A6A">
        <w:rPr>
          <w:sz w:val="24"/>
          <w:szCs w:val="24"/>
        </w:rPr>
        <w:t xml:space="preserve">. Vervolgens wordt het contrast met </w:t>
      </w:r>
      <w:r w:rsidR="00447949">
        <w:rPr>
          <w:sz w:val="24"/>
          <w:szCs w:val="24"/>
        </w:rPr>
        <w:t xml:space="preserve">het </w:t>
      </w:r>
      <w:r w:rsidR="001954C4" w:rsidRPr="00121A6A">
        <w:rPr>
          <w:sz w:val="24"/>
          <w:szCs w:val="24"/>
        </w:rPr>
        <w:t xml:space="preserve">Unierecht geschetst aan de hand van de </w:t>
      </w:r>
      <w:proofErr w:type="spellStart"/>
      <w:r w:rsidR="001954C4" w:rsidRPr="00121A6A">
        <w:rPr>
          <w:i/>
          <w:iCs/>
          <w:sz w:val="24"/>
          <w:szCs w:val="24"/>
        </w:rPr>
        <w:t>Holship</w:t>
      </w:r>
      <w:proofErr w:type="spellEnd"/>
      <w:r w:rsidR="001954C4" w:rsidRPr="00121A6A">
        <w:rPr>
          <w:sz w:val="24"/>
          <w:szCs w:val="24"/>
        </w:rPr>
        <w:t>-zaak. Dat contrast wordt nog duidelijker wanneer ten slotte wordt ingegaan op</w:t>
      </w:r>
      <w:r w:rsidR="00546818">
        <w:rPr>
          <w:sz w:val="24"/>
          <w:szCs w:val="24"/>
        </w:rPr>
        <w:t xml:space="preserve"> de</w:t>
      </w:r>
      <w:r w:rsidR="001954C4" w:rsidRPr="00121A6A">
        <w:rPr>
          <w:sz w:val="24"/>
          <w:szCs w:val="24"/>
        </w:rPr>
        <w:t xml:space="preserve"> beslissingen van de </w:t>
      </w:r>
      <w:proofErr w:type="spellStart"/>
      <w:r w:rsidR="001954C4" w:rsidRPr="00121A6A">
        <w:rPr>
          <w:sz w:val="24"/>
          <w:szCs w:val="24"/>
        </w:rPr>
        <w:t>CoE</w:t>
      </w:r>
      <w:proofErr w:type="spellEnd"/>
      <w:r w:rsidR="001954C4" w:rsidRPr="00121A6A">
        <w:rPr>
          <w:sz w:val="24"/>
          <w:szCs w:val="24"/>
        </w:rPr>
        <w:t xml:space="preserve"> en het ECSR over (de impact van) </w:t>
      </w:r>
      <w:r w:rsidR="001954C4" w:rsidRPr="00121A6A">
        <w:rPr>
          <w:i/>
          <w:iCs/>
          <w:sz w:val="24"/>
          <w:szCs w:val="24"/>
        </w:rPr>
        <w:t>Viking</w:t>
      </w:r>
      <w:r w:rsidR="001954C4" w:rsidRPr="00121A6A">
        <w:rPr>
          <w:sz w:val="24"/>
          <w:szCs w:val="24"/>
        </w:rPr>
        <w:t xml:space="preserve"> en </w:t>
      </w:r>
      <w:r w:rsidR="001954C4" w:rsidRPr="00121A6A">
        <w:rPr>
          <w:i/>
          <w:iCs/>
          <w:sz w:val="24"/>
          <w:szCs w:val="24"/>
        </w:rPr>
        <w:t>Laval</w:t>
      </w:r>
      <w:r w:rsidR="001954C4" w:rsidRPr="00121A6A">
        <w:rPr>
          <w:sz w:val="24"/>
          <w:szCs w:val="24"/>
        </w:rPr>
        <w:t>.</w:t>
      </w:r>
    </w:p>
    <w:p w14:paraId="7626A8FF" w14:textId="77777777" w:rsidR="00252EEB" w:rsidRPr="00121A6A" w:rsidRDefault="00252EEB" w:rsidP="00252EEB">
      <w:pPr>
        <w:spacing w:after="0"/>
        <w:rPr>
          <w:sz w:val="24"/>
          <w:szCs w:val="24"/>
        </w:rPr>
      </w:pPr>
    </w:p>
    <w:p w14:paraId="1C4DE9D7" w14:textId="2F1A972A" w:rsidR="0046255E" w:rsidRPr="00121A6A" w:rsidRDefault="00340941" w:rsidP="00227176">
      <w:pPr>
        <w:pStyle w:val="Heading3"/>
        <w:jc w:val="both"/>
        <w:rPr>
          <w:sz w:val="24"/>
          <w:szCs w:val="24"/>
        </w:rPr>
      </w:pPr>
      <w:bookmarkStart w:id="51" w:name="_Toc169963064"/>
      <w:r w:rsidRPr="00121A6A">
        <w:rPr>
          <w:sz w:val="24"/>
          <w:szCs w:val="24"/>
        </w:rPr>
        <w:t xml:space="preserve">Het </w:t>
      </w:r>
      <w:proofErr w:type="spellStart"/>
      <w:r w:rsidRPr="00121A6A">
        <w:rPr>
          <w:sz w:val="24"/>
          <w:szCs w:val="24"/>
        </w:rPr>
        <w:t>Unison</w:t>
      </w:r>
      <w:proofErr w:type="spellEnd"/>
      <w:r w:rsidRPr="00121A6A">
        <w:rPr>
          <w:sz w:val="24"/>
          <w:szCs w:val="24"/>
        </w:rPr>
        <w:t>-arrest: d</w:t>
      </w:r>
      <w:r w:rsidR="0089020A" w:rsidRPr="00121A6A">
        <w:rPr>
          <w:sz w:val="24"/>
          <w:szCs w:val="24"/>
        </w:rPr>
        <w:t>e weg naar erkenning</w:t>
      </w:r>
      <w:r w:rsidR="005E68C9" w:rsidRPr="00121A6A">
        <w:rPr>
          <w:sz w:val="24"/>
          <w:szCs w:val="24"/>
        </w:rPr>
        <w:t xml:space="preserve"> van het stakingsrecht onder artikel 11 EVRM</w:t>
      </w:r>
      <w:r w:rsidR="00803320" w:rsidRPr="00121A6A">
        <w:rPr>
          <w:sz w:val="24"/>
          <w:szCs w:val="24"/>
        </w:rPr>
        <w:t xml:space="preserve"> en</w:t>
      </w:r>
      <w:r w:rsidR="00121A6A">
        <w:rPr>
          <w:sz w:val="24"/>
          <w:szCs w:val="24"/>
        </w:rPr>
        <w:t xml:space="preserve"> </w:t>
      </w:r>
      <w:r w:rsidR="00546818">
        <w:rPr>
          <w:sz w:val="24"/>
          <w:szCs w:val="24"/>
        </w:rPr>
        <w:t xml:space="preserve">de </w:t>
      </w:r>
      <w:r w:rsidR="0089020A" w:rsidRPr="00121A6A">
        <w:rPr>
          <w:sz w:val="24"/>
          <w:szCs w:val="24"/>
        </w:rPr>
        <w:t>inperking van dit recht omwille van het economisch werkgeversbelang</w:t>
      </w:r>
      <w:bookmarkEnd w:id="51"/>
    </w:p>
    <w:p w14:paraId="5B073F3C" w14:textId="1E73FD86" w:rsidR="00452F70" w:rsidRPr="00121A6A" w:rsidRDefault="008056D0" w:rsidP="00252EEB">
      <w:pPr>
        <w:spacing w:after="0"/>
        <w:jc w:val="both"/>
        <w:rPr>
          <w:sz w:val="24"/>
          <w:szCs w:val="24"/>
        </w:rPr>
      </w:pPr>
      <w:r w:rsidRPr="00121A6A">
        <w:rPr>
          <w:sz w:val="24"/>
          <w:szCs w:val="24"/>
        </w:rPr>
        <w:t xml:space="preserve">Centraal in de stakingsrechtspraak van het EHRM staat </w:t>
      </w:r>
      <w:r w:rsidR="009D5AF4" w:rsidRPr="00121A6A">
        <w:rPr>
          <w:sz w:val="24"/>
          <w:szCs w:val="24"/>
        </w:rPr>
        <w:t xml:space="preserve">de </w:t>
      </w:r>
      <w:r w:rsidRPr="00121A6A">
        <w:rPr>
          <w:sz w:val="24"/>
          <w:szCs w:val="24"/>
        </w:rPr>
        <w:t xml:space="preserve">erkenning van </w:t>
      </w:r>
      <w:r w:rsidR="00F222A0" w:rsidRPr="00121A6A">
        <w:rPr>
          <w:sz w:val="24"/>
          <w:szCs w:val="24"/>
        </w:rPr>
        <w:t>het stakingsrecht</w:t>
      </w:r>
      <w:r w:rsidRPr="00121A6A">
        <w:rPr>
          <w:sz w:val="24"/>
          <w:szCs w:val="24"/>
        </w:rPr>
        <w:t xml:space="preserve"> als </w:t>
      </w:r>
      <w:r w:rsidR="00905080" w:rsidRPr="00121A6A">
        <w:rPr>
          <w:sz w:val="24"/>
          <w:szCs w:val="24"/>
        </w:rPr>
        <w:t>(</w:t>
      </w:r>
      <w:r w:rsidRPr="00121A6A">
        <w:rPr>
          <w:sz w:val="24"/>
          <w:szCs w:val="24"/>
        </w:rPr>
        <w:t>inherent</w:t>
      </w:r>
      <w:r w:rsidR="00905080" w:rsidRPr="00121A6A">
        <w:rPr>
          <w:sz w:val="24"/>
          <w:szCs w:val="24"/>
        </w:rPr>
        <w:t>)</w:t>
      </w:r>
      <w:r w:rsidRPr="00121A6A">
        <w:rPr>
          <w:sz w:val="24"/>
          <w:szCs w:val="24"/>
        </w:rPr>
        <w:t xml:space="preserve"> onderdeel van de vakverenigingsvrijheid van artikel 11 EVRM. Waar </w:t>
      </w:r>
      <w:r w:rsidR="000372E3" w:rsidRPr="00121A6A">
        <w:rPr>
          <w:sz w:val="24"/>
          <w:szCs w:val="24"/>
        </w:rPr>
        <w:t>het arrest</w:t>
      </w:r>
      <w:r w:rsidR="004447D2" w:rsidRPr="00121A6A">
        <w:rPr>
          <w:sz w:val="24"/>
          <w:szCs w:val="24"/>
        </w:rPr>
        <w:t xml:space="preserve"> </w:t>
      </w:r>
      <w:bookmarkStart w:id="52" w:name="_Hlk149568848"/>
      <w:r w:rsidR="004447D2" w:rsidRPr="00121A6A">
        <w:rPr>
          <w:i/>
          <w:iCs/>
          <w:sz w:val="24"/>
          <w:szCs w:val="24"/>
        </w:rPr>
        <w:t xml:space="preserve">Schmidt en </w:t>
      </w:r>
      <w:proofErr w:type="spellStart"/>
      <w:r w:rsidR="004447D2" w:rsidRPr="00121A6A">
        <w:rPr>
          <w:i/>
          <w:iCs/>
          <w:sz w:val="24"/>
          <w:szCs w:val="24"/>
        </w:rPr>
        <w:t>Dahlström</w:t>
      </w:r>
      <w:bookmarkEnd w:id="52"/>
      <w:proofErr w:type="spellEnd"/>
      <w:r w:rsidRPr="00121A6A">
        <w:rPr>
          <w:i/>
          <w:iCs/>
          <w:sz w:val="24"/>
          <w:szCs w:val="24"/>
        </w:rPr>
        <w:t xml:space="preserve"> </w:t>
      </w:r>
      <w:r w:rsidRPr="00121A6A">
        <w:rPr>
          <w:sz w:val="24"/>
          <w:szCs w:val="24"/>
        </w:rPr>
        <w:t xml:space="preserve">nog inhield dat een beperking van het stakingsrecht niet valt onder </w:t>
      </w:r>
      <w:r w:rsidR="001C2F64" w:rsidRPr="00121A6A">
        <w:rPr>
          <w:sz w:val="24"/>
          <w:szCs w:val="24"/>
        </w:rPr>
        <w:t>het beschermingsbereik</w:t>
      </w:r>
      <w:r w:rsidRPr="00121A6A">
        <w:rPr>
          <w:sz w:val="24"/>
          <w:szCs w:val="24"/>
        </w:rPr>
        <w:t xml:space="preserve"> van artikel 11 lid 1 EVRM</w:t>
      </w:r>
      <w:r w:rsidR="001C2F64" w:rsidRPr="00121A6A">
        <w:rPr>
          <w:sz w:val="24"/>
          <w:szCs w:val="24"/>
        </w:rPr>
        <w:t>,</w:t>
      </w:r>
      <w:r w:rsidR="005033CC" w:rsidRPr="00121A6A">
        <w:rPr>
          <w:rStyle w:val="FootnoteReference"/>
          <w:sz w:val="24"/>
          <w:szCs w:val="24"/>
        </w:rPr>
        <w:footnoteReference w:id="113"/>
      </w:r>
      <w:r w:rsidR="005033CC" w:rsidRPr="00121A6A">
        <w:rPr>
          <w:sz w:val="24"/>
          <w:szCs w:val="24"/>
        </w:rPr>
        <w:t xml:space="preserve"> </w:t>
      </w:r>
      <w:r w:rsidRPr="00121A6A">
        <w:rPr>
          <w:sz w:val="24"/>
          <w:szCs w:val="24"/>
        </w:rPr>
        <w:t xml:space="preserve">was de toon in </w:t>
      </w:r>
      <w:proofErr w:type="spellStart"/>
      <w:r w:rsidRPr="00121A6A">
        <w:rPr>
          <w:i/>
          <w:iCs/>
          <w:sz w:val="24"/>
          <w:szCs w:val="24"/>
        </w:rPr>
        <w:t>Unison</w:t>
      </w:r>
      <w:proofErr w:type="spellEnd"/>
      <w:r w:rsidRPr="00121A6A">
        <w:rPr>
          <w:i/>
          <w:iCs/>
          <w:sz w:val="24"/>
          <w:szCs w:val="24"/>
        </w:rPr>
        <w:t xml:space="preserve"> </w:t>
      </w:r>
      <w:r w:rsidRPr="00121A6A">
        <w:rPr>
          <w:sz w:val="24"/>
          <w:szCs w:val="24"/>
        </w:rPr>
        <w:t>anders.</w:t>
      </w:r>
      <w:r w:rsidR="00E337AA" w:rsidRPr="00121A6A">
        <w:rPr>
          <w:rStyle w:val="FootnoteReference"/>
          <w:sz w:val="24"/>
          <w:szCs w:val="24"/>
        </w:rPr>
        <w:footnoteReference w:id="114"/>
      </w:r>
      <w:r w:rsidR="00E97F00" w:rsidRPr="00121A6A">
        <w:rPr>
          <w:sz w:val="24"/>
          <w:szCs w:val="24"/>
        </w:rPr>
        <w:t xml:space="preserve"> </w:t>
      </w:r>
      <w:r w:rsidR="002F79AE" w:rsidRPr="00121A6A">
        <w:rPr>
          <w:sz w:val="24"/>
          <w:szCs w:val="24"/>
        </w:rPr>
        <w:t>In d</w:t>
      </w:r>
      <w:r w:rsidR="00E337AA" w:rsidRPr="00121A6A">
        <w:rPr>
          <w:sz w:val="24"/>
          <w:szCs w:val="24"/>
        </w:rPr>
        <w:t xml:space="preserve">eze </w:t>
      </w:r>
      <w:r w:rsidR="00F52E1F" w:rsidRPr="00121A6A">
        <w:rPr>
          <w:sz w:val="24"/>
          <w:szCs w:val="24"/>
        </w:rPr>
        <w:t>z</w:t>
      </w:r>
      <w:r w:rsidR="00E337AA" w:rsidRPr="00121A6A">
        <w:rPr>
          <w:sz w:val="24"/>
          <w:szCs w:val="24"/>
        </w:rPr>
        <w:t xml:space="preserve">aak </w:t>
      </w:r>
      <w:r w:rsidR="002F79AE" w:rsidRPr="00121A6A">
        <w:rPr>
          <w:sz w:val="24"/>
          <w:szCs w:val="24"/>
        </w:rPr>
        <w:lastRenderedPageBreak/>
        <w:t xml:space="preserve">poogde de vakbond haar leden te beschermen tegen minder gunstige arbeidsvoorwaarden na </w:t>
      </w:r>
      <w:r w:rsidR="00E92CC5">
        <w:rPr>
          <w:sz w:val="24"/>
          <w:szCs w:val="24"/>
        </w:rPr>
        <w:t xml:space="preserve">de </w:t>
      </w:r>
      <w:r w:rsidR="00110325" w:rsidRPr="00121A6A">
        <w:rPr>
          <w:sz w:val="24"/>
          <w:szCs w:val="24"/>
        </w:rPr>
        <w:t>overgang van</w:t>
      </w:r>
      <w:r w:rsidR="00B26948" w:rsidRPr="00121A6A">
        <w:rPr>
          <w:sz w:val="24"/>
          <w:szCs w:val="24"/>
        </w:rPr>
        <w:t xml:space="preserve"> een</w:t>
      </w:r>
      <w:r w:rsidR="00110325" w:rsidRPr="00121A6A">
        <w:rPr>
          <w:sz w:val="24"/>
          <w:szCs w:val="24"/>
        </w:rPr>
        <w:t xml:space="preserve"> onderneming.</w:t>
      </w:r>
      <w:r w:rsidR="004E1839" w:rsidRPr="00121A6A">
        <w:rPr>
          <w:sz w:val="24"/>
          <w:szCs w:val="24"/>
        </w:rPr>
        <w:t xml:space="preserve"> </w:t>
      </w:r>
      <w:r w:rsidR="00110325" w:rsidRPr="00121A6A">
        <w:rPr>
          <w:sz w:val="24"/>
          <w:szCs w:val="24"/>
        </w:rPr>
        <w:t xml:space="preserve">Daartoe werd </w:t>
      </w:r>
      <w:r w:rsidR="003E2031" w:rsidRPr="00121A6A">
        <w:rPr>
          <w:sz w:val="24"/>
          <w:szCs w:val="24"/>
        </w:rPr>
        <w:t xml:space="preserve">ernaar </w:t>
      </w:r>
      <w:r w:rsidR="00110325" w:rsidRPr="00121A6A">
        <w:rPr>
          <w:sz w:val="24"/>
          <w:szCs w:val="24"/>
        </w:rPr>
        <w:t>gestreefd</w:t>
      </w:r>
      <w:r w:rsidR="009A6692" w:rsidRPr="00121A6A">
        <w:rPr>
          <w:sz w:val="24"/>
          <w:szCs w:val="24"/>
        </w:rPr>
        <w:t xml:space="preserve"> </w:t>
      </w:r>
      <w:r w:rsidR="0048422B">
        <w:rPr>
          <w:sz w:val="24"/>
          <w:szCs w:val="24"/>
        </w:rPr>
        <w:t xml:space="preserve">om </w:t>
      </w:r>
      <w:r w:rsidR="009A6692" w:rsidRPr="00121A6A">
        <w:rPr>
          <w:sz w:val="24"/>
          <w:szCs w:val="24"/>
        </w:rPr>
        <w:t xml:space="preserve">een cao </w:t>
      </w:r>
      <w:r w:rsidR="001B62A1" w:rsidRPr="00121A6A">
        <w:rPr>
          <w:sz w:val="24"/>
          <w:szCs w:val="24"/>
        </w:rPr>
        <w:t xml:space="preserve">te sluiten </w:t>
      </w:r>
      <w:r w:rsidR="009A6692" w:rsidRPr="00121A6A">
        <w:rPr>
          <w:sz w:val="24"/>
          <w:szCs w:val="24"/>
        </w:rPr>
        <w:t xml:space="preserve">met </w:t>
      </w:r>
      <w:r w:rsidR="00110325" w:rsidRPr="00121A6A">
        <w:rPr>
          <w:sz w:val="24"/>
          <w:szCs w:val="24"/>
        </w:rPr>
        <w:t xml:space="preserve">de vervreemdende </w:t>
      </w:r>
      <w:r w:rsidR="00BE1456">
        <w:rPr>
          <w:sz w:val="24"/>
          <w:szCs w:val="24"/>
        </w:rPr>
        <w:t>vennootschap</w:t>
      </w:r>
      <w:r w:rsidR="00110325" w:rsidRPr="00121A6A">
        <w:rPr>
          <w:sz w:val="24"/>
          <w:szCs w:val="24"/>
        </w:rPr>
        <w:t xml:space="preserve"> (</w:t>
      </w:r>
      <w:r w:rsidR="00110325" w:rsidRPr="00FC48F3">
        <w:rPr>
          <w:i/>
          <w:iCs/>
          <w:sz w:val="24"/>
          <w:szCs w:val="24"/>
        </w:rPr>
        <w:t>UCLH</w:t>
      </w:r>
      <w:r w:rsidR="00110325" w:rsidRPr="00121A6A">
        <w:rPr>
          <w:sz w:val="24"/>
          <w:szCs w:val="24"/>
        </w:rPr>
        <w:t>)</w:t>
      </w:r>
      <w:r w:rsidR="00D01728" w:rsidRPr="00121A6A">
        <w:rPr>
          <w:sz w:val="24"/>
          <w:szCs w:val="24"/>
        </w:rPr>
        <w:t xml:space="preserve">, </w:t>
      </w:r>
      <w:r w:rsidR="000D7402">
        <w:rPr>
          <w:sz w:val="24"/>
          <w:szCs w:val="24"/>
        </w:rPr>
        <w:t xml:space="preserve">die op grond daarvan </w:t>
      </w:r>
      <w:r w:rsidR="001B62A1" w:rsidRPr="00121A6A">
        <w:rPr>
          <w:sz w:val="24"/>
          <w:szCs w:val="24"/>
        </w:rPr>
        <w:t xml:space="preserve">ertoe werd verplicht </w:t>
      </w:r>
      <w:r w:rsidR="00DC1A2E">
        <w:rPr>
          <w:sz w:val="24"/>
          <w:szCs w:val="24"/>
        </w:rPr>
        <w:t xml:space="preserve">om </w:t>
      </w:r>
      <w:r w:rsidR="004148A1" w:rsidRPr="00121A6A">
        <w:rPr>
          <w:sz w:val="24"/>
          <w:szCs w:val="24"/>
        </w:rPr>
        <w:t>aan</w:t>
      </w:r>
      <w:r w:rsidR="001B62A1" w:rsidRPr="00121A6A">
        <w:rPr>
          <w:sz w:val="24"/>
          <w:szCs w:val="24"/>
        </w:rPr>
        <w:t xml:space="preserve"> de verkrijgende </w:t>
      </w:r>
      <w:r w:rsidR="00BE1456">
        <w:rPr>
          <w:sz w:val="24"/>
          <w:szCs w:val="24"/>
        </w:rPr>
        <w:t>vennootschap</w:t>
      </w:r>
      <w:r w:rsidR="001B62A1" w:rsidRPr="00121A6A">
        <w:rPr>
          <w:sz w:val="24"/>
          <w:szCs w:val="24"/>
        </w:rPr>
        <w:t xml:space="preserve"> als voorwaarde voor de overdracht te stellen </w:t>
      </w:r>
      <w:r w:rsidR="009A6692" w:rsidRPr="00121A6A">
        <w:rPr>
          <w:sz w:val="24"/>
          <w:szCs w:val="24"/>
        </w:rPr>
        <w:t xml:space="preserve">dat gedurende dertig jaar </w:t>
      </w:r>
      <w:r w:rsidR="00D01728" w:rsidRPr="00121A6A">
        <w:rPr>
          <w:sz w:val="24"/>
          <w:szCs w:val="24"/>
        </w:rPr>
        <w:t>dezelfde arbeidsvoorwaarden</w:t>
      </w:r>
      <w:r w:rsidR="00F7605D" w:rsidRPr="00121A6A">
        <w:rPr>
          <w:sz w:val="24"/>
          <w:szCs w:val="24"/>
        </w:rPr>
        <w:t xml:space="preserve"> </w:t>
      </w:r>
      <w:r w:rsidR="001B62A1" w:rsidRPr="00121A6A">
        <w:rPr>
          <w:sz w:val="24"/>
          <w:szCs w:val="24"/>
        </w:rPr>
        <w:t xml:space="preserve">zouden </w:t>
      </w:r>
      <w:r w:rsidR="00F7605D" w:rsidRPr="00121A6A">
        <w:rPr>
          <w:sz w:val="24"/>
          <w:szCs w:val="24"/>
        </w:rPr>
        <w:t>moeten</w:t>
      </w:r>
      <w:r w:rsidR="009A6692" w:rsidRPr="00121A6A">
        <w:rPr>
          <w:sz w:val="24"/>
          <w:szCs w:val="24"/>
        </w:rPr>
        <w:t xml:space="preserve"> </w:t>
      </w:r>
      <w:r w:rsidR="00D01728" w:rsidRPr="00121A6A">
        <w:rPr>
          <w:sz w:val="24"/>
          <w:szCs w:val="24"/>
        </w:rPr>
        <w:t xml:space="preserve">worden </w:t>
      </w:r>
      <w:r w:rsidR="0048422B">
        <w:rPr>
          <w:sz w:val="24"/>
          <w:szCs w:val="24"/>
        </w:rPr>
        <w:t>gegarandeerd</w:t>
      </w:r>
      <w:r w:rsidR="00D01728" w:rsidRPr="00121A6A">
        <w:rPr>
          <w:sz w:val="24"/>
          <w:szCs w:val="24"/>
        </w:rPr>
        <w:t xml:space="preserve">. </w:t>
      </w:r>
      <w:r w:rsidR="00110325" w:rsidRPr="00121A6A">
        <w:rPr>
          <w:sz w:val="24"/>
          <w:szCs w:val="24"/>
        </w:rPr>
        <w:t xml:space="preserve">Omdat </w:t>
      </w:r>
      <w:r w:rsidR="009A6692" w:rsidRPr="00FC48F3">
        <w:rPr>
          <w:i/>
          <w:iCs/>
          <w:sz w:val="24"/>
          <w:szCs w:val="24"/>
        </w:rPr>
        <w:t>UCLH</w:t>
      </w:r>
      <w:r w:rsidR="009A6692" w:rsidRPr="00121A6A">
        <w:rPr>
          <w:sz w:val="24"/>
          <w:szCs w:val="24"/>
        </w:rPr>
        <w:t xml:space="preserve"> weigerde </w:t>
      </w:r>
      <w:r w:rsidR="0048422B">
        <w:rPr>
          <w:sz w:val="24"/>
          <w:szCs w:val="24"/>
        </w:rPr>
        <w:t xml:space="preserve">om </w:t>
      </w:r>
      <w:r w:rsidR="009A6692" w:rsidRPr="00121A6A">
        <w:rPr>
          <w:sz w:val="24"/>
          <w:szCs w:val="24"/>
        </w:rPr>
        <w:t xml:space="preserve">dit verzoek in te willigen of enige bescherming van bestaande arbeidsvoorwaarden te </w:t>
      </w:r>
      <w:r w:rsidR="00DC1A2E">
        <w:rPr>
          <w:sz w:val="24"/>
          <w:szCs w:val="24"/>
        </w:rPr>
        <w:t>bieden</w:t>
      </w:r>
      <w:r w:rsidR="009A6692" w:rsidRPr="00121A6A">
        <w:rPr>
          <w:sz w:val="24"/>
          <w:szCs w:val="24"/>
        </w:rPr>
        <w:t xml:space="preserve"> die verder ging dan wat </w:t>
      </w:r>
      <w:r w:rsidR="00452F70" w:rsidRPr="00121A6A">
        <w:rPr>
          <w:sz w:val="24"/>
          <w:szCs w:val="24"/>
        </w:rPr>
        <w:t xml:space="preserve">wetgeving inzake </w:t>
      </w:r>
      <w:r w:rsidR="0048422B">
        <w:rPr>
          <w:sz w:val="24"/>
          <w:szCs w:val="24"/>
        </w:rPr>
        <w:t xml:space="preserve">de </w:t>
      </w:r>
      <w:r w:rsidR="00452F70" w:rsidRPr="00121A6A">
        <w:rPr>
          <w:sz w:val="24"/>
          <w:szCs w:val="24"/>
        </w:rPr>
        <w:t xml:space="preserve">overgang van </w:t>
      </w:r>
      <w:r w:rsidR="000D7402">
        <w:rPr>
          <w:sz w:val="24"/>
          <w:szCs w:val="24"/>
        </w:rPr>
        <w:t xml:space="preserve">een </w:t>
      </w:r>
      <w:r w:rsidR="00452F70" w:rsidRPr="00121A6A">
        <w:rPr>
          <w:sz w:val="24"/>
          <w:szCs w:val="24"/>
        </w:rPr>
        <w:t xml:space="preserve">onderneming </w:t>
      </w:r>
      <w:r w:rsidR="009A6692" w:rsidRPr="00121A6A">
        <w:rPr>
          <w:sz w:val="24"/>
          <w:szCs w:val="24"/>
        </w:rPr>
        <w:t>als minimum garandeerde</w:t>
      </w:r>
      <w:r w:rsidR="00110325" w:rsidRPr="00121A6A">
        <w:rPr>
          <w:sz w:val="24"/>
          <w:szCs w:val="24"/>
        </w:rPr>
        <w:t xml:space="preserve">, </w:t>
      </w:r>
      <w:r w:rsidR="00452F70" w:rsidRPr="00121A6A">
        <w:rPr>
          <w:sz w:val="24"/>
          <w:szCs w:val="24"/>
        </w:rPr>
        <w:t>volgde een stakingsa</w:t>
      </w:r>
      <w:r w:rsidR="00B70F4E" w:rsidRPr="00121A6A">
        <w:rPr>
          <w:sz w:val="24"/>
          <w:szCs w:val="24"/>
        </w:rPr>
        <w:t>anzegging</w:t>
      </w:r>
      <w:r w:rsidR="00110325" w:rsidRPr="00121A6A">
        <w:rPr>
          <w:sz w:val="24"/>
          <w:szCs w:val="24"/>
        </w:rPr>
        <w:t>.</w:t>
      </w:r>
      <w:r w:rsidR="00452F70" w:rsidRPr="00121A6A">
        <w:rPr>
          <w:sz w:val="24"/>
          <w:szCs w:val="24"/>
        </w:rPr>
        <w:t xml:space="preserve"> </w:t>
      </w:r>
      <w:r w:rsidR="00110325" w:rsidRPr="00121A6A">
        <w:rPr>
          <w:sz w:val="24"/>
          <w:szCs w:val="24"/>
        </w:rPr>
        <w:t>In reactie hierop spande</w:t>
      </w:r>
      <w:r w:rsidR="00452F70" w:rsidRPr="00121A6A">
        <w:rPr>
          <w:sz w:val="24"/>
          <w:szCs w:val="24"/>
        </w:rPr>
        <w:t xml:space="preserve"> </w:t>
      </w:r>
      <w:r w:rsidR="00452F70" w:rsidRPr="00FC48F3">
        <w:rPr>
          <w:i/>
          <w:iCs/>
          <w:sz w:val="24"/>
          <w:szCs w:val="24"/>
        </w:rPr>
        <w:t>UCLH</w:t>
      </w:r>
      <w:r w:rsidR="00452F70" w:rsidRPr="00121A6A">
        <w:rPr>
          <w:sz w:val="24"/>
          <w:szCs w:val="24"/>
        </w:rPr>
        <w:t xml:space="preserve"> een kort geding </w:t>
      </w:r>
      <w:r w:rsidR="00110325" w:rsidRPr="00121A6A">
        <w:rPr>
          <w:sz w:val="24"/>
          <w:szCs w:val="24"/>
        </w:rPr>
        <w:t>aan, dat uitviel</w:t>
      </w:r>
      <w:r w:rsidR="00452F70" w:rsidRPr="00121A6A">
        <w:rPr>
          <w:sz w:val="24"/>
          <w:szCs w:val="24"/>
        </w:rPr>
        <w:t xml:space="preserve"> in </w:t>
      </w:r>
      <w:r w:rsidR="001E14C0">
        <w:rPr>
          <w:sz w:val="24"/>
          <w:szCs w:val="24"/>
        </w:rPr>
        <w:t>zijn</w:t>
      </w:r>
      <w:r w:rsidR="00452F70" w:rsidRPr="00121A6A">
        <w:rPr>
          <w:sz w:val="24"/>
          <w:szCs w:val="24"/>
        </w:rPr>
        <w:t xml:space="preserve"> voordeel</w:t>
      </w:r>
      <w:r w:rsidR="00110325" w:rsidRPr="00121A6A">
        <w:rPr>
          <w:sz w:val="24"/>
          <w:szCs w:val="24"/>
        </w:rPr>
        <w:t>.</w:t>
      </w:r>
      <w:r w:rsidR="00452F70" w:rsidRPr="00121A6A">
        <w:rPr>
          <w:sz w:val="24"/>
          <w:szCs w:val="24"/>
        </w:rPr>
        <w:t xml:space="preserve"> De vakbond </w:t>
      </w:r>
      <w:r w:rsidR="00994FA1" w:rsidRPr="00121A6A">
        <w:rPr>
          <w:sz w:val="24"/>
          <w:szCs w:val="24"/>
        </w:rPr>
        <w:t xml:space="preserve">diende </w:t>
      </w:r>
      <w:r w:rsidR="0048422B">
        <w:rPr>
          <w:sz w:val="24"/>
          <w:szCs w:val="24"/>
        </w:rPr>
        <w:t xml:space="preserve">daaropvolgend </w:t>
      </w:r>
      <w:r w:rsidR="00994FA1" w:rsidRPr="00121A6A">
        <w:rPr>
          <w:sz w:val="24"/>
          <w:szCs w:val="24"/>
        </w:rPr>
        <w:t>een klacht in bij het EHRM.</w:t>
      </w:r>
      <w:r w:rsidR="00452F70" w:rsidRPr="00121A6A">
        <w:rPr>
          <w:sz w:val="24"/>
          <w:szCs w:val="24"/>
        </w:rPr>
        <w:t xml:space="preserve"> </w:t>
      </w:r>
    </w:p>
    <w:p w14:paraId="663AC9EE" w14:textId="211DCBC8" w:rsidR="004D0BF3" w:rsidRPr="00121A6A" w:rsidRDefault="00D90E0F" w:rsidP="00714BAE">
      <w:pPr>
        <w:spacing w:after="0"/>
        <w:ind w:firstLine="708"/>
        <w:jc w:val="both"/>
        <w:rPr>
          <w:sz w:val="24"/>
          <w:szCs w:val="24"/>
        </w:rPr>
      </w:pPr>
      <w:r w:rsidRPr="00121A6A">
        <w:rPr>
          <w:sz w:val="24"/>
          <w:szCs w:val="24"/>
        </w:rPr>
        <w:t>Anders</w:t>
      </w:r>
      <w:r w:rsidR="008B1B44" w:rsidRPr="00121A6A">
        <w:rPr>
          <w:sz w:val="24"/>
          <w:szCs w:val="24"/>
        </w:rPr>
        <w:t xml:space="preserve"> dan in </w:t>
      </w:r>
      <w:r w:rsidR="008B1B44" w:rsidRPr="00121A6A">
        <w:rPr>
          <w:i/>
          <w:iCs/>
          <w:sz w:val="24"/>
          <w:szCs w:val="24"/>
        </w:rPr>
        <w:t xml:space="preserve">Schmidt en </w:t>
      </w:r>
      <w:proofErr w:type="spellStart"/>
      <w:r w:rsidR="008B1B44" w:rsidRPr="00121A6A">
        <w:rPr>
          <w:i/>
          <w:iCs/>
          <w:sz w:val="24"/>
          <w:szCs w:val="24"/>
        </w:rPr>
        <w:t>Dahlström</w:t>
      </w:r>
      <w:proofErr w:type="spellEnd"/>
      <w:r w:rsidR="008B1B44" w:rsidRPr="00121A6A">
        <w:rPr>
          <w:sz w:val="24"/>
          <w:szCs w:val="24"/>
        </w:rPr>
        <w:t xml:space="preserve"> </w:t>
      </w:r>
      <w:r w:rsidRPr="00121A6A">
        <w:rPr>
          <w:sz w:val="24"/>
          <w:szCs w:val="24"/>
        </w:rPr>
        <w:t xml:space="preserve">oordeelde het Hof </w:t>
      </w:r>
      <w:r w:rsidR="00E97F00" w:rsidRPr="00121A6A">
        <w:rPr>
          <w:sz w:val="24"/>
          <w:szCs w:val="24"/>
        </w:rPr>
        <w:t xml:space="preserve">dat </w:t>
      </w:r>
      <w:r w:rsidR="008B1B44" w:rsidRPr="00121A6A">
        <w:rPr>
          <w:sz w:val="24"/>
          <w:szCs w:val="24"/>
        </w:rPr>
        <w:t xml:space="preserve">de beslissing van de Engelse rechter </w:t>
      </w:r>
      <w:r w:rsidR="00E97F00" w:rsidRPr="00121A6A">
        <w:rPr>
          <w:sz w:val="24"/>
          <w:szCs w:val="24"/>
        </w:rPr>
        <w:t xml:space="preserve">de vakverenigingsvrijheid </w:t>
      </w:r>
      <w:r w:rsidR="001F5A69" w:rsidRPr="00121A6A">
        <w:rPr>
          <w:sz w:val="24"/>
          <w:szCs w:val="24"/>
        </w:rPr>
        <w:t>beperkt</w:t>
      </w:r>
      <w:r w:rsidR="000D7402">
        <w:rPr>
          <w:sz w:val="24"/>
          <w:szCs w:val="24"/>
        </w:rPr>
        <w:t>e</w:t>
      </w:r>
      <w:r w:rsidR="006B3464" w:rsidRPr="00121A6A">
        <w:rPr>
          <w:sz w:val="24"/>
          <w:szCs w:val="24"/>
        </w:rPr>
        <w:t xml:space="preserve"> en derhalve slechts toelaatbaar </w:t>
      </w:r>
      <w:r w:rsidR="000D7402">
        <w:rPr>
          <w:sz w:val="24"/>
          <w:szCs w:val="24"/>
        </w:rPr>
        <w:t>was</w:t>
      </w:r>
      <w:r w:rsidR="006B3464" w:rsidRPr="00121A6A">
        <w:rPr>
          <w:sz w:val="24"/>
          <w:szCs w:val="24"/>
        </w:rPr>
        <w:t xml:space="preserve"> </w:t>
      </w:r>
      <w:r w:rsidR="001F5A69" w:rsidRPr="00121A6A">
        <w:rPr>
          <w:sz w:val="24"/>
          <w:szCs w:val="24"/>
        </w:rPr>
        <w:t xml:space="preserve">onder de voorwaarden genoemd in artikel 11 lid 2 EVRM. </w:t>
      </w:r>
      <w:r w:rsidR="00C7301C" w:rsidRPr="00121A6A">
        <w:rPr>
          <w:sz w:val="24"/>
          <w:szCs w:val="24"/>
        </w:rPr>
        <w:t xml:space="preserve">Achtereenvolgens </w:t>
      </w:r>
      <w:r w:rsidRPr="00121A6A">
        <w:rPr>
          <w:sz w:val="24"/>
          <w:szCs w:val="24"/>
        </w:rPr>
        <w:t>moe</w:t>
      </w:r>
      <w:r w:rsidR="000D7402">
        <w:rPr>
          <w:sz w:val="24"/>
          <w:szCs w:val="24"/>
        </w:rPr>
        <w:t>s</w:t>
      </w:r>
      <w:r w:rsidRPr="00121A6A">
        <w:rPr>
          <w:sz w:val="24"/>
          <w:szCs w:val="24"/>
        </w:rPr>
        <w:t>t</w:t>
      </w:r>
      <w:r w:rsidR="00EE7515" w:rsidRPr="00121A6A">
        <w:rPr>
          <w:sz w:val="24"/>
          <w:szCs w:val="24"/>
        </w:rPr>
        <w:t xml:space="preserve"> de maatregel</w:t>
      </w:r>
      <w:r w:rsidR="00C7301C" w:rsidRPr="00121A6A">
        <w:rPr>
          <w:sz w:val="24"/>
          <w:szCs w:val="24"/>
        </w:rPr>
        <w:t>: (1) een wettelijke grondslag</w:t>
      </w:r>
      <w:r w:rsidR="00EE7515" w:rsidRPr="00121A6A">
        <w:rPr>
          <w:sz w:val="24"/>
          <w:szCs w:val="24"/>
        </w:rPr>
        <w:t xml:space="preserve"> </w:t>
      </w:r>
      <w:r w:rsidRPr="00121A6A">
        <w:rPr>
          <w:sz w:val="24"/>
          <w:szCs w:val="24"/>
        </w:rPr>
        <w:t>hebben</w:t>
      </w:r>
      <w:r w:rsidR="00C7301C" w:rsidRPr="00121A6A">
        <w:rPr>
          <w:sz w:val="24"/>
          <w:szCs w:val="24"/>
        </w:rPr>
        <w:t>; (2) een legitiem doel</w:t>
      </w:r>
      <w:r w:rsidR="00EE7515" w:rsidRPr="00121A6A">
        <w:rPr>
          <w:sz w:val="24"/>
          <w:szCs w:val="24"/>
        </w:rPr>
        <w:t xml:space="preserve"> </w:t>
      </w:r>
      <w:r w:rsidRPr="00121A6A">
        <w:rPr>
          <w:sz w:val="24"/>
          <w:szCs w:val="24"/>
        </w:rPr>
        <w:t>dienen</w:t>
      </w:r>
      <w:r w:rsidR="00C7301C" w:rsidRPr="00121A6A">
        <w:rPr>
          <w:sz w:val="24"/>
          <w:szCs w:val="24"/>
        </w:rPr>
        <w:t xml:space="preserve">; </w:t>
      </w:r>
      <w:r w:rsidRPr="00121A6A">
        <w:rPr>
          <w:sz w:val="24"/>
          <w:szCs w:val="24"/>
        </w:rPr>
        <w:t xml:space="preserve">en </w:t>
      </w:r>
      <w:r w:rsidR="00C7301C" w:rsidRPr="00121A6A">
        <w:rPr>
          <w:sz w:val="24"/>
          <w:szCs w:val="24"/>
        </w:rPr>
        <w:t xml:space="preserve">(3) </w:t>
      </w:r>
      <w:r w:rsidR="00EE7515" w:rsidRPr="00121A6A">
        <w:rPr>
          <w:sz w:val="24"/>
          <w:szCs w:val="24"/>
        </w:rPr>
        <w:t xml:space="preserve">noodzakelijk </w:t>
      </w:r>
      <w:r w:rsidRPr="00121A6A">
        <w:rPr>
          <w:sz w:val="24"/>
          <w:szCs w:val="24"/>
        </w:rPr>
        <w:t>zijn</w:t>
      </w:r>
      <w:r w:rsidR="00EE7515" w:rsidRPr="00121A6A">
        <w:rPr>
          <w:sz w:val="24"/>
          <w:szCs w:val="24"/>
        </w:rPr>
        <w:t xml:space="preserve"> in een democratische samenleving</w:t>
      </w:r>
      <w:r w:rsidR="00C7301C" w:rsidRPr="00121A6A">
        <w:rPr>
          <w:sz w:val="24"/>
          <w:szCs w:val="24"/>
        </w:rPr>
        <w:t>.</w:t>
      </w:r>
      <w:r w:rsidR="00EE7515" w:rsidRPr="00121A6A">
        <w:rPr>
          <w:sz w:val="24"/>
          <w:szCs w:val="24"/>
        </w:rPr>
        <w:t xml:space="preserve"> Dit</w:t>
      </w:r>
      <w:r w:rsidR="004D0BF3" w:rsidRPr="00121A6A">
        <w:rPr>
          <w:sz w:val="24"/>
          <w:szCs w:val="24"/>
        </w:rPr>
        <w:t xml:space="preserve"> laatste</w:t>
      </w:r>
      <w:r w:rsidR="00511C53">
        <w:rPr>
          <w:sz w:val="24"/>
          <w:szCs w:val="24"/>
        </w:rPr>
        <w:t xml:space="preserve"> vereiste</w:t>
      </w:r>
      <w:r w:rsidR="00EE7515" w:rsidRPr="00121A6A">
        <w:rPr>
          <w:sz w:val="24"/>
          <w:szCs w:val="24"/>
        </w:rPr>
        <w:t xml:space="preserve"> impliceert een proportionaliteitst</w:t>
      </w:r>
      <w:r w:rsidR="000D7402">
        <w:rPr>
          <w:sz w:val="24"/>
          <w:szCs w:val="24"/>
        </w:rPr>
        <w:t>oets</w:t>
      </w:r>
      <w:r w:rsidR="00EE7515" w:rsidRPr="00121A6A">
        <w:rPr>
          <w:sz w:val="24"/>
          <w:szCs w:val="24"/>
        </w:rPr>
        <w:t>, die uiteenvalt in een onderzoek naar de geschiktheid en evenredigheid van de aangevochten maatregel.</w:t>
      </w:r>
      <w:r w:rsidR="00C7301C" w:rsidRPr="00121A6A">
        <w:rPr>
          <w:sz w:val="24"/>
          <w:szCs w:val="24"/>
        </w:rPr>
        <w:t xml:space="preserve"> </w:t>
      </w:r>
      <w:r w:rsidR="008531A8" w:rsidRPr="00121A6A">
        <w:rPr>
          <w:sz w:val="24"/>
          <w:szCs w:val="24"/>
        </w:rPr>
        <w:t>Aangaande</w:t>
      </w:r>
      <w:r w:rsidR="00C7301C" w:rsidRPr="00121A6A">
        <w:rPr>
          <w:sz w:val="24"/>
          <w:szCs w:val="24"/>
        </w:rPr>
        <w:t xml:space="preserve"> </w:t>
      </w:r>
      <w:r w:rsidR="00EE7515" w:rsidRPr="00121A6A">
        <w:rPr>
          <w:sz w:val="24"/>
          <w:szCs w:val="24"/>
        </w:rPr>
        <w:t xml:space="preserve">het vereiste </w:t>
      </w:r>
      <w:r w:rsidR="00425791" w:rsidRPr="00121A6A">
        <w:rPr>
          <w:sz w:val="24"/>
          <w:szCs w:val="24"/>
        </w:rPr>
        <w:t xml:space="preserve">van een </w:t>
      </w:r>
      <w:r w:rsidR="00EE7515" w:rsidRPr="00121A6A">
        <w:rPr>
          <w:sz w:val="24"/>
          <w:szCs w:val="24"/>
        </w:rPr>
        <w:t xml:space="preserve">legitiem doel </w:t>
      </w:r>
      <w:r w:rsidR="00462CF4" w:rsidRPr="00121A6A">
        <w:rPr>
          <w:sz w:val="24"/>
          <w:szCs w:val="24"/>
        </w:rPr>
        <w:t xml:space="preserve">stond de vraag </w:t>
      </w:r>
      <w:r w:rsidR="008531A8" w:rsidRPr="00121A6A">
        <w:rPr>
          <w:sz w:val="24"/>
          <w:szCs w:val="24"/>
        </w:rPr>
        <w:t>centraal</w:t>
      </w:r>
      <w:r w:rsidR="00462CF4" w:rsidRPr="00121A6A">
        <w:rPr>
          <w:sz w:val="24"/>
          <w:szCs w:val="24"/>
        </w:rPr>
        <w:t xml:space="preserve"> of </w:t>
      </w:r>
      <w:r w:rsidR="0048422B">
        <w:rPr>
          <w:sz w:val="24"/>
          <w:szCs w:val="24"/>
        </w:rPr>
        <w:t xml:space="preserve">de </w:t>
      </w:r>
      <w:r w:rsidR="00462CF4" w:rsidRPr="00121A6A">
        <w:rPr>
          <w:sz w:val="24"/>
          <w:szCs w:val="24"/>
        </w:rPr>
        <w:t xml:space="preserve">bescherming van het economisch belang van </w:t>
      </w:r>
      <w:r w:rsidR="001B62A1" w:rsidRPr="00FC48F3">
        <w:rPr>
          <w:i/>
          <w:iCs/>
          <w:sz w:val="24"/>
          <w:szCs w:val="24"/>
        </w:rPr>
        <w:t>U</w:t>
      </w:r>
      <w:r w:rsidR="004D0BF3" w:rsidRPr="00FC48F3">
        <w:rPr>
          <w:i/>
          <w:iCs/>
          <w:sz w:val="24"/>
          <w:szCs w:val="24"/>
        </w:rPr>
        <w:t>CLH</w:t>
      </w:r>
      <w:r w:rsidR="004D0BF3" w:rsidRPr="00121A6A">
        <w:rPr>
          <w:sz w:val="24"/>
          <w:szCs w:val="24"/>
        </w:rPr>
        <w:t xml:space="preserve">, meer specifiek het behoud van </w:t>
      </w:r>
      <w:r w:rsidR="001E14C0">
        <w:rPr>
          <w:sz w:val="24"/>
          <w:szCs w:val="24"/>
        </w:rPr>
        <w:t>zijn</w:t>
      </w:r>
      <w:r w:rsidR="004D0BF3" w:rsidRPr="00121A6A">
        <w:rPr>
          <w:sz w:val="24"/>
          <w:szCs w:val="24"/>
        </w:rPr>
        <w:t xml:space="preserve"> contractsvrijheid met de verkrijgende vennootschap, </w:t>
      </w:r>
      <w:r w:rsidR="00462CF4" w:rsidRPr="00121A6A">
        <w:rPr>
          <w:sz w:val="24"/>
          <w:szCs w:val="24"/>
        </w:rPr>
        <w:t xml:space="preserve">als </w:t>
      </w:r>
      <w:r w:rsidR="00EE7515" w:rsidRPr="00121A6A">
        <w:rPr>
          <w:sz w:val="24"/>
          <w:szCs w:val="24"/>
        </w:rPr>
        <w:t>zodanig</w:t>
      </w:r>
      <w:r w:rsidR="00462CF4" w:rsidRPr="00121A6A">
        <w:rPr>
          <w:sz w:val="24"/>
          <w:szCs w:val="24"/>
        </w:rPr>
        <w:t xml:space="preserve"> k</w:t>
      </w:r>
      <w:r w:rsidRPr="00121A6A">
        <w:rPr>
          <w:sz w:val="24"/>
          <w:szCs w:val="24"/>
        </w:rPr>
        <w:t>o</w:t>
      </w:r>
      <w:r w:rsidR="00462CF4" w:rsidRPr="00121A6A">
        <w:rPr>
          <w:sz w:val="24"/>
          <w:szCs w:val="24"/>
        </w:rPr>
        <w:t>n kwalificeren. Het EHRM schaarde dit onder de categorie ‘</w:t>
      </w:r>
      <w:r w:rsidR="00462CF4" w:rsidRPr="000D7402">
        <w:rPr>
          <w:i/>
          <w:iCs/>
          <w:sz w:val="24"/>
          <w:szCs w:val="24"/>
        </w:rPr>
        <w:t>bescherming van de rechten en vrijheden van anderen</w:t>
      </w:r>
      <w:r w:rsidR="00462CF4" w:rsidRPr="00121A6A">
        <w:rPr>
          <w:sz w:val="24"/>
          <w:szCs w:val="24"/>
        </w:rPr>
        <w:t>’</w:t>
      </w:r>
      <w:r w:rsidR="000D7402">
        <w:rPr>
          <w:sz w:val="24"/>
          <w:szCs w:val="24"/>
        </w:rPr>
        <w:t xml:space="preserve"> van artikel 11 </w:t>
      </w:r>
      <w:r w:rsidR="00BE1456">
        <w:rPr>
          <w:sz w:val="24"/>
          <w:szCs w:val="24"/>
        </w:rPr>
        <w:t xml:space="preserve">lid </w:t>
      </w:r>
      <w:r w:rsidR="00511C53">
        <w:rPr>
          <w:sz w:val="24"/>
          <w:szCs w:val="24"/>
        </w:rPr>
        <w:t>2</w:t>
      </w:r>
      <w:r w:rsidR="00BE1456">
        <w:rPr>
          <w:sz w:val="24"/>
          <w:szCs w:val="24"/>
        </w:rPr>
        <w:t xml:space="preserve"> </w:t>
      </w:r>
      <w:r w:rsidR="000D7402">
        <w:rPr>
          <w:sz w:val="24"/>
          <w:szCs w:val="24"/>
        </w:rPr>
        <w:t>EVRM</w:t>
      </w:r>
      <w:r w:rsidR="00462CF4" w:rsidRPr="00121A6A">
        <w:rPr>
          <w:sz w:val="24"/>
          <w:szCs w:val="24"/>
        </w:rPr>
        <w:t>.</w:t>
      </w:r>
      <w:r w:rsidR="0060731A" w:rsidRPr="00121A6A">
        <w:rPr>
          <w:rStyle w:val="FootnoteReference"/>
          <w:sz w:val="24"/>
          <w:szCs w:val="24"/>
        </w:rPr>
        <w:footnoteReference w:id="115"/>
      </w:r>
      <w:r w:rsidR="00462CF4" w:rsidRPr="00121A6A">
        <w:rPr>
          <w:sz w:val="24"/>
          <w:szCs w:val="24"/>
        </w:rPr>
        <w:t xml:space="preserve"> </w:t>
      </w:r>
      <w:r w:rsidR="00BE1456">
        <w:rPr>
          <w:sz w:val="24"/>
          <w:szCs w:val="24"/>
        </w:rPr>
        <w:t>Bij</w:t>
      </w:r>
      <w:r w:rsidR="00E273EB" w:rsidRPr="00121A6A">
        <w:rPr>
          <w:sz w:val="24"/>
          <w:szCs w:val="24"/>
        </w:rPr>
        <w:t xml:space="preserve"> de evenredigheidstoets </w:t>
      </w:r>
      <w:r w:rsidR="000D7402">
        <w:rPr>
          <w:sz w:val="24"/>
          <w:szCs w:val="24"/>
        </w:rPr>
        <w:t xml:space="preserve">moest het Hof </w:t>
      </w:r>
      <w:r w:rsidR="00E273EB" w:rsidRPr="00121A6A">
        <w:rPr>
          <w:sz w:val="24"/>
          <w:szCs w:val="24"/>
        </w:rPr>
        <w:t xml:space="preserve">de belangen van </w:t>
      </w:r>
      <w:r w:rsidR="004D0BF3" w:rsidRPr="00121A6A">
        <w:rPr>
          <w:sz w:val="24"/>
          <w:szCs w:val="24"/>
        </w:rPr>
        <w:t xml:space="preserve">de </w:t>
      </w:r>
      <w:r w:rsidR="00E273EB" w:rsidRPr="00121A6A">
        <w:rPr>
          <w:sz w:val="24"/>
          <w:szCs w:val="24"/>
        </w:rPr>
        <w:t>werknemers afwegen tegen het</w:t>
      </w:r>
      <w:r w:rsidR="004D0BF3" w:rsidRPr="00121A6A">
        <w:rPr>
          <w:sz w:val="24"/>
          <w:szCs w:val="24"/>
        </w:rPr>
        <w:t xml:space="preserve"> werkgeversbelang</w:t>
      </w:r>
      <w:r w:rsidR="00E273EB" w:rsidRPr="00121A6A">
        <w:rPr>
          <w:sz w:val="24"/>
          <w:szCs w:val="24"/>
        </w:rPr>
        <w:t xml:space="preserve">. In dit verband </w:t>
      </w:r>
      <w:r w:rsidR="00425791" w:rsidRPr="00121A6A">
        <w:rPr>
          <w:sz w:val="24"/>
          <w:szCs w:val="24"/>
        </w:rPr>
        <w:t>werd overwogen</w:t>
      </w:r>
      <w:r w:rsidR="00E273EB" w:rsidRPr="00121A6A">
        <w:rPr>
          <w:sz w:val="24"/>
          <w:szCs w:val="24"/>
        </w:rPr>
        <w:t xml:space="preserve"> dat niet </w:t>
      </w:r>
      <w:r w:rsidR="00CC604B">
        <w:rPr>
          <w:sz w:val="24"/>
          <w:szCs w:val="24"/>
        </w:rPr>
        <w:t>was</w:t>
      </w:r>
      <w:r w:rsidR="00E273EB" w:rsidRPr="00121A6A">
        <w:rPr>
          <w:sz w:val="24"/>
          <w:szCs w:val="24"/>
        </w:rPr>
        <w:t xml:space="preserve"> aangetoond dat </w:t>
      </w:r>
      <w:r w:rsidR="00CC604B">
        <w:rPr>
          <w:sz w:val="24"/>
          <w:szCs w:val="24"/>
        </w:rPr>
        <w:t xml:space="preserve">de </w:t>
      </w:r>
      <w:r w:rsidR="00A260A4" w:rsidRPr="00121A6A">
        <w:rPr>
          <w:sz w:val="24"/>
          <w:szCs w:val="24"/>
        </w:rPr>
        <w:t>vakbonds</w:t>
      </w:r>
      <w:r w:rsidR="00E273EB" w:rsidRPr="00121A6A">
        <w:rPr>
          <w:sz w:val="24"/>
          <w:szCs w:val="24"/>
        </w:rPr>
        <w:t xml:space="preserve">leden een reëel </w:t>
      </w:r>
      <w:r w:rsidR="00EC070C" w:rsidRPr="00121A6A">
        <w:rPr>
          <w:sz w:val="24"/>
          <w:szCs w:val="24"/>
        </w:rPr>
        <w:t>en/</w:t>
      </w:r>
      <w:r w:rsidR="00E273EB" w:rsidRPr="00121A6A">
        <w:rPr>
          <w:sz w:val="24"/>
          <w:szCs w:val="24"/>
        </w:rPr>
        <w:t xml:space="preserve">of onmiddellijk risico </w:t>
      </w:r>
      <w:r w:rsidR="00CC604B">
        <w:rPr>
          <w:sz w:val="24"/>
          <w:szCs w:val="24"/>
        </w:rPr>
        <w:t>liepen</w:t>
      </w:r>
      <w:r w:rsidR="00E273EB" w:rsidRPr="00121A6A">
        <w:rPr>
          <w:sz w:val="24"/>
          <w:szCs w:val="24"/>
        </w:rPr>
        <w:t xml:space="preserve"> om benadeeld te worden.</w:t>
      </w:r>
      <w:r w:rsidR="00F52E93" w:rsidRPr="00121A6A">
        <w:rPr>
          <w:rStyle w:val="FootnoteReference"/>
          <w:sz w:val="24"/>
          <w:szCs w:val="24"/>
        </w:rPr>
        <w:footnoteReference w:id="116"/>
      </w:r>
      <w:r w:rsidR="00E273EB" w:rsidRPr="00121A6A">
        <w:rPr>
          <w:sz w:val="24"/>
          <w:szCs w:val="24"/>
        </w:rPr>
        <w:t xml:space="preserve"> </w:t>
      </w:r>
      <w:r w:rsidR="00A260A4" w:rsidRPr="00121A6A">
        <w:rPr>
          <w:sz w:val="24"/>
          <w:szCs w:val="24"/>
        </w:rPr>
        <w:t>Bovendien kan e</w:t>
      </w:r>
      <w:r w:rsidR="00E273EB" w:rsidRPr="00121A6A">
        <w:rPr>
          <w:sz w:val="24"/>
          <w:szCs w:val="24"/>
        </w:rPr>
        <w:t>en werkgever</w:t>
      </w:r>
      <w:r w:rsidR="00425791" w:rsidRPr="00121A6A">
        <w:rPr>
          <w:sz w:val="24"/>
          <w:szCs w:val="24"/>
        </w:rPr>
        <w:t xml:space="preserve"> volgens het EHRM</w:t>
      </w:r>
      <w:r w:rsidR="00E273EB" w:rsidRPr="00121A6A">
        <w:rPr>
          <w:sz w:val="24"/>
          <w:szCs w:val="24"/>
        </w:rPr>
        <w:t xml:space="preserve"> niet worden gedwongen </w:t>
      </w:r>
      <w:r w:rsidR="00E97538">
        <w:rPr>
          <w:sz w:val="24"/>
          <w:szCs w:val="24"/>
        </w:rPr>
        <w:t xml:space="preserve">om </w:t>
      </w:r>
      <w:r w:rsidR="00E273EB" w:rsidRPr="00121A6A">
        <w:rPr>
          <w:sz w:val="24"/>
          <w:szCs w:val="24"/>
        </w:rPr>
        <w:t xml:space="preserve">een bepaalde cao(-onderhandeling) aan te gaan. </w:t>
      </w:r>
      <w:r w:rsidR="008531A8" w:rsidRPr="00121A6A">
        <w:rPr>
          <w:sz w:val="24"/>
          <w:szCs w:val="24"/>
        </w:rPr>
        <w:t>Al met al</w:t>
      </w:r>
      <w:r w:rsidR="005637E4" w:rsidRPr="00121A6A">
        <w:rPr>
          <w:sz w:val="24"/>
          <w:szCs w:val="24"/>
        </w:rPr>
        <w:t xml:space="preserve"> had de</w:t>
      </w:r>
      <w:r w:rsidR="00E273EB" w:rsidRPr="00121A6A">
        <w:rPr>
          <w:sz w:val="24"/>
          <w:szCs w:val="24"/>
        </w:rPr>
        <w:t xml:space="preserve"> verwerende </w:t>
      </w:r>
      <w:r w:rsidR="002A6C7B" w:rsidRPr="00121A6A">
        <w:rPr>
          <w:sz w:val="24"/>
          <w:szCs w:val="24"/>
        </w:rPr>
        <w:t>lid</w:t>
      </w:r>
      <w:r w:rsidR="00E273EB" w:rsidRPr="00121A6A">
        <w:rPr>
          <w:sz w:val="24"/>
          <w:szCs w:val="24"/>
        </w:rPr>
        <w:t xml:space="preserve">staat </w:t>
      </w:r>
      <w:r w:rsidR="004E666B" w:rsidRPr="00121A6A">
        <w:rPr>
          <w:sz w:val="24"/>
          <w:szCs w:val="24"/>
        </w:rPr>
        <w:t>zijn</w:t>
      </w:r>
      <w:r w:rsidR="00E273EB" w:rsidRPr="00121A6A">
        <w:rPr>
          <w:sz w:val="24"/>
          <w:szCs w:val="24"/>
        </w:rPr>
        <w:t xml:space="preserve"> </w:t>
      </w:r>
      <w:r w:rsidR="00E91DC3" w:rsidRPr="00121A6A">
        <w:rPr>
          <w:sz w:val="24"/>
          <w:szCs w:val="24"/>
        </w:rPr>
        <w:t xml:space="preserve">ruime </w:t>
      </w:r>
      <w:r w:rsidR="00E273EB" w:rsidRPr="00121A6A">
        <w:rPr>
          <w:sz w:val="24"/>
          <w:szCs w:val="24"/>
        </w:rPr>
        <w:t>beoordelings</w:t>
      </w:r>
      <w:r w:rsidR="0005254A" w:rsidRPr="00121A6A">
        <w:rPr>
          <w:sz w:val="24"/>
          <w:szCs w:val="24"/>
        </w:rPr>
        <w:t>marge</w:t>
      </w:r>
      <w:r w:rsidR="006A6C33" w:rsidRPr="00121A6A">
        <w:rPr>
          <w:sz w:val="24"/>
          <w:szCs w:val="24"/>
        </w:rPr>
        <w:t xml:space="preserve"> bij het verwezenlijken van de vakbondsvrijheid</w:t>
      </w:r>
      <w:r w:rsidR="00E273EB" w:rsidRPr="00121A6A">
        <w:rPr>
          <w:sz w:val="24"/>
          <w:szCs w:val="24"/>
        </w:rPr>
        <w:t xml:space="preserve"> </w:t>
      </w:r>
      <w:r w:rsidR="005637E4" w:rsidRPr="00121A6A">
        <w:rPr>
          <w:sz w:val="24"/>
          <w:szCs w:val="24"/>
        </w:rPr>
        <w:t>niet</w:t>
      </w:r>
      <w:r w:rsidR="00E273EB" w:rsidRPr="00121A6A">
        <w:rPr>
          <w:sz w:val="24"/>
          <w:szCs w:val="24"/>
        </w:rPr>
        <w:t xml:space="preserve"> overschreden.</w:t>
      </w:r>
    </w:p>
    <w:p w14:paraId="24FDDBA1" w14:textId="2E19F120" w:rsidR="0089020A" w:rsidRPr="00121A6A" w:rsidRDefault="004D0BF3" w:rsidP="00340941">
      <w:pPr>
        <w:spacing w:after="0"/>
        <w:ind w:firstLine="708"/>
        <w:jc w:val="both"/>
        <w:rPr>
          <w:sz w:val="24"/>
          <w:szCs w:val="24"/>
        </w:rPr>
      </w:pPr>
      <w:r w:rsidRPr="00121A6A">
        <w:rPr>
          <w:sz w:val="24"/>
          <w:szCs w:val="24"/>
        </w:rPr>
        <w:t xml:space="preserve">Een vergelijking </w:t>
      </w:r>
      <w:r w:rsidR="00245D32">
        <w:rPr>
          <w:sz w:val="24"/>
          <w:szCs w:val="24"/>
        </w:rPr>
        <w:t>van</w:t>
      </w:r>
      <w:r w:rsidRPr="00121A6A">
        <w:rPr>
          <w:sz w:val="24"/>
          <w:szCs w:val="24"/>
        </w:rPr>
        <w:t xml:space="preserve"> het </w:t>
      </w:r>
      <w:proofErr w:type="spellStart"/>
      <w:r w:rsidRPr="00121A6A">
        <w:rPr>
          <w:i/>
          <w:iCs/>
          <w:sz w:val="24"/>
          <w:szCs w:val="24"/>
        </w:rPr>
        <w:t>Unison</w:t>
      </w:r>
      <w:proofErr w:type="spellEnd"/>
      <w:r w:rsidR="00401350" w:rsidRPr="00121A6A">
        <w:rPr>
          <w:sz w:val="24"/>
          <w:szCs w:val="24"/>
        </w:rPr>
        <w:t>-arrest</w:t>
      </w:r>
      <w:r w:rsidRPr="00121A6A">
        <w:rPr>
          <w:i/>
          <w:iCs/>
          <w:sz w:val="24"/>
          <w:szCs w:val="24"/>
        </w:rPr>
        <w:t xml:space="preserve"> </w:t>
      </w:r>
      <w:r w:rsidR="00245D32">
        <w:rPr>
          <w:sz w:val="24"/>
          <w:szCs w:val="24"/>
        </w:rPr>
        <w:t>met</w:t>
      </w:r>
      <w:r w:rsidRPr="00121A6A">
        <w:rPr>
          <w:sz w:val="24"/>
          <w:szCs w:val="24"/>
        </w:rPr>
        <w:t xml:space="preserve"> de stakingsjurisprudentie uit Luxemburg maakt duidelijk dat </w:t>
      </w:r>
      <w:r w:rsidR="00486C46" w:rsidRPr="00121A6A">
        <w:rPr>
          <w:sz w:val="24"/>
          <w:szCs w:val="24"/>
        </w:rPr>
        <w:t xml:space="preserve">zowel het EHRM als het HvJ </w:t>
      </w:r>
      <w:r w:rsidR="008531A8" w:rsidRPr="00121A6A">
        <w:rPr>
          <w:sz w:val="24"/>
          <w:szCs w:val="24"/>
        </w:rPr>
        <w:t>onder omstandigheden terughoudend kan zijn</w:t>
      </w:r>
      <w:r w:rsidR="00243416" w:rsidRPr="00121A6A">
        <w:rPr>
          <w:sz w:val="24"/>
          <w:szCs w:val="24"/>
        </w:rPr>
        <w:t xml:space="preserve"> </w:t>
      </w:r>
      <w:r w:rsidR="008531A8" w:rsidRPr="00121A6A">
        <w:rPr>
          <w:sz w:val="24"/>
          <w:szCs w:val="24"/>
        </w:rPr>
        <w:t xml:space="preserve">in </w:t>
      </w:r>
      <w:r w:rsidR="005B00DA">
        <w:rPr>
          <w:sz w:val="24"/>
          <w:szCs w:val="24"/>
        </w:rPr>
        <w:t xml:space="preserve">het </w:t>
      </w:r>
      <w:r w:rsidR="008531A8" w:rsidRPr="00121A6A">
        <w:rPr>
          <w:sz w:val="24"/>
          <w:szCs w:val="24"/>
        </w:rPr>
        <w:t>bescherm</w:t>
      </w:r>
      <w:r w:rsidR="005B00DA">
        <w:rPr>
          <w:sz w:val="24"/>
          <w:szCs w:val="24"/>
        </w:rPr>
        <w:t>en</w:t>
      </w:r>
      <w:r w:rsidR="008531A8" w:rsidRPr="00121A6A">
        <w:rPr>
          <w:sz w:val="24"/>
          <w:szCs w:val="24"/>
        </w:rPr>
        <w:t xml:space="preserve"> van </w:t>
      </w:r>
      <w:r w:rsidR="00243416" w:rsidRPr="00121A6A">
        <w:rPr>
          <w:sz w:val="24"/>
          <w:szCs w:val="24"/>
        </w:rPr>
        <w:t xml:space="preserve">het stakingsrecht. </w:t>
      </w:r>
      <w:r w:rsidR="00486C46" w:rsidRPr="00121A6A">
        <w:rPr>
          <w:sz w:val="24"/>
          <w:szCs w:val="24"/>
        </w:rPr>
        <w:t xml:space="preserve">Zowel in </w:t>
      </w:r>
      <w:proofErr w:type="spellStart"/>
      <w:r w:rsidR="00486C46" w:rsidRPr="00121A6A">
        <w:rPr>
          <w:i/>
          <w:iCs/>
          <w:sz w:val="24"/>
          <w:szCs w:val="24"/>
        </w:rPr>
        <w:t>Unison</w:t>
      </w:r>
      <w:proofErr w:type="spellEnd"/>
      <w:r w:rsidR="00243416" w:rsidRPr="00121A6A">
        <w:rPr>
          <w:sz w:val="24"/>
          <w:szCs w:val="24"/>
        </w:rPr>
        <w:t xml:space="preserve"> als in </w:t>
      </w:r>
      <w:r w:rsidR="00243416" w:rsidRPr="00121A6A">
        <w:rPr>
          <w:i/>
          <w:iCs/>
          <w:sz w:val="24"/>
          <w:szCs w:val="24"/>
        </w:rPr>
        <w:t xml:space="preserve">Viking </w:t>
      </w:r>
      <w:r w:rsidR="002B515A" w:rsidRPr="00121A6A">
        <w:rPr>
          <w:sz w:val="24"/>
          <w:szCs w:val="24"/>
        </w:rPr>
        <w:t>werd</w:t>
      </w:r>
      <w:r w:rsidR="006209AD" w:rsidRPr="00121A6A">
        <w:rPr>
          <w:sz w:val="24"/>
          <w:szCs w:val="24"/>
        </w:rPr>
        <w:t xml:space="preserve"> immers</w:t>
      </w:r>
      <w:r w:rsidR="002B515A" w:rsidRPr="00121A6A">
        <w:rPr>
          <w:sz w:val="24"/>
          <w:szCs w:val="24"/>
        </w:rPr>
        <w:t xml:space="preserve"> als eis gesteld dat</w:t>
      </w:r>
      <w:r w:rsidR="00243416" w:rsidRPr="00121A6A">
        <w:rPr>
          <w:sz w:val="24"/>
          <w:szCs w:val="24"/>
        </w:rPr>
        <w:t xml:space="preserve"> werknemersbelangen daadwerkelijk op het spel </w:t>
      </w:r>
      <w:r w:rsidR="002B515A" w:rsidRPr="00121A6A">
        <w:rPr>
          <w:sz w:val="24"/>
          <w:szCs w:val="24"/>
        </w:rPr>
        <w:t>moeten staan</w:t>
      </w:r>
      <w:r w:rsidR="00243416" w:rsidRPr="00121A6A">
        <w:rPr>
          <w:sz w:val="24"/>
          <w:szCs w:val="24"/>
        </w:rPr>
        <w:t xml:space="preserve">. </w:t>
      </w:r>
      <w:r w:rsidR="006209AD" w:rsidRPr="00121A6A">
        <w:rPr>
          <w:sz w:val="24"/>
          <w:szCs w:val="24"/>
        </w:rPr>
        <w:t>Als gevolg daarvan kan</w:t>
      </w:r>
      <w:r w:rsidR="00243416" w:rsidRPr="00121A6A">
        <w:rPr>
          <w:sz w:val="24"/>
          <w:szCs w:val="24"/>
        </w:rPr>
        <w:t xml:space="preserve"> </w:t>
      </w:r>
      <w:r w:rsidR="009C0796" w:rsidRPr="00121A6A">
        <w:rPr>
          <w:sz w:val="24"/>
          <w:szCs w:val="24"/>
        </w:rPr>
        <w:t>onder beide regimes</w:t>
      </w:r>
      <w:r w:rsidR="009742DE" w:rsidRPr="00121A6A">
        <w:rPr>
          <w:sz w:val="24"/>
          <w:szCs w:val="24"/>
        </w:rPr>
        <w:t xml:space="preserve"> –</w:t>
      </w:r>
      <w:r w:rsidR="009C488B" w:rsidRPr="00121A6A">
        <w:rPr>
          <w:sz w:val="24"/>
          <w:szCs w:val="24"/>
        </w:rPr>
        <w:t xml:space="preserve"> ondanks een contrasterend uitgangspunt van toetsing</w:t>
      </w:r>
      <w:r w:rsidR="002667A3">
        <w:rPr>
          <w:sz w:val="24"/>
          <w:szCs w:val="24"/>
        </w:rPr>
        <w:t xml:space="preserve"> (</w:t>
      </w:r>
      <w:r w:rsidR="00800911">
        <w:rPr>
          <w:sz w:val="24"/>
          <w:szCs w:val="24"/>
        </w:rPr>
        <w:t>stakingsrecht versus vrij verkeer)</w:t>
      </w:r>
      <w:r w:rsidR="009742DE" w:rsidRPr="00121A6A">
        <w:rPr>
          <w:sz w:val="24"/>
          <w:szCs w:val="24"/>
        </w:rPr>
        <w:t xml:space="preserve"> –</w:t>
      </w:r>
      <w:r w:rsidR="009F62B6" w:rsidRPr="00121A6A">
        <w:rPr>
          <w:sz w:val="24"/>
          <w:szCs w:val="24"/>
        </w:rPr>
        <w:t xml:space="preserve"> </w:t>
      </w:r>
      <w:r w:rsidRPr="00121A6A">
        <w:rPr>
          <w:sz w:val="24"/>
          <w:szCs w:val="24"/>
        </w:rPr>
        <w:t>het economisch</w:t>
      </w:r>
      <w:r w:rsidR="00245D32">
        <w:rPr>
          <w:sz w:val="24"/>
          <w:szCs w:val="24"/>
        </w:rPr>
        <w:t xml:space="preserve"> belang van de</w:t>
      </w:r>
      <w:r w:rsidRPr="00121A6A">
        <w:rPr>
          <w:sz w:val="24"/>
          <w:szCs w:val="24"/>
        </w:rPr>
        <w:t xml:space="preserve"> werkgever een doorslaggevende rol spelen bij het beoordelen van de </w:t>
      </w:r>
      <w:r w:rsidR="00050C8B" w:rsidRPr="00121A6A">
        <w:rPr>
          <w:sz w:val="24"/>
          <w:szCs w:val="24"/>
        </w:rPr>
        <w:t>(on)</w:t>
      </w:r>
      <w:r w:rsidR="00511C53">
        <w:rPr>
          <w:sz w:val="24"/>
          <w:szCs w:val="24"/>
        </w:rPr>
        <w:t>rechtmatig</w:t>
      </w:r>
      <w:r w:rsidRPr="00121A6A">
        <w:rPr>
          <w:sz w:val="24"/>
          <w:szCs w:val="24"/>
        </w:rPr>
        <w:t xml:space="preserve">heid van een staking. </w:t>
      </w:r>
      <w:r w:rsidR="00050C8B" w:rsidRPr="00121A6A">
        <w:rPr>
          <w:sz w:val="24"/>
          <w:szCs w:val="24"/>
        </w:rPr>
        <w:t xml:space="preserve">In </w:t>
      </w:r>
      <w:r w:rsidR="004D665A" w:rsidRPr="00121A6A">
        <w:rPr>
          <w:sz w:val="24"/>
          <w:szCs w:val="24"/>
        </w:rPr>
        <w:t>het verlengde hiervan</w:t>
      </w:r>
      <w:r w:rsidR="00050C8B" w:rsidRPr="00121A6A">
        <w:rPr>
          <w:sz w:val="24"/>
          <w:szCs w:val="24"/>
        </w:rPr>
        <w:t xml:space="preserve"> is </w:t>
      </w:r>
      <w:r w:rsidR="00157E3B" w:rsidRPr="00121A6A">
        <w:rPr>
          <w:sz w:val="24"/>
          <w:szCs w:val="24"/>
        </w:rPr>
        <w:t>tevens</w:t>
      </w:r>
      <w:r w:rsidR="00050C8B" w:rsidRPr="00121A6A">
        <w:rPr>
          <w:sz w:val="24"/>
          <w:szCs w:val="24"/>
        </w:rPr>
        <w:t xml:space="preserve"> het </w:t>
      </w:r>
      <w:proofErr w:type="spellStart"/>
      <w:r w:rsidR="00050C8B" w:rsidRPr="00121A6A">
        <w:rPr>
          <w:i/>
          <w:iCs/>
          <w:sz w:val="24"/>
          <w:szCs w:val="24"/>
        </w:rPr>
        <w:t>Parkwood</w:t>
      </w:r>
      <w:proofErr w:type="spellEnd"/>
      <w:r w:rsidR="002B4C9D" w:rsidRPr="00121A6A">
        <w:rPr>
          <w:sz w:val="24"/>
          <w:szCs w:val="24"/>
        </w:rPr>
        <w:t>-arrest (par. 2.4)</w:t>
      </w:r>
      <w:r w:rsidR="00050C8B" w:rsidRPr="00121A6A">
        <w:rPr>
          <w:i/>
          <w:iCs/>
          <w:sz w:val="24"/>
          <w:szCs w:val="24"/>
        </w:rPr>
        <w:t xml:space="preserve"> </w:t>
      </w:r>
      <w:r w:rsidR="00050C8B" w:rsidRPr="00121A6A">
        <w:rPr>
          <w:sz w:val="24"/>
          <w:szCs w:val="24"/>
        </w:rPr>
        <w:t xml:space="preserve">noemenswaardig, </w:t>
      </w:r>
      <w:r w:rsidR="006E424E" w:rsidRPr="00121A6A">
        <w:rPr>
          <w:sz w:val="24"/>
          <w:szCs w:val="24"/>
        </w:rPr>
        <w:t>dat verwantschap vertoont met</w:t>
      </w:r>
      <w:r w:rsidR="002917E9" w:rsidRPr="00121A6A">
        <w:rPr>
          <w:sz w:val="24"/>
          <w:szCs w:val="24"/>
        </w:rPr>
        <w:t xml:space="preserve"> </w:t>
      </w:r>
      <w:proofErr w:type="spellStart"/>
      <w:r w:rsidR="00050C8B" w:rsidRPr="00121A6A">
        <w:rPr>
          <w:i/>
          <w:iCs/>
          <w:sz w:val="24"/>
          <w:szCs w:val="24"/>
        </w:rPr>
        <w:t>Unison</w:t>
      </w:r>
      <w:proofErr w:type="spellEnd"/>
      <w:r w:rsidR="00050C8B" w:rsidRPr="00121A6A">
        <w:rPr>
          <w:sz w:val="24"/>
          <w:szCs w:val="24"/>
        </w:rPr>
        <w:t>.</w:t>
      </w:r>
      <w:r w:rsidR="00050C8B" w:rsidRPr="00121A6A">
        <w:rPr>
          <w:i/>
          <w:iCs/>
          <w:sz w:val="24"/>
          <w:szCs w:val="24"/>
        </w:rPr>
        <w:t xml:space="preserve"> </w:t>
      </w:r>
      <w:r w:rsidR="00022097">
        <w:rPr>
          <w:sz w:val="24"/>
          <w:szCs w:val="24"/>
        </w:rPr>
        <w:t xml:space="preserve">In deze zaak </w:t>
      </w:r>
      <w:r w:rsidR="00511C53">
        <w:rPr>
          <w:sz w:val="24"/>
          <w:szCs w:val="24"/>
        </w:rPr>
        <w:t>stond</w:t>
      </w:r>
      <w:r w:rsidR="00022097">
        <w:rPr>
          <w:sz w:val="24"/>
          <w:szCs w:val="24"/>
        </w:rPr>
        <w:t xml:space="preserve"> </w:t>
      </w:r>
      <w:r w:rsidR="009F62B6" w:rsidRPr="00121A6A">
        <w:rPr>
          <w:sz w:val="24"/>
          <w:szCs w:val="24"/>
        </w:rPr>
        <w:t xml:space="preserve">nationale wetgeving </w:t>
      </w:r>
      <w:r w:rsidR="00511C53">
        <w:rPr>
          <w:sz w:val="24"/>
          <w:szCs w:val="24"/>
        </w:rPr>
        <w:t xml:space="preserve">die </w:t>
      </w:r>
      <w:r w:rsidR="00050C8B" w:rsidRPr="00121A6A">
        <w:rPr>
          <w:sz w:val="24"/>
          <w:szCs w:val="24"/>
        </w:rPr>
        <w:t xml:space="preserve">méér werknemersbescherming </w:t>
      </w:r>
      <w:r w:rsidR="00511C53">
        <w:rPr>
          <w:sz w:val="24"/>
          <w:szCs w:val="24"/>
        </w:rPr>
        <w:t xml:space="preserve">bood </w:t>
      </w:r>
      <w:r w:rsidR="00050C8B" w:rsidRPr="00121A6A">
        <w:rPr>
          <w:sz w:val="24"/>
          <w:szCs w:val="24"/>
        </w:rPr>
        <w:t>dan het wettelijk minimum</w:t>
      </w:r>
      <w:r w:rsidR="006E424E" w:rsidRPr="00121A6A">
        <w:rPr>
          <w:sz w:val="24"/>
          <w:szCs w:val="24"/>
        </w:rPr>
        <w:t xml:space="preserve"> </w:t>
      </w:r>
      <w:r w:rsidR="00483050">
        <w:rPr>
          <w:sz w:val="24"/>
          <w:szCs w:val="24"/>
        </w:rPr>
        <w:t>bij</w:t>
      </w:r>
      <w:r w:rsidR="006E424E" w:rsidRPr="00121A6A">
        <w:rPr>
          <w:sz w:val="24"/>
          <w:szCs w:val="24"/>
        </w:rPr>
        <w:t xml:space="preserve"> </w:t>
      </w:r>
      <w:r w:rsidR="00483050">
        <w:rPr>
          <w:sz w:val="24"/>
          <w:szCs w:val="24"/>
        </w:rPr>
        <w:t xml:space="preserve">de </w:t>
      </w:r>
      <w:r w:rsidR="006E424E" w:rsidRPr="00121A6A">
        <w:rPr>
          <w:sz w:val="24"/>
          <w:szCs w:val="24"/>
        </w:rPr>
        <w:t xml:space="preserve">overgang van </w:t>
      </w:r>
      <w:r w:rsidR="002B4C9D" w:rsidRPr="00121A6A">
        <w:rPr>
          <w:sz w:val="24"/>
          <w:szCs w:val="24"/>
        </w:rPr>
        <w:t xml:space="preserve">een </w:t>
      </w:r>
      <w:r w:rsidR="006E424E" w:rsidRPr="00121A6A">
        <w:rPr>
          <w:sz w:val="24"/>
          <w:szCs w:val="24"/>
        </w:rPr>
        <w:t>onderneming</w:t>
      </w:r>
      <w:r w:rsidR="00511C53">
        <w:rPr>
          <w:sz w:val="24"/>
          <w:szCs w:val="24"/>
        </w:rPr>
        <w:t xml:space="preserve"> ter discussie</w:t>
      </w:r>
      <w:r w:rsidR="00B145B3" w:rsidRPr="00121A6A">
        <w:rPr>
          <w:sz w:val="24"/>
          <w:szCs w:val="24"/>
        </w:rPr>
        <w:t>.</w:t>
      </w:r>
      <w:r w:rsidR="002E6224" w:rsidRPr="00121A6A">
        <w:rPr>
          <w:rStyle w:val="FootnoteReference"/>
          <w:sz w:val="24"/>
          <w:szCs w:val="24"/>
        </w:rPr>
        <w:footnoteReference w:id="117"/>
      </w:r>
      <w:r w:rsidR="00B145B3" w:rsidRPr="00121A6A">
        <w:rPr>
          <w:sz w:val="24"/>
          <w:szCs w:val="24"/>
        </w:rPr>
        <w:t xml:space="preserve"> </w:t>
      </w:r>
      <w:r w:rsidR="002917E9" w:rsidRPr="00121A6A">
        <w:rPr>
          <w:sz w:val="24"/>
          <w:szCs w:val="24"/>
        </w:rPr>
        <w:t xml:space="preserve">Voor het </w:t>
      </w:r>
      <w:r w:rsidR="009974B6" w:rsidRPr="00121A6A">
        <w:rPr>
          <w:sz w:val="24"/>
          <w:szCs w:val="24"/>
        </w:rPr>
        <w:t>HvJ</w:t>
      </w:r>
      <w:r w:rsidR="002917E9" w:rsidRPr="00121A6A">
        <w:rPr>
          <w:sz w:val="24"/>
          <w:szCs w:val="24"/>
        </w:rPr>
        <w:t xml:space="preserve"> werd</w:t>
      </w:r>
      <w:r w:rsidR="003508C6" w:rsidRPr="00121A6A">
        <w:rPr>
          <w:sz w:val="24"/>
          <w:szCs w:val="24"/>
        </w:rPr>
        <w:t xml:space="preserve"> Engelse</w:t>
      </w:r>
      <w:r w:rsidR="00B145B3" w:rsidRPr="00121A6A">
        <w:rPr>
          <w:sz w:val="24"/>
          <w:szCs w:val="24"/>
        </w:rPr>
        <w:t xml:space="preserve"> wetgeving </w:t>
      </w:r>
      <w:r w:rsidR="002917E9" w:rsidRPr="00121A6A">
        <w:rPr>
          <w:sz w:val="24"/>
          <w:szCs w:val="24"/>
        </w:rPr>
        <w:t xml:space="preserve">aangevochten op grond waarvan </w:t>
      </w:r>
      <w:r w:rsidR="00B145B3" w:rsidRPr="00121A6A">
        <w:rPr>
          <w:sz w:val="24"/>
          <w:szCs w:val="24"/>
        </w:rPr>
        <w:t xml:space="preserve">de verkrijgende onderneming gebonden </w:t>
      </w:r>
      <w:r w:rsidR="002917E9" w:rsidRPr="00121A6A">
        <w:rPr>
          <w:sz w:val="24"/>
          <w:szCs w:val="24"/>
        </w:rPr>
        <w:t xml:space="preserve">was </w:t>
      </w:r>
      <w:r w:rsidR="00B145B3" w:rsidRPr="00121A6A">
        <w:rPr>
          <w:sz w:val="24"/>
          <w:szCs w:val="24"/>
        </w:rPr>
        <w:t xml:space="preserve">aan </w:t>
      </w:r>
      <w:r w:rsidR="00F70B49" w:rsidRPr="00121A6A">
        <w:rPr>
          <w:sz w:val="24"/>
          <w:szCs w:val="24"/>
        </w:rPr>
        <w:t xml:space="preserve">reeds bestaande </w:t>
      </w:r>
      <w:r w:rsidR="00B145B3" w:rsidRPr="00121A6A">
        <w:rPr>
          <w:sz w:val="24"/>
          <w:szCs w:val="24"/>
        </w:rPr>
        <w:t xml:space="preserve">dynamische </w:t>
      </w:r>
      <w:r w:rsidR="001A6133" w:rsidRPr="00121A6A">
        <w:rPr>
          <w:sz w:val="24"/>
          <w:szCs w:val="24"/>
        </w:rPr>
        <w:lastRenderedPageBreak/>
        <w:t xml:space="preserve">incorporatiebedingen. </w:t>
      </w:r>
      <w:r w:rsidR="000250BF" w:rsidRPr="00121A6A">
        <w:rPr>
          <w:sz w:val="24"/>
          <w:szCs w:val="24"/>
        </w:rPr>
        <w:t>H</w:t>
      </w:r>
      <w:r w:rsidR="00B145B3" w:rsidRPr="00121A6A">
        <w:rPr>
          <w:sz w:val="24"/>
          <w:szCs w:val="24"/>
        </w:rPr>
        <w:t xml:space="preserve">et </w:t>
      </w:r>
      <w:r w:rsidR="003D0FC2">
        <w:rPr>
          <w:sz w:val="24"/>
          <w:szCs w:val="24"/>
        </w:rPr>
        <w:t>Hof</w:t>
      </w:r>
      <w:r w:rsidR="00B145B3" w:rsidRPr="00121A6A">
        <w:rPr>
          <w:sz w:val="24"/>
          <w:szCs w:val="24"/>
        </w:rPr>
        <w:t xml:space="preserve"> </w:t>
      </w:r>
      <w:r w:rsidR="00BE58DF" w:rsidRPr="00121A6A">
        <w:rPr>
          <w:sz w:val="24"/>
          <w:szCs w:val="24"/>
        </w:rPr>
        <w:t>bevond</w:t>
      </w:r>
      <w:r w:rsidR="00080718" w:rsidRPr="00121A6A">
        <w:rPr>
          <w:sz w:val="24"/>
          <w:szCs w:val="24"/>
        </w:rPr>
        <w:t xml:space="preserve"> </w:t>
      </w:r>
      <w:r w:rsidR="00B145B3" w:rsidRPr="00121A6A">
        <w:rPr>
          <w:sz w:val="24"/>
          <w:szCs w:val="24"/>
        </w:rPr>
        <w:t>deze</w:t>
      </w:r>
      <w:r w:rsidR="00050C8B" w:rsidRPr="00121A6A">
        <w:rPr>
          <w:sz w:val="24"/>
          <w:szCs w:val="24"/>
        </w:rPr>
        <w:t xml:space="preserve"> wetgeving </w:t>
      </w:r>
      <w:r w:rsidR="00080718" w:rsidRPr="00121A6A">
        <w:rPr>
          <w:sz w:val="24"/>
          <w:szCs w:val="24"/>
        </w:rPr>
        <w:t xml:space="preserve">onverenigbaar </w:t>
      </w:r>
      <w:r w:rsidR="00050C8B" w:rsidRPr="00121A6A">
        <w:rPr>
          <w:sz w:val="24"/>
          <w:szCs w:val="24"/>
        </w:rPr>
        <w:t xml:space="preserve">met </w:t>
      </w:r>
      <w:r w:rsidR="00B145B3" w:rsidRPr="00121A6A">
        <w:rPr>
          <w:sz w:val="24"/>
          <w:szCs w:val="24"/>
        </w:rPr>
        <w:t>artikel 16 Hv</w:t>
      </w:r>
      <w:r w:rsidR="00F70B49" w:rsidRPr="00121A6A">
        <w:rPr>
          <w:sz w:val="24"/>
          <w:szCs w:val="24"/>
        </w:rPr>
        <w:t>,</w:t>
      </w:r>
      <w:r w:rsidR="00050C8B" w:rsidRPr="00121A6A">
        <w:rPr>
          <w:sz w:val="24"/>
          <w:szCs w:val="24"/>
        </w:rPr>
        <w:t xml:space="preserve"> </w:t>
      </w:r>
      <w:r w:rsidR="00506741">
        <w:rPr>
          <w:sz w:val="24"/>
          <w:szCs w:val="24"/>
        </w:rPr>
        <w:t>omdat</w:t>
      </w:r>
      <w:r w:rsidR="00F70B49" w:rsidRPr="00121A6A">
        <w:rPr>
          <w:sz w:val="24"/>
          <w:szCs w:val="24"/>
        </w:rPr>
        <w:t xml:space="preserve"> d</w:t>
      </w:r>
      <w:r w:rsidR="00520B1B" w:rsidRPr="00121A6A">
        <w:rPr>
          <w:sz w:val="24"/>
          <w:szCs w:val="24"/>
        </w:rPr>
        <w:t>e</w:t>
      </w:r>
      <w:r w:rsidR="00457333" w:rsidRPr="00121A6A">
        <w:rPr>
          <w:sz w:val="24"/>
          <w:szCs w:val="24"/>
        </w:rPr>
        <w:t xml:space="preserve"> vrijheid van ondernemerschap</w:t>
      </w:r>
      <w:r w:rsidR="00F06086">
        <w:rPr>
          <w:sz w:val="24"/>
          <w:szCs w:val="24"/>
        </w:rPr>
        <w:t xml:space="preserve"> </w:t>
      </w:r>
      <w:r w:rsidR="006919D8">
        <w:rPr>
          <w:sz w:val="24"/>
          <w:szCs w:val="24"/>
        </w:rPr>
        <w:t xml:space="preserve">(contractsvrijheid) </w:t>
      </w:r>
      <w:r w:rsidR="001A6133" w:rsidRPr="00121A6A">
        <w:rPr>
          <w:sz w:val="24"/>
          <w:szCs w:val="24"/>
        </w:rPr>
        <w:t xml:space="preserve">door </w:t>
      </w:r>
      <w:r w:rsidR="005C1830" w:rsidRPr="00121A6A">
        <w:rPr>
          <w:sz w:val="24"/>
          <w:szCs w:val="24"/>
        </w:rPr>
        <w:t>binding van rechtswege</w:t>
      </w:r>
      <w:r w:rsidR="001A6133" w:rsidRPr="00121A6A">
        <w:rPr>
          <w:sz w:val="24"/>
          <w:szCs w:val="24"/>
        </w:rPr>
        <w:t xml:space="preserve"> aan dynamisch</w:t>
      </w:r>
      <w:r w:rsidR="00520B1B" w:rsidRPr="00121A6A">
        <w:rPr>
          <w:sz w:val="24"/>
          <w:szCs w:val="24"/>
        </w:rPr>
        <w:t>e</w:t>
      </w:r>
      <w:r w:rsidR="001A6133" w:rsidRPr="00121A6A">
        <w:rPr>
          <w:sz w:val="24"/>
          <w:szCs w:val="24"/>
        </w:rPr>
        <w:t xml:space="preserve"> beding</w:t>
      </w:r>
      <w:r w:rsidR="00520B1B" w:rsidRPr="00121A6A">
        <w:rPr>
          <w:sz w:val="24"/>
          <w:szCs w:val="24"/>
        </w:rPr>
        <w:t>en</w:t>
      </w:r>
      <w:r w:rsidR="001A6133" w:rsidRPr="00121A6A">
        <w:rPr>
          <w:sz w:val="24"/>
          <w:szCs w:val="24"/>
        </w:rPr>
        <w:t xml:space="preserve"> in de kern</w:t>
      </w:r>
      <w:r w:rsidR="00457333" w:rsidRPr="00121A6A">
        <w:rPr>
          <w:sz w:val="24"/>
          <w:szCs w:val="24"/>
        </w:rPr>
        <w:t xml:space="preserve"> </w:t>
      </w:r>
      <w:r w:rsidR="00960FB5" w:rsidRPr="00121A6A">
        <w:rPr>
          <w:sz w:val="24"/>
          <w:szCs w:val="24"/>
        </w:rPr>
        <w:t>w</w:t>
      </w:r>
      <w:r w:rsidR="00114DE1" w:rsidRPr="00121A6A">
        <w:rPr>
          <w:sz w:val="24"/>
          <w:szCs w:val="24"/>
        </w:rPr>
        <w:t>ordt</w:t>
      </w:r>
      <w:r w:rsidR="001A6133" w:rsidRPr="00121A6A">
        <w:rPr>
          <w:sz w:val="24"/>
          <w:szCs w:val="24"/>
        </w:rPr>
        <w:t xml:space="preserve"> aangetast.</w:t>
      </w:r>
      <w:r w:rsidR="00C64A9F" w:rsidRPr="00121A6A">
        <w:rPr>
          <w:rStyle w:val="FootnoteReference"/>
          <w:sz w:val="24"/>
          <w:szCs w:val="24"/>
        </w:rPr>
        <w:footnoteReference w:id="118"/>
      </w:r>
      <w:r w:rsidR="001A6133" w:rsidRPr="00121A6A">
        <w:rPr>
          <w:sz w:val="24"/>
          <w:szCs w:val="24"/>
        </w:rPr>
        <w:t xml:space="preserve"> Ook hier prevaleerde dus het economisch belang van de </w:t>
      </w:r>
      <w:r w:rsidR="00080718" w:rsidRPr="00121A6A">
        <w:rPr>
          <w:sz w:val="24"/>
          <w:szCs w:val="24"/>
        </w:rPr>
        <w:t xml:space="preserve">verkrijgende </w:t>
      </w:r>
      <w:r w:rsidR="001A6133" w:rsidRPr="00121A6A">
        <w:rPr>
          <w:sz w:val="24"/>
          <w:szCs w:val="24"/>
        </w:rPr>
        <w:t xml:space="preserve">werkgever boven </w:t>
      </w:r>
      <w:r w:rsidR="002B4C9D" w:rsidRPr="00121A6A">
        <w:rPr>
          <w:sz w:val="24"/>
          <w:szCs w:val="24"/>
        </w:rPr>
        <w:t xml:space="preserve">het belang van </w:t>
      </w:r>
      <w:r w:rsidR="004D665A" w:rsidRPr="00121A6A">
        <w:rPr>
          <w:sz w:val="24"/>
          <w:szCs w:val="24"/>
        </w:rPr>
        <w:t>sociale bescherming van werknemers</w:t>
      </w:r>
      <w:r w:rsidR="009C488B" w:rsidRPr="00121A6A">
        <w:rPr>
          <w:sz w:val="24"/>
          <w:szCs w:val="24"/>
        </w:rPr>
        <w:t>.</w:t>
      </w:r>
    </w:p>
    <w:p w14:paraId="4D5127F5" w14:textId="77777777" w:rsidR="0089020A" w:rsidRPr="00121A6A" w:rsidRDefault="0089020A" w:rsidP="00803320">
      <w:pPr>
        <w:spacing w:after="0"/>
        <w:jc w:val="both"/>
        <w:rPr>
          <w:sz w:val="24"/>
          <w:szCs w:val="24"/>
        </w:rPr>
      </w:pPr>
    </w:p>
    <w:p w14:paraId="2695321B" w14:textId="2C086D85" w:rsidR="0089020A" w:rsidRPr="00121A6A" w:rsidRDefault="0089020A" w:rsidP="0089020A">
      <w:pPr>
        <w:pStyle w:val="Heading3"/>
        <w:jc w:val="both"/>
        <w:rPr>
          <w:sz w:val="24"/>
          <w:szCs w:val="24"/>
        </w:rPr>
      </w:pPr>
      <w:bookmarkStart w:id="53" w:name="_Toc169963065"/>
      <w:r w:rsidRPr="00121A6A">
        <w:rPr>
          <w:sz w:val="24"/>
          <w:szCs w:val="24"/>
        </w:rPr>
        <w:t>Het stakingsrecht als belangrijk of essentieel onderdeel van artikel 11 EVRM?</w:t>
      </w:r>
      <w:bookmarkEnd w:id="53"/>
    </w:p>
    <w:p w14:paraId="1DD6B025" w14:textId="7BBE513F" w:rsidR="00340941" w:rsidRPr="00121A6A" w:rsidRDefault="00340941" w:rsidP="00803320">
      <w:pPr>
        <w:spacing w:after="0"/>
        <w:jc w:val="both"/>
        <w:rPr>
          <w:sz w:val="24"/>
          <w:szCs w:val="24"/>
        </w:rPr>
      </w:pPr>
      <w:r w:rsidRPr="00121A6A">
        <w:rPr>
          <w:sz w:val="24"/>
          <w:szCs w:val="24"/>
        </w:rPr>
        <w:t xml:space="preserve">Het </w:t>
      </w:r>
      <w:proofErr w:type="spellStart"/>
      <w:r w:rsidRPr="00121A6A">
        <w:rPr>
          <w:i/>
          <w:iCs/>
          <w:sz w:val="24"/>
          <w:szCs w:val="24"/>
        </w:rPr>
        <w:t>Enerji</w:t>
      </w:r>
      <w:proofErr w:type="spellEnd"/>
      <w:r w:rsidR="009C7392" w:rsidRPr="00121A6A">
        <w:rPr>
          <w:sz w:val="24"/>
          <w:szCs w:val="24"/>
        </w:rPr>
        <w:t>-arrest</w:t>
      </w:r>
      <w:r w:rsidRPr="00121A6A">
        <w:rPr>
          <w:i/>
          <w:iCs/>
          <w:sz w:val="24"/>
          <w:szCs w:val="24"/>
        </w:rPr>
        <w:t xml:space="preserve"> </w:t>
      </w:r>
      <w:r w:rsidRPr="00121A6A">
        <w:rPr>
          <w:sz w:val="24"/>
          <w:szCs w:val="24"/>
        </w:rPr>
        <w:t>zette het stakingsrecht sterker op de kaart.</w:t>
      </w:r>
      <w:r w:rsidRPr="00121A6A">
        <w:rPr>
          <w:rStyle w:val="FootnoteReference"/>
          <w:sz w:val="24"/>
          <w:szCs w:val="24"/>
        </w:rPr>
        <w:footnoteReference w:id="119"/>
      </w:r>
      <w:r w:rsidRPr="00121A6A">
        <w:rPr>
          <w:sz w:val="24"/>
          <w:szCs w:val="24"/>
        </w:rPr>
        <w:t xml:space="preserve"> Ter discussie stond een absoluut stakingsverbod voor ambtenaren</w:t>
      </w:r>
      <w:r w:rsidR="00D25CE7" w:rsidRPr="00121A6A">
        <w:rPr>
          <w:sz w:val="24"/>
          <w:szCs w:val="24"/>
        </w:rPr>
        <w:t xml:space="preserve"> – een forse inperking </w:t>
      </w:r>
      <w:r w:rsidR="00ED7910">
        <w:rPr>
          <w:sz w:val="24"/>
          <w:szCs w:val="24"/>
        </w:rPr>
        <w:t>van</w:t>
      </w:r>
      <w:r w:rsidR="00D25CE7" w:rsidRPr="00121A6A">
        <w:rPr>
          <w:sz w:val="24"/>
          <w:szCs w:val="24"/>
        </w:rPr>
        <w:t xml:space="preserve"> het stakingsrecht, </w:t>
      </w:r>
      <w:r w:rsidR="00B340A8" w:rsidRPr="00121A6A">
        <w:rPr>
          <w:sz w:val="24"/>
          <w:szCs w:val="24"/>
        </w:rPr>
        <w:t>hetgeen</w:t>
      </w:r>
      <w:r w:rsidR="00D25CE7" w:rsidRPr="00121A6A">
        <w:rPr>
          <w:sz w:val="24"/>
          <w:szCs w:val="24"/>
        </w:rPr>
        <w:t xml:space="preserve"> het EHRM mogelijk aanleiding gaf </w:t>
      </w:r>
      <w:r w:rsidR="00B95230">
        <w:rPr>
          <w:sz w:val="24"/>
          <w:szCs w:val="24"/>
        </w:rPr>
        <w:t xml:space="preserve">om </w:t>
      </w:r>
      <w:r w:rsidR="00D25CE7" w:rsidRPr="00121A6A">
        <w:rPr>
          <w:sz w:val="24"/>
          <w:szCs w:val="24"/>
        </w:rPr>
        <w:t>het stakingsrecht verregaander te beschermen.</w:t>
      </w:r>
      <w:r w:rsidRPr="00121A6A">
        <w:rPr>
          <w:sz w:val="24"/>
          <w:szCs w:val="24"/>
        </w:rPr>
        <w:t xml:space="preserve"> Wederom overwoog het </w:t>
      </w:r>
      <w:r w:rsidR="00B340A8" w:rsidRPr="00121A6A">
        <w:rPr>
          <w:sz w:val="24"/>
          <w:szCs w:val="24"/>
        </w:rPr>
        <w:t>Hof</w:t>
      </w:r>
      <w:r w:rsidRPr="00121A6A">
        <w:rPr>
          <w:sz w:val="24"/>
          <w:szCs w:val="24"/>
        </w:rPr>
        <w:t xml:space="preserve"> dat sprake </w:t>
      </w:r>
      <w:r w:rsidR="0085730D">
        <w:rPr>
          <w:sz w:val="24"/>
          <w:szCs w:val="24"/>
        </w:rPr>
        <w:t>was</w:t>
      </w:r>
      <w:r w:rsidRPr="00121A6A">
        <w:rPr>
          <w:sz w:val="24"/>
          <w:szCs w:val="24"/>
        </w:rPr>
        <w:t xml:space="preserve"> van een beperking </w:t>
      </w:r>
      <w:r w:rsidR="00B340A8" w:rsidRPr="00121A6A">
        <w:rPr>
          <w:sz w:val="24"/>
          <w:szCs w:val="24"/>
        </w:rPr>
        <w:t xml:space="preserve">– </w:t>
      </w:r>
      <w:r w:rsidRPr="00121A6A">
        <w:rPr>
          <w:sz w:val="24"/>
          <w:szCs w:val="24"/>
        </w:rPr>
        <w:t>maar nu tevens van een schending</w:t>
      </w:r>
      <w:r w:rsidR="00B340A8" w:rsidRPr="00121A6A">
        <w:rPr>
          <w:sz w:val="24"/>
          <w:szCs w:val="24"/>
        </w:rPr>
        <w:t xml:space="preserve"> – </w:t>
      </w:r>
      <w:r w:rsidRPr="00121A6A">
        <w:rPr>
          <w:sz w:val="24"/>
          <w:szCs w:val="24"/>
        </w:rPr>
        <w:t xml:space="preserve">van artikel 11 EVRM. Ter onderbouwing werd </w:t>
      </w:r>
      <w:r w:rsidR="00B340A8" w:rsidRPr="00121A6A">
        <w:rPr>
          <w:sz w:val="24"/>
          <w:szCs w:val="24"/>
        </w:rPr>
        <w:t xml:space="preserve">ditmaal </w:t>
      </w:r>
      <w:r w:rsidRPr="00121A6A">
        <w:rPr>
          <w:sz w:val="24"/>
          <w:szCs w:val="24"/>
        </w:rPr>
        <w:t>verwezen naar de toezichthoudende ILO-organen, die het stakingsrecht erkennen als onlosmakelijk verbonden met de vakverenigingsvrijheid</w:t>
      </w:r>
      <w:r w:rsidR="00B340A8" w:rsidRPr="00121A6A">
        <w:rPr>
          <w:sz w:val="24"/>
          <w:szCs w:val="24"/>
        </w:rPr>
        <w:t xml:space="preserve">, alsmede naar </w:t>
      </w:r>
      <w:r w:rsidRPr="00121A6A">
        <w:rPr>
          <w:sz w:val="24"/>
          <w:szCs w:val="24"/>
        </w:rPr>
        <w:t>het ESH</w:t>
      </w:r>
      <w:r w:rsidR="00B340A8" w:rsidRPr="00121A6A">
        <w:rPr>
          <w:sz w:val="24"/>
          <w:szCs w:val="24"/>
        </w:rPr>
        <w:t xml:space="preserve"> en de oordelen van het ECSR daaromtrent.</w:t>
      </w:r>
      <w:r w:rsidRPr="00121A6A">
        <w:rPr>
          <w:sz w:val="24"/>
          <w:szCs w:val="24"/>
        </w:rPr>
        <w:t xml:space="preserve"> Deze systematische interpretatie van</w:t>
      </w:r>
      <w:r w:rsidR="00511C53">
        <w:rPr>
          <w:sz w:val="24"/>
          <w:szCs w:val="24"/>
        </w:rPr>
        <w:t xml:space="preserve"> het</w:t>
      </w:r>
      <w:r w:rsidRPr="00121A6A">
        <w:rPr>
          <w:sz w:val="24"/>
          <w:szCs w:val="24"/>
        </w:rPr>
        <w:t xml:space="preserve"> EVRM in het licht van (ander) internationaal recht</w:t>
      </w:r>
      <w:r w:rsidR="00B340A8" w:rsidRPr="00121A6A">
        <w:rPr>
          <w:sz w:val="24"/>
          <w:szCs w:val="24"/>
        </w:rPr>
        <w:t xml:space="preserve">, </w:t>
      </w:r>
      <w:r w:rsidRPr="00121A6A">
        <w:rPr>
          <w:sz w:val="24"/>
          <w:szCs w:val="24"/>
        </w:rPr>
        <w:t xml:space="preserve">is in lijn met het baanbrekende arrest </w:t>
      </w:r>
      <w:r w:rsidRPr="00121A6A">
        <w:rPr>
          <w:i/>
          <w:iCs/>
          <w:sz w:val="24"/>
          <w:szCs w:val="24"/>
        </w:rPr>
        <w:t>Demir II</w:t>
      </w:r>
      <w:r w:rsidR="00355C77" w:rsidRPr="00121A6A">
        <w:rPr>
          <w:i/>
          <w:iCs/>
          <w:sz w:val="24"/>
          <w:szCs w:val="24"/>
        </w:rPr>
        <w:t xml:space="preserve"> </w:t>
      </w:r>
      <w:r w:rsidR="00355C77" w:rsidRPr="00121A6A">
        <w:rPr>
          <w:sz w:val="24"/>
          <w:szCs w:val="24"/>
        </w:rPr>
        <w:t xml:space="preserve">en is onlangs </w:t>
      </w:r>
      <w:r w:rsidR="00AE6309">
        <w:rPr>
          <w:sz w:val="24"/>
          <w:szCs w:val="24"/>
        </w:rPr>
        <w:t xml:space="preserve">nog </w:t>
      </w:r>
      <w:r w:rsidR="000B5EA9" w:rsidRPr="00121A6A">
        <w:rPr>
          <w:sz w:val="24"/>
          <w:szCs w:val="24"/>
        </w:rPr>
        <w:t>bevestigd</w:t>
      </w:r>
      <w:r w:rsidR="00355C77" w:rsidRPr="00121A6A">
        <w:rPr>
          <w:sz w:val="24"/>
          <w:szCs w:val="24"/>
        </w:rPr>
        <w:t xml:space="preserve"> in het </w:t>
      </w:r>
      <w:r w:rsidR="00355C77" w:rsidRPr="00121A6A">
        <w:rPr>
          <w:i/>
          <w:iCs/>
          <w:sz w:val="24"/>
          <w:szCs w:val="24"/>
        </w:rPr>
        <w:t>Humpert</w:t>
      </w:r>
      <w:r w:rsidR="00355C77" w:rsidRPr="00121A6A">
        <w:rPr>
          <w:sz w:val="24"/>
          <w:szCs w:val="24"/>
        </w:rPr>
        <w:t>-arrest</w:t>
      </w:r>
      <w:r w:rsidRPr="00121A6A">
        <w:rPr>
          <w:sz w:val="24"/>
          <w:szCs w:val="24"/>
        </w:rPr>
        <w:t>.</w:t>
      </w:r>
      <w:r w:rsidRPr="00121A6A">
        <w:rPr>
          <w:rStyle w:val="FootnoteReference"/>
          <w:sz w:val="24"/>
          <w:szCs w:val="24"/>
        </w:rPr>
        <w:footnoteReference w:id="120"/>
      </w:r>
      <w:r w:rsidRPr="00121A6A">
        <w:rPr>
          <w:sz w:val="24"/>
          <w:szCs w:val="24"/>
        </w:rPr>
        <w:t xml:space="preserve"> In </w:t>
      </w:r>
      <w:r w:rsidR="000B5EA9" w:rsidRPr="00121A6A">
        <w:rPr>
          <w:i/>
          <w:iCs/>
          <w:sz w:val="24"/>
          <w:szCs w:val="24"/>
        </w:rPr>
        <w:t>Demir II</w:t>
      </w:r>
      <w:r w:rsidRPr="00121A6A">
        <w:rPr>
          <w:sz w:val="24"/>
          <w:szCs w:val="24"/>
        </w:rPr>
        <w:t xml:space="preserve"> erkende het Hof, anders dan voorheen en onder verwijzing naar ILO</w:t>
      </w:r>
      <w:r w:rsidR="0085730D">
        <w:rPr>
          <w:sz w:val="24"/>
          <w:szCs w:val="24"/>
        </w:rPr>
        <w:t>-Verdragen</w:t>
      </w:r>
      <w:r w:rsidRPr="00121A6A">
        <w:rPr>
          <w:sz w:val="24"/>
          <w:szCs w:val="24"/>
        </w:rPr>
        <w:t xml:space="preserve"> en het ESH, </w:t>
      </w:r>
      <w:r w:rsidR="00B95230">
        <w:rPr>
          <w:sz w:val="24"/>
          <w:szCs w:val="24"/>
        </w:rPr>
        <w:t xml:space="preserve">dat </w:t>
      </w:r>
      <w:r w:rsidRPr="00121A6A">
        <w:rPr>
          <w:sz w:val="24"/>
          <w:szCs w:val="24"/>
        </w:rPr>
        <w:t xml:space="preserve">het collectief onderhandelingsrecht </w:t>
      </w:r>
      <w:r w:rsidR="00B95230">
        <w:rPr>
          <w:sz w:val="24"/>
          <w:szCs w:val="24"/>
        </w:rPr>
        <w:t>een</w:t>
      </w:r>
      <w:r w:rsidRPr="00121A6A">
        <w:rPr>
          <w:sz w:val="24"/>
          <w:szCs w:val="24"/>
        </w:rPr>
        <w:t xml:space="preserve"> essentieel </w:t>
      </w:r>
      <w:r w:rsidR="00B95230">
        <w:rPr>
          <w:sz w:val="24"/>
          <w:szCs w:val="24"/>
        </w:rPr>
        <w:t xml:space="preserve">onderdeel is van </w:t>
      </w:r>
      <w:r w:rsidRPr="00121A6A">
        <w:rPr>
          <w:sz w:val="24"/>
          <w:szCs w:val="24"/>
        </w:rPr>
        <w:t xml:space="preserve">artikel 11 EVRM. </w:t>
      </w:r>
      <w:bookmarkStart w:id="54" w:name="_Hlk163650947"/>
      <w:r w:rsidR="00B340A8" w:rsidRPr="00121A6A">
        <w:rPr>
          <w:sz w:val="24"/>
          <w:szCs w:val="24"/>
        </w:rPr>
        <w:t xml:space="preserve">In </w:t>
      </w:r>
      <w:proofErr w:type="spellStart"/>
      <w:r w:rsidR="00B340A8" w:rsidRPr="00121A6A">
        <w:rPr>
          <w:i/>
          <w:iCs/>
          <w:sz w:val="24"/>
          <w:szCs w:val="24"/>
        </w:rPr>
        <w:t>Enerji</w:t>
      </w:r>
      <w:proofErr w:type="spellEnd"/>
      <w:r w:rsidR="00B340A8" w:rsidRPr="00121A6A">
        <w:rPr>
          <w:i/>
          <w:iCs/>
          <w:sz w:val="24"/>
          <w:szCs w:val="24"/>
        </w:rPr>
        <w:t xml:space="preserve"> </w:t>
      </w:r>
      <w:r w:rsidR="00B340A8" w:rsidRPr="00121A6A">
        <w:rPr>
          <w:sz w:val="24"/>
          <w:szCs w:val="24"/>
        </w:rPr>
        <w:t>trok</w:t>
      </w:r>
      <w:r w:rsidRPr="00121A6A">
        <w:rPr>
          <w:sz w:val="24"/>
          <w:szCs w:val="24"/>
        </w:rPr>
        <w:t xml:space="preserve"> het EHRM </w:t>
      </w:r>
      <w:r w:rsidR="00B340A8" w:rsidRPr="00121A6A">
        <w:rPr>
          <w:sz w:val="24"/>
          <w:szCs w:val="24"/>
        </w:rPr>
        <w:t xml:space="preserve">die conclusie </w:t>
      </w:r>
      <w:r w:rsidRPr="00121A6A">
        <w:rPr>
          <w:sz w:val="24"/>
          <w:szCs w:val="24"/>
        </w:rPr>
        <w:t xml:space="preserve">met betrekking tot het stakingsrecht </w:t>
      </w:r>
      <w:r w:rsidR="005774BB" w:rsidRPr="00121A6A">
        <w:rPr>
          <w:sz w:val="24"/>
          <w:szCs w:val="24"/>
        </w:rPr>
        <w:t>daarentegen</w:t>
      </w:r>
      <w:r w:rsidRPr="00121A6A">
        <w:rPr>
          <w:sz w:val="24"/>
          <w:szCs w:val="24"/>
        </w:rPr>
        <w:t xml:space="preserve"> niet</w:t>
      </w:r>
      <w:r w:rsidR="006351AD">
        <w:rPr>
          <w:sz w:val="24"/>
          <w:szCs w:val="24"/>
        </w:rPr>
        <w:t>.</w:t>
      </w:r>
      <w:r w:rsidRPr="00121A6A">
        <w:rPr>
          <w:sz w:val="24"/>
          <w:szCs w:val="24"/>
        </w:rPr>
        <w:t xml:space="preserve"> </w:t>
      </w:r>
      <w:r w:rsidR="006351AD">
        <w:rPr>
          <w:sz w:val="24"/>
          <w:szCs w:val="24"/>
        </w:rPr>
        <w:t>S</w:t>
      </w:r>
      <w:r w:rsidRPr="00121A6A">
        <w:rPr>
          <w:sz w:val="24"/>
          <w:szCs w:val="24"/>
        </w:rPr>
        <w:t>indsdien is ‘slechts’ evident dat het stakingsrecht wordt beschermd onder artikel 11 EVRM</w:t>
      </w:r>
      <w:bookmarkEnd w:id="54"/>
      <w:r w:rsidRPr="00121A6A">
        <w:rPr>
          <w:sz w:val="24"/>
          <w:szCs w:val="24"/>
        </w:rPr>
        <w:t>.</w:t>
      </w:r>
      <w:r w:rsidRPr="00121A6A">
        <w:rPr>
          <w:rStyle w:val="FootnoteReference"/>
          <w:sz w:val="24"/>
          <w:szCs w:val="24"/>
        </w:rPr>
        <w:footnoteReference w:id="121"/>
      </w:r>
    </w:p>
    <w:p w14:paraId="5D433068" w14:textId="4B7CCF5D" w:rsidR="006E0B50" w:rsidRPr="00121A6A" w:rsidRDefault="00F45AAF" w:rsidP="00D9786F">
      <w:pPr>
        <w:spacing w:after="0"/>
        <w:ind w:firstLine="708"/>
        <w:jc w:val="both"/>
        <w:rPr>
          <w:sz w:val="24"/>
          <w:szCs w:val="24"/>
        </w:rPr>
      </w:pPr>
      <w:r w:rsidRPr="00121A6A">
        <w:rPr>
          <w:sz w:val="24"/>
          <w:szCs w:val="24"/>
        </w:rPr>
        <w:t xml:space="preserve">De vraag die </w:t>
      </w:r>
      <w:r w:rsidR="00C246C1" w:rsidRPr="00121A6A">
        <w:rPr>
          <w:sz w:val="24"/>
          <w:szCs w:val="24"/>
        </w:rPr>
        <w:t xml:space="preserve">derhalve </w:t>
      </w:r>
      <w:r w:rsidRPr="00121A6A">
        <w:rPr>
          <w:sz w:val="24"/>
          <w:szCs w:val="24"/>
        </w:rPr>
        <w:t xml:space="preserve">open bleef, is of het stakingsrecht moet worden aangemerkt als belangrijk dan wel essentieel </w:t>
      </w:r>
      <w:r w:rsidR="00F17AC1" w:rsidRPr="00121A6A">
        <w:rPr>
          <w:sz w:val="24"/>
          <w:szCs w:val="24"/>
        </w:rPr>
        <w:t xml:space="preserve">element van artikel 11 EVRM. Deze vraag is relevant, omdat de beoordelingsmarge die </w:t>
      </w:r>
      <w:r w:rsidR="00A25117">
        <w:rPr>
          <w:sz w:val="24"/>
          <w:szCs w:val="24"/>
        </w:rPr>
        <w:t xml:space="preserve">aan </w:t>
      </w:r>
      <w:r w:rsidR="00F17AC1" w:rsidRPr="00121A6A">
        <w:rPr>
          <w:sz w:val="24"/>
          <w:szCs w:val="24"/>
        </w:rPr>
        <w:t>lidstaten toekomt</w:t>
      </w:r>
      <w:r w:rsidR="00EF053E" w:rsidRPr="00121A6A">
        <w:rPr>
          <w:sz w:val="24"/>
          <w:szCs w:val="24"/>
        </w:rPr>
        <w:t xml:space="preserve"> in het kader van de proportionaliteits</w:t>
      </w:r>
      <w:r w:rsidR="00A25117">
        <w:rPr>
          <w:sz w:val="24"/>
          <w:szCs w:val="24"/>
        </w:rPr>
        <w:t>toets</w:t>
      </w:r>
      <w:r w:rsidR="00EF053E" w:rsidRPr="00121A6A">
        <w:rPr>
          <w:sz w:val="24"/>
          <w:szCs w:val="24"/>
        </w:rPr>
        <w:t xml:space="preserve"> (mede) afhangt van het antwoord op deze vraag.</w:t>
      </w:r>
      <w:r w:rsidR="00EF053E" w:rsidRPr="00121A6A">
        <w:rPr>
          <w:rStyle w:val="FootnoteReference"/>
          <w:sz w:val="24"/>
          <w:szCs w:val="24"/>
        </w:rPr>
        <w:footnoteReference w:id="122"/>
      </w:r>
      <w:r w:rsidR="00EF053E" w:rsidRPr="00121A6A">
        <w:rPr>
          <w:sz w:val="24"/>
          <w:szCs w:val="24"/>
        </w:rPr>
        <w:t xml:space="preserve"> </w:t>
      </w:r>
      <w:r w:rsidR="00A42AD8" w:rsidRPr="00121A6A">
        <w:rPr>
          <w:sz w:val="24"/>
          <w:szCs w:val="24"/>
        </w:rPr>
        <w:t>De</w:t>
      </w:r>
      <w:r w:rsidR="006E0B50" w:rsidRPr="00121A6A">
        <w:rPr>
          <w:sz w:val="24"/>
          <w:szCs w:val="24"/>
        </w:rPr>
        <w:t>ze</w:t>
      </w:r>
      <w:r w:rsidR="00A42AD8" w:rsidRPr="00121A6A">
        <w:rPr>
          <w:sz w:val="24"/>
          <w:szCs w:val="24"/>
        </w:rPr>
        <w:t xml:space="preserve"> beoordelingsmarge is</w:t>
      </w:r>
      <w:r w:rsidR="00C246C1" w:rsidRPr="00121A6A">
        <w:rPr>
          <w:sz w:val="24"/>
          <w:szCs w:val="24"/>
        </w:rPr>
        <w:t xml:space="preserve"> </w:t>
      </w:r>
      <w:r w:rsidR="00A92F7E" w:rsidRPr="00121A6A">
        <w:rPr>
          <w:sz w:val="24"/>
          <w:szCs w:val="24"/>
        </w:rPr>
        <w:t>logischerwijs</w:t>
      </w:r>
      <w:r w:rsidR="00F17AC1" w:rsidRPr="00121A6A">
        <w:rPr>
          <w:sz w:val="24"/>
          <w:szCs w:val="24"/>
        </w:rPr>
        <w:t xml:space="preserve"> kleiner </w:t>
      </w:r>
      <w:r w:rsidR="00C17232" w:rsidRPr="00121A6A">
        <w:rPr>
          <w:sz w:val="24"/>
          <w:szCs w:val="24"/>
        </w:rPr>
        <w:t>als</w:t>
      </w:r>
      <w:r w:rsidR="00F17AC1" w:rsidRPr="00121A6A">
        <w:rPr>
          <w:sz w:val="24"/>
          <w:szCs w:val="24"/>
        </w:rPr>
        <w:t xml:space="preserve"> </w:t>
      </w:r>
      <w:r w:rsidR="00150D04" w:rsidRPr="00121A6A">
        <w:rPr>
          <w:sz w:val="24"/>
          <w:szCs w:val="24"/>
        </w:rPr>
        <w:t>het stakingsrecht kwalificeert als</w:t>
      </w:r>
      <w:r w:rsidR="00F17AC1" w:rsidRPr="00121A6A">
        <w:rPr>
          <w:sz w:val="24"/>
          <w:szCs w:val="24"/>
        </w:rPr>
        <w:t xml:space="preserve"> essentieel element.</w:t>
      </w:r>
      <w:r w:rsidR="00F17AC1" w:rsidRPr="00121A6A">
        <w:rPr>
          <w:rStyle w:val="FootnoteReference"/>
          <w:sz w:val="24"/>
          <w:szCs w:val="24"/>
        </w:rPr>
        <w:footnoteReference w:id="123"/>
      </w:r>
      <w:r w:rsidR="00F17AC1" w:rsidRPr="00121A6A">
        <w:rPr>
          <w:sz w:val="24"/>
          <w:szCs w:val="24"/>
        </w:rPr>
        <w:t xml:space="preserve"> </w:t>
      </w:r>
      <w:r w:rsidR="00D81314" w:rsidRPr="00121A6A">
        <w:rPr>
          <w:sz w:val="24"/>
          <w:szCs w:val="24"/>
        </w:rPr>
        <w:t xml:space="preserve">Bovendien wordt </w:t>
      </w:r>
      <w:r w:rsidR="00150D04" w:rsidRPr="00121A6A">
        <w:rPr>
          <w:sz w:val="24"/>
          <w:szCs w:val="24"/>
        </w:rPr>
        <w:t>het stakingsrecht in dat geval</w:t>
      </w:r>
      <w:r w:rsidR="00D81314" w:rsidRPr="00121A6A">
        <w:rPr>
          <w:sz w:val="24"/>
          <w:szCs w:val="24"/>
        </w:rPr>
        <w:t xml:space="preserve"> </w:t>
      </w:r>
      <w:r w:rsidR="00D812C1" w:rsidRPr="00121A6A">
        <w:rPr>
          <w:sz w:val="24"/>
          <w:szCs w:val="24"/>
        </w:rPr>
        <w:t xml:space="preserve">(meer) </w:t>
      </w:r>
      <w:r w:rsidR="00D81314" w:rsidRPr="00121A6A">
        <w:rPr>
          <w:sz w:val="24"/>
          <w:szCs w:val="24"/>
        </w:rPr>
        <w:t xml:space="preserve">beschouwd als onafhankelijk recht dat geldt ongeacht de aanwezigheid van andere middelen om de </w:t>
      </w:r>
      <w:r w:rsidR="00AD10C0" w:rsidRPr="00121A6A">
        <w:rPr>
          <w:sz w:val="24"/>
          <w:szCs w:val="24"/>
        </w:rPr>
        <w:t>beroeps</w:t>
      </w:r>
      <w:r w:rsidR="00D81314" w:rsidRPr="00121A6A">
        <w:rPr>
          <w:sz w:val="24"/>
          <w:szCs w:val="24"/>
        </w:rPr>
        <w:t>belangen van vakbondsleden te beschermen.</w:t>
      </w:r>
      <w:r w:rsidR="006849D6" w:rsidRPr="00121A6A">
        <w:rPr>
          <w:rStyle w:val="FootnoteReference"/>
          <w:sz w:val="24"/>
          <w:szCs w:val="24"/>
        </w:rPr>
        <w:footnoteReference w:id="124"/>
      </w:r>
      <w:r w:rsidR="0097670B" w:rsidRPr="00121A6A">
        <w:rPr>
          <w:sz w:val="24"/>
          <w:szCs w:val="24"/>
        </w:rPr>
        <w:t xml:space="preserve"> </w:t>
      </w:r>
      <w:r w:rsidR="00150D04" w:rsidRPr="00121A6A">
        <w:rPr>
          <w:sz w:val="24"/>
          <w:szCs w:val="24"/>
        </w:rPr>
        <w:t>Tot op heden heeft</w:t>
      </w:r>
      <w:r w:rsidR="0034125C" w:rsidRPr="00121A6A">
        <w:rPr>
          <w:sz w:val="24"/>
          <w:szCs w:val="24"/>
        </w:rPr>
        <w:t xml:space="preserve"> </w:t>
      </w:r>
      <w:r w:rsidR="00EF053E" w:rsidRPr="00121A6A">
        <w:rPr>
          <w:sz w:val="24"/>
          <w:szCs w:val="24"/>
        </w:rPr>
        <w:t xml:space="preserve">het EHRM </w:t>
      </w:r>
      <w:r w:rsidR="006E0B50" w:rsidRPr="00121A6A">
        <w:rPr>
          <w:sz w:val="24"/>
          <w:szCs w:val="24"/>
        </w:rPr>
        <w:t>het stakingsrecht</w:t>
      </w:r>
      <w:r w:rsidR="0034125C" w:rsidRPr="00121A6A">
        <w:rPr>
          <w:sz w:val="24"/>
          <w:szCs w:val="24"/>
        </w:rPr>
        <w:t xml:space="preserve"> </w:t>
      </w:r>
      <w:r w:rsidR="007B1D73" w:rsidRPr="00121A6A">
        <w:rPr>
          <w:sz w:val="24"/>
          <w:szCs w:val="24"/>
        </w:rPr>
        <w:t>nooit</w:t>
      </w:r>
      <w:r w:rsidR="00A92F7E" w:rsidRPr="00121A6A">
        <w:rPr>
          <w:sz w:val="24"/>
          <w:szCs w:val="24"/>
        </w:rPr>
        <w:t>, althans niet onvoorwaardelijk,</w:t>
      </w:r>
      <w:r w:rsidR="007B1D73" w:rsidRPr="00121A6A">
        <w:rPr>
          <w:sz w:val="24"/>
          <w:szCs w:val="24"/>
        </w:rPr>
        <w:t xml:space="preserve"> </w:t>
      </w:r>
      <w:r w:rsidR="006E0B50" w:rsidRPr="00121A6A">
        <w:rPr>
          <w:sz w:val="24"/>
          <w:szCs w:val="24"/>
        </w:rPr>
        <w:t>gekwalificeerd</w:t>
      </w:r>
      <w:r w:rsidR="005774BB" w:rsidRPr="00121A6A">
        <w:rPr>
          <w:sz w:val="24"/>
          <w:szCs w:val="24"/>
        </w:rPr>
        <w:t xml:space="preserve"> </w:t>
      </w:r>
      <w:r w:rsidR="006E0B50" w:rsidRPr="00121A6A">
        <w:rPr>
          <w:sz w:val="24"/>
          <w:szCs w:val="24"/>
        </w:rPr>
        <w:t xml:space="preserve">als </w:t>
      </w:r>
      <w:r w:rsidR="00150D04" w:rsidRPr="00121A6A">
        <w:rPr>
          <w:sz w:val="24"/>
          <w:szCs w:val="24"/>
        </w:rPr>
        <w:t>kerne</w:t>
      </w:r>
      <w:r w:rsidR="006E0B50" w:rsidRPr="00121A6A">
        <w:rPr>
          <w:sz w:val="24"/>
          <w:szCs w:val="24"/>
        </w:rPr>
        <w:t>lement</w:t>
      </w:r>
      <w:r w:rsidR="00150D04" w:rsidRPr="00121A6A">
        <w:rPr>
          <w:sz w:val="24"/>
          <w:szCs w:val="24"/>
        </w:rPr>
        <w:t xml:space="preserve"> van artikel 11 EVRM</w:t>
      </w:r>
      <w:r w:rsidR="007B1D73" w:rsidRPr="00121A6A">
        <w:rPr>
          <w:sz w:val="24"/>
          <w:szCs w:val="24"/>
        </w:rPr>
        <w:t>.</w:t>
      </w:r>
      <w:r w:rsidR="00EF053E" w:rsidRPr="00121A6A">
        <w:rPr>
          <w:sz w:val="24"/>
          <w:szCs w:val="24"/>
        </w:rPr>
        <w:t xml:space="preserve"> Sterker: in het </w:t>
      </w:r>
      <w:proofErr w:type="spellStart"/>
      <w:r w:rsidR="00EF053E" w:rsidRPr="00121A6A">
        <w:rPr>
          <w:i/>
          <w:iCs/>
          <w:sz w:val="24"/>
          <w:szCs w:val="24"/>
        </w:rPr>
        <w:t>Holship</w:t>
      </w:r>
      <w:proofErr w:type="spellEnd"/>
      <w:r w:rsidR="00EF053E" w:rsidRPr="00121A6A">
        <w:rPr>
          <w:sz w:val="24"/>
          <w:szCs w:val="24"/>
        </w:rPr>
        <w:t xml:space="preserve">-arrest </w:t>
      </w:r>
      <w:r w:rsidR="00390049" w:rsidRPr="00121A6A">
        <w:rPr>
          <w:sz w:val="24"/>
          <w:szCs w:val="24"/>
        </w:rPr>
        <w:t xml:space="preserve">(hierna) </w:t>
      </w:r>
      <w:r w:rsidR="00EF053E" w:rsidRPr="00121A6A">
        <w:rPr>
          <w:sz w:val="24"/>
          <w:szCs w:val="24"/>
        </w:rPr>
        <w:t xml:space="preserve">stelde het Hof dat </w:t>
      </w:r>
      <w:r w:rsidR="00B51A9B">
        <w:rPr>
          <w:sz w:val="24"/>
          <w:szCs w:val="24"/>
        </w:rPr>
        <w:t xml:space="preserve">aan </w:t>
      </w:r>
      <w:r w:rsidR="00EF053E" w:rsidRPr="00121A6A">
        <w:rPr>
          <w:sz w:val="24"/>
          <w:szCs w:val="24"/>
        </w:rPr>
        <w:t xml:space="preserve">lidstaten, gezien het politiek en sociaaleconomisch gevoelige karakter </w:t>
      </w:r>
      <w:r w:rsidR="00B05249">
        <w:rPr>
          <w:sz w:val="24"/>
          <w:szCs w:val="24"/>
        </w:rPr>
        <w:t xml:space="preserve">van de afweging </w:t>
      </w:r>
      <w:r w:rsidR="00EF053E" w:rsidRPr="00121A6A">
        <w:rPr>
          <w:sz w:val="24"/>
          <w:szCs w:val="24"/>
        </w:rPr>
        <w:t xml:space="preserve">en de onderlinge verschillen </w:t>
      </w:r>
      <w:r w:rsidR="00EF053E" w:rsidRPr="00121A6A">
        <w:rPr>
          <w:sz w:val="24"/>
          <w:szCs w:val="24"/>
        </w:rPr>
        <w:lastRenderedPageBreak/>
        <w:t xml:space="preserve">tussen nationale </w:t>
      </w:r>
      <w:r w:rsidR="00B05249">
        <w:rPr>
          <w:sz w:val="24"/>
          <w:szCs w:val="24"/>
        </w:rPr>
        <w:t>rechts</w:t>
      </w:r>
      <w:r w:rsidR="00EF053E" w:rsidRPr="00121A6A">
        <w:rPr>
          <w:sz w:val="24"/>
          <w:szCs w:val="24"/>
        </w:rPr>
        <w:t xml:space="preserve">stelsels, een ruime beoordelingsmarge toekomt bij de afweging van contrasterende </w:t>
      </w:r>
      <w:r w:rsidR="00A92F7E" w:rsidRPr="00121A6A">
        <w:rPr>
          <w:sz w:val="24"/>
          <w:szCs w:val="24"/>
        </w:rPr>
        <w:t>werknemers- en werkgevers</w:t>
      </w:r>
      <w:r w:rsidR="00EF053E" w:rsidRPr="00121A6A">
        <w:rPr>
          <w:sz w:val="24"/>
          <w:szCs w:val="24"/>
        </w:rPr>
        <w:t>belang</w:t>
      </w:r>
      <w:r w:rsidR="00A92F7E" w:rsidRPr="00121A6A">
        <w:rPr>
          <w:sz w:val="24"/>
          <w:szCs w:val="24"/>
        </w:rPr>
        <w:t>en</w:t>
      </w:r>
      <w:r w:rsidR="00EF053E" w:rsidRPr="00121A6A">
        <w:rPr>
          <w:sz w:val="24"/>
          <w:szCs w:val="24"/>
        </w:rPr>
        <w:t>.</w:t>
      </w:r>
      <w:r w:rsidR="007B1D73" w:rsidRPr="00121A6A">
        <w:rPr>
          <w:sz w:val="24"/>
          <w:szCs w:val="24"/>
        </w:rPr>
        <w:t xml:space="preserve"> Volgens </w:t>
      </w:r>
      <w:proofErr w:type="spellStart"/>
      <w:r w:rsidR="007B1D73" w:rsidRPr="00121A6A">
        <w:rPr>
          <w:sz w:val="24"/>
          <w:szCs w:val="24"/>
        </w:rPr>
        <w:t>Stylogiannis</w:t>
      </w:r>
      <w:proofErr w:type="spellEnd"/>
      <w:r w:rsidR="007B1D73" w:rsidRPr="00121A6A">
        <w:rPr>
          <w:sz w:val="24"/>
          <w:szCs w:val="24"/>
        </w:rPr>
        <w:t xml:space="preserve"> </w:t>
      </w:r>
      <w:r w:rsidR="00C40B48" w:rsidRPr="00121A6A">
        <w:rPr>
          <w:sz w:val="24"/>
          <w:szCs w:val="24"/>
        </w:rPr>
        <w:t>vormt</w:t>
      </w:r>
      <w:r w:rsidR="007B1D73" w:rsidRPr="00121A6A">
        <w:rPr>
          <w:sz w:val="24"/>
          <w:szCs w:val="24"/>
        </w:rPr>
        <w:t xml:space="preserve"> dit een indicatie dat het stakingsrecht thans nog steeds een belangrijk maar geen essentieel </w:t>
      </w:r>
      <w:r w:rsidR="00295132">
        <w:rPr>
          <w:sz w:val="24"/>
          <w:szCs w:val="24"/>
        </w:rPr>
        <w:t xml:space="preserve">onderdeel </w:t>
      </w:r>
      <w:r w:rsidR="00B05249">
        <w:rPr>
          <w:sz w:val="24"/>
          <w:szCs w:val="24"/>
        </w:rPr>
        <w:t>van artikel 11 EVRM</w:t>
      </w:r>
      <w:r w:rsidR="00B51A9B" w:rsidRPr="00B51A9B">
        <w:rPr>
          <w:sz w:val="24"/>
          <w:szCs w:val="24"/>
        </w:rPr>
        <w:t xml:space="preserve"> </w:t>
      </w:r>
      <w:r w:rsidR="003B68C6">
        <w:rPr>
          <w:sz w:val="24"/>
          <w:szCs w:val="24"/>
        </w:rPr>
        <w:t>uitmaakt</w:t>
      </w:r>
      <w:r w:rsidR="007B1D73" w:rsidRPr="00121A6A">
        <w:rPr>
          <w:sz w:val="24"/>
          <w:szCs w:val="24"/>
        </w:rPr>
        <w:t>.</w:t>
      </w:r>
      <w:r w:rsidR="00EF053E" w:rsidRPr="00121A6A">
        <w:rPr>
          <w:rStyle w:val="FootnoteReference"/>
          <w:sz w:val="24"/>
          <w:szCs w:val="24"/>
        </w:rPr>
        <w:footnoteReference w:id="125"/>
      </w:r>
      <w:r w:rsidR="004010D4" w:rsidRPr="00121A6A">
        <w:rPr>
          <w:sz w:val="24"/>
          <w:szCs w:val="24"/>
        </w:rPr>
        <w:t xml:space="preserve"> </w:t>
      </w:r>
      <w:r w:rsidR="002D0D8E" w:rsidRPr="00121A6A">
        <w:rPr>
          <w:sz w:val="24"/>
          <w:szCs w:val="24"/>
        </w:rPr>
        <w:t xml:space="preserve">Daarnaast heeft het EHRM in het </w:t>
      </w:r>
      <w:r w:rsidR="002D0D8E" w:rsidRPr="00121A6A">
        <w:rPr>
          <w:i/>
          <w:iCs/>
          <w:sz w:val="24"/>
          <w:szCs w:val="24"/>
        </w:rPr>
        <w:t>Humpert</w:t>
      </w:r>
      <w:r w:rsidR="002D0D8E" w:rsidRPr="00121A6A">
        <w:rPr>
          <w:sz w:val="24"/>
          <w:szCs w:val="24"/>
        </w:rPr>
        <w:t xml:space="preserve">-arrest </w:t>
      </w:r>
      <w:r w:rsidR="002F6372">
        <w:rPr>
          <w:sz w:val="24"/>
          <w:szCs w:val="24"/>
        </w:rPr>
        <w:t xml:space="preserve">uit 2023 </w:t>
      </w:r>
      <w:r w:rsidR="00DD0C12" w:rsidRPr="00121A6A">
        <w:rPr>
          <w:sz w:val="24"/>
          <w:szCs w:val="24"/>
        </w:rPr>
        <w:t xml:space="preserve">uitdrukkelijk </w:t>
      </w:r>
      <w:r w:rsidR="002D0D8E" w:rsidRPr="00121A6A">
        <w:rPr>
          <w:sz w:val="24"/>
          <w:szCs w:val="24"/>
        </w:rPr>
        <w:t>overwogen dat bij de beoordeling van de (on)</w:t>
      </w:r>
      <w:r w:rsidR="003B68C6">
        <w:rPr>
          <w:sz w:val="24"/>
          <w:szCs w:val="24"/>
        </w:rPr>
        <w:t>rechtmatig</w:t>
      </w:r>
      <w:r w:rsidR="002D0D8E" w:rsidRPr="00121A6A">
        <w:rPr>
          <w:sz w:val="24"/>
          <w:szCs w:val="24"/>
        </w:rPr>
        <w:t xml:space="preserve">heid van </w:t>
      </w:r>
      <w:r w:rsidR="003B68C6">
        <w:rPr>
          <w:sz w:val="24"/>
          <w:szCs w:val="24"/>
        </w:rPr>
        <w:t xml:space="preserve">een </w:t>
      </w:r>
      <w:r w:rsidR="002D0D8E" w:rsidRPr="00121A6A">
        <w:rPr>
          <w:sz w:val="24"/>
          <w:szCs w:val="24"/>
        </w:rPr>
        <w:t xml:space="preserve">beperking van het stakingsrecht </w:t>
      </w:r>
      <w:bookmarkStart w:id="55" w:name="_Hlk163474870"/>
      <w:r w:rsidR="002D0D8E" w:rsidRPr="00121A6A">
        <w:rPr>
          <w:sz w:val="24"/>
          <w:szCs w:val="24"/>
        </w:rPr>
        <w:t xml:space="preserve">rekening moet worden gehouden met </w:t>
      </w:r>
      <w:r w:rsidR="003B68C6">
        <w:rPr>
          <w:sz w:val="24"/>
          <w:szCs w:val="24"/>
        </w:rPr>
        <w:t>alle</w:t>
      </w:r>
      <w:r w:rsidR="002D0D8E" w:rsidRPr="00121A6A">
        <w:rPr>
          <w:sz w:val="24"/>
          <w:szCs w:val="24"/>
        </w:rPr>
        <w:t xml:space="preserve"> maatregelen </w:t>
      </w:r>
      <w:r w:rsidR="003B68C6">
        <w:rPr>
          <w:sz w:val="24"/>
          <w:szCs w:val="24"/>
        </w:rPr>
        <w:t>die</w:t>
      </w:r>
      <w:r w:rsidR="002D0D8E" w:rsidRPr="00121A6A">
        <w:rPr>
          <w:sz w:val="24"/>
          <w:szCs w:val="24"/>
        </w:rPr>
        <w:t xml:space="preserve"> de betrokken staat </w:t>
      </w:r>
      <w:r w:rsidR="003B68C6">
        <w:rPr>
          <w:sz w:val="24"/>
          <w:szCs w:val="24"/>
        </w:rPr>
        <w:t xml:space="preserve">heeft </w:t>
      </w:r>
      <w:r w:rsidR="002D0D8E" w:rsidRPr="00121A6A">
        <w:rPr>
          <w:sz w:val="24"/>
          <w:szCs w:val="24"/>
        </w:rPr>
        <w:t xml:space="preserve">genomen </w:t>
      </w:r>
      <w:bookmarkEnd w:id="55"/>
      <w:r w:rsidR="002D0D8E" w:rsidRPr="00121A6A">
        <w:rPr>
          <w:sz w:val="24"/>
          <w:szCs w:val="24"/>
        </w:rPr>
        <w:t xml:space="preserve">om de vakbondsvrijheid te waarborgen. </w:t>
      </w:r>
      <w:r w:rsidR="00B05249">
        <w:rPr>
          <w:sz w:val="24"/>
          <w:szCs w:val="24"/>
        </w:rPr>
        <w:t>H</w:t>
      </w:r>
      <w:r w:rsidR="000912BC" w:rsidRPr="00121A6A">
        <w:rPr>
          <w:sz w:val="24"/>
          <w:szCs w:val="24"/>
        </w:rPr>
        <w:t>ieruit</w:t>
      </w:r>
      <w:r w:rsidR="002D0D8E" w:rsidRPr="00121A6A">
        <w:rPr>
          <w:sz w:val="24"/>
          <w:szCs w:val="24"/>
        </w:rPr>
        <w:t xml:space="preserve"> </w:t>
      </w:r>
      <w:r w:rsidR="00E66A8F" w:rsidRPr="00121A6A">
        <w:rPr>
          <w:sz w:val="24"/>
          <w:szCs w:val="24"/>
        </w:rPr>
        <w:t>blijkt</w:t>
      </w:r>
      <w:r w:rsidR="002D0D8E" w:rsidRPr="00121A6A">
        <w:rPr>
          <w:sz w:val="24"/>
          <w:szCs w:val="24"/>
        </w:rPr>
        <w:t xml:space="preserve"> </w:t>
      </w:r>
      <w:r w:rsidR="00B05249">
        <w:rPr>
          <w:sz w:val="24"/>
          <w:szCs w:val="24"/>
        </w:rPr>
        <w:t xml:space="preserve">eveneens </w:t>
      </w:r>
      <w:r w:rsidR="002D0D8E" w:rsidRPr="00121A6A">
        <w:rPr>
          <w:sz w:val="24"/>
          <w:szCs w:val="24"/>
        </w:rPr>
        <w:t xml:space="preserve">dat het stakingsrecht als zodanig </w:t>
      </w:r>
      <w:r w:rsidR="00DD0C12" w:rsidRPr="00121A6A">
        <w:rPr>
          <w:sz w:val="24"/>
          <w:szCs w:val="24"/>
        </w:rPr>
        <w:t>(</w:t>
      </w:r>
      <w:r w:rsidR="002D0D8E" w:rsidRPr="00121A6A">
        <w:rPr>
          <w:sz w:val="24"/>
          <w:szCs w:val="24"/>
        </w:rPr>
        <w:t>nog</w:t>
      </w:r>
      <w:r w:rsidR="00DD0C12" w:rsidRPr="00121A6A">
        <w:rPr>
          <w:sz w:val="24"/>
          <w:szCs w:val="24"/>
        </w:rPr>
        <w:t>)</w:t>
      </w:r>
      <w:r w:rsidR="002D0D8E" w:rsidRPr="00121A6A">
        <w:rPr>
          <w:sz w:val="24"/>
          <w:szCs w:val="24"/>
        </w:rPr>
        <w:t xml:space="preserve"> geen onafhankelijke status heeft </w:t>
      </w:r>
      <w:r w:rsidR="000912BC" w:rsidRPr="00121A6A">
        <w:rPr>
          <w:sz w:val="24"/>
          <w:szCs w:val="24"/>
        </w:rPr>
        <w:t xml:space="preserve">verworven </w:t>
      </w:r>
      <w:r w:rsidR="002D0D8E" w:rsidRPr="00121A6A">
        <w:rPr>
          <w:sz w:val="24"/>
          <w:szCs w:val="24"/>
        </w:rPr>
        <w:t>onder artikel 11 EVRM.</w:t>
      </w:r>
    </w:p>
    <w:p w14:paraId="1D79FF1F" w14:textId="7DD2658B" w:rsidR="00171A6A" w:rsidRPr="00121A6A" w:rsidRDefault="004010D4" w:rsidP="003C7624">
      <w:pPr>
        <w:spacing w:after="0"/>
        <w:ind w:firstLine="708"/>
        <w:jc w:val="both"/>
        <w:rPr>
          <w:sz w:val="24"/>
          <w:szCs w:val="24"/>
        </w:rPr>
      </w:pPr>
      <w:r w:rsidRPr="00121A6A">
        <w:rPr>
          <w:sz w:val="24"/>
          <w:szCs w:val="24"/>
        </w:rPr>
        <w:t xml:space="preserve">Desalniettemin </w:t>
      </w:r>
      <w:r w:rsidR="00A92F7E" w:rsidRPr="00121A6A">
        <w:rPr>
          <w:sz w:val="24"/>
          <w:szCs w:val="24"/>
        </w:rPr>
        <w:t>is in de rechtspraak van het EHRM een ontwikkeling gaande in de richting van</w:t>
      </w:r>
      <w:r w:rsidR="00092A8E" w:rsidRPr="00121A6A">
        <w:rPr>
          <w:sz w:val="24"/>
          <w:szCs w:val="24"/>
        </w:rPr>
        <w:t xml:space="preserve"> </w:t>
      </w:r>
      <w:r w:rsidR="00A92F7E" w:rsidRPr="00121A6A">
        <w:rPr>
          <w:sz w:val="24"/>
          <w:szCs w:val="24"/>
        </w:rPr>
        <w:t xml:space="preserve">bescherming van </w:t>
      </w:r>
      <w:r w:rsidR="00C40B48" w:rsidRPr="00121A6A">
        <w:rPr>
          <w:sz w:val="24"/>
          <w:szCs w:val="24"/>
        </w:rPr>
        <w:t xml:space="preserve">het stakingsrecht </w:t>
      </w:r>
      <w:r w:rsidR="00A92F7E" w:rsidRPr="00121A6A">
        <w:rPr>
          <w:sz w:val="24"/>
          <w:szCs w:val="24"/>
        </w:rPr>
        <w:t>als essentieel element</w:t>
      </w:r>
      <w:r w:rsidRPr="00121A6A">
        <w:rPr>
          <w:sz w:val="24"/>
          <w:szCs w:val="24"/>
        </w:rPr>
        <w:t>.</w:t>
      </w:r>
      <w:r w:rsidR="006E0B50" w:rsidRPr="00121A6A">
        <w:rPr>
          <w:sz w:val="24"/>
          <w:szCs w:val="24"/>
        </w:rPr>
        <w:t xml:space="preserve"> </w:t>
      </w:r>
      <w:r w:rsidR="007F49B9" w:rsidRPr="00121A6A">
        <w:rPr>
          <w:sz w:val="24"/>
          <w:szCs w:val="24"/>
        </w:rPr>
        <w:t xml:space="preserve">Onderkend wordt dat </w:t>
      </w:r>
      <w:r w:rsidR="002A4EB8" w:rsidRPr="00121A6A">
        <w:rPr>
          <w:sz w:val="24"/>
          <w:szCs w:val="24"/>
        </w:rPr>
        <w:t xml:space="preserve">het Hof in het </w:t>
      </w:r>
      <w:r w:rsidR="002A4EB8" w:rsidRPr="00121A6A">
        <w:rPr>
          <w:i/>
          <w:iCs/>
          <w:sz w:val="24"/>
          <w:szCs w:val="24"/>
        </w:rPr>
        <w:t>RMT</w:t>
      </w:r>
      <w:r w:rsidR="002A4EB8" w:rsidRPr="00121A6A">
        <w:rPr>
          <w:sz w:val="24"/>
          <w:szCs w:val="24"/>
        </w:rPr>
        <w:t xml:space="preserve">-arrest </w:t>
      </w:r>
      <w:r w:rsidR="00E3067C" w:rsidRPr="00121A6A">
        <w:rPr>
          <w:sz w:val="24"/>
          <w:szCs w:val="24"/>
        </w:rPr>
        <w:t xml:space="preserve">diens </w:t>
      </w:r>
      <w:r w:rsidR="00A12CAE" w:rsidRPr="00121A6A">
        <w:rPr>
          <w:sz w:val="24"/>
          <w:szCs w:val="24"/>
        </w:rPr>
        <w:t>referentie</w:t>
      </w:r>
      <w:r w:rsidR="00E3067C" w:rsidRPr="00121A6A">
        <w:rPr>
          <w:sz w:val="24"/>
          <w:szCs w:val="24"/>
        </w:rPr>
        <w:t xml:space="preserve"> in </w:t>
      </w:r>
      <w:proofErr w:type="spellStart"/>
      <w:r w:rsidR="00E3067C" w:rsidRPr="00121A6A">
        <w:rPr>
          <w:i/>
          <w:iCs/>
          <w:sz w:val="24"/>
          <w:szCs w:val="24"/>
        </w:rPr>
        <w:t>Enerji</w:t>
      </w:r>
      <w:proofErr w:type="spellEnd"/>
      <w:r w:rsidR="00E3067C" w:rsidRPr="00121A6A">
        <w:rPr>
          <w:i/>
          <w:iCs/>
          <w:sz w:val="24"/>
          <w:szCs w:val="24"/>
        </w:rPr>
        <w:t xml:space="preserve"> </w:t>
      </w:r>
      <w:r w:rsidR="00E3067C" w:rsidRPr="00121A6A">
        <w:rPr>
          <w:sz w:val="24"/>
          <w:szCs w:val="24"/>
        </w:rPr>
        <w:t>naar de</w:t>
      </w:r>
      <w:r w:rsidR="007F49B9" w:rsidRPr="00121A6A">
        <w:rPr>
          <w:sz w:val="24"/>
          <w:szCs w:val="24"/>
        </w:rPr>
        <w:t xml:space="preserve"> ILO</w:t>
      </w:r>
      <w:r w:rsidR="00527930">
        <w:rPr>
          <w:sz w:val="24"/>
          <w:szCs w:val="24"/>
        </w:rPr>
        <w:t>-organen</w:t>
      </w:r>
      <w:r w:rsidR="007F49B9" w:rsidRPr="00121A6A">
        <w:rPr>
          <w:sz w:val="24"/>
          <w:szCs w:val="24"/>
        </w:rPr>
        <w:t xml:space="preserve"> en</w:t>
      </w:r>
      <w:r w:rsidR="00E3067C" w:rsidRPr="00121A6A">
        <w:rPr>
          <w:sz w:val="24"/>
          <w:szCs w:val="24"/>
        </w:rPr>
        <w:t xml:space="preserve"> </w:t>
      </w:r>
      <w:r w:rsidR="00527930">
        <w:rPr>
          <w:sz w:val="24"/>
          <w:szCs w:val="24"/>
        </w:rPr>
        <w:t>hun</w:t>
      </w:r>
      <w:r w:rsidR="0078627C" w:rsidRPr="00121A6A">
        <w:rPr>
          <w:sz w:val="24"/>
          <w:szCs w:val="24"/>
        </w:rPr>
        <w:t xml:space="preserve"> </w:t>
      </w:r>
      <w:r w:rsidR="00E3067C" w:rsidRPr="00121A6A">
        <w:rPr>
          <w:sz w:val="24"/>
          <w:szCs w:val="24"/>
        </w:rPr>
        <w:t>kwalificatie van het stakingsrecht als ‘</w:t>
      </w:r>
      <w:r w:rsidR="00E3067C" w:rsidRPr="003B68C6">
        <w:rPr>
          <w:i/>
          <w:iCs/>
          <w:sz w:val="24"/>
          <w:szCs w:val="24"/>
        </w:rPr>
        <w:t>onontbeerlijk uitvloeisel</w:t>
      </w:r>
      <w:r w:rsidR="00E3067C" w:rsidRPr="00121A6A">
        <w:rPr>
          <w:sz w:val="24"/>
          <w:szCs w:val="24"/>
        </w:rPr>
        <w:t>’ van de vak</w:t>
      </w:r>
      <w:r w:rsidR="0046409E" w:rsidRPr="00121A6A">
        <w:rPr>
          <w:sz w:val="24"/>
          <w:szCs w:val="24"/>
        </w:rPr>
        <w:t>bond</w:t>
      </w:r>
      <w:r w:rsidR="00E3067C" w:rsidRPr="00121A6A">
        <w:rPr>
          <w:sz w:val="24"/>
          <w:szCs w:val="24"/>
        </w:rPr>
        <w:t xml:space="preserve">svrijheid </w:t>
      </w:r>
      <w:r w:rsidR="007F49B9" w:rsidRPr="00121A6A">
        <w:rPr>
          <w:sz w:val="24"/>
          <w:szCs w:val="24"/>
        </w:rPr>
        <w:t xml:space="preserve">uitdrukkelijk relativeerde </w:t>
      </w:r>
      <w:r w:rsidR="001B4DA7" w:rsidRPr="00121A6A">
        <w:rPr>
          <w:sz w:val="24"/>
          <w:szCs w:val="24"/>
        </w:rPr>
        <w:t xml:space="preserve">en </w:t>
      </w:r>
      <w:r w:rsidR="00E13B5C" w:rsidRPr="00121A6A">
        <w:rPr>
          <w:sz w:val="24"/>
          <w:szCs w:val="24"/>
        </w:rPr>
        <w:t xml:space="preserve">expliciet </w:t>
      </w:r>
      <w:r w:rsidR="007F49B9" w:rsidRPr="00121A6A">
        <w:rPr>
          <w:sz w:val="24"/>
          <w:szCs w:val="24"/>
        </w:rPr>
        <w:t xml:space="preserve">weigerde </w:t>
      </w:r>
      <w:r w:rsidR="00E13B5C" w:rsidRPr="00121A6A">
        <w:rPr>
          <w:sz w:val="24"/>
          <w:szCs w:val="24"/>
        </w:rPr>
        <w:t xml:space="preserve">het stakingsrecht </w:t>
      </w:r>
      <w:r w:rsidR="00DB37E7" w:rsidRPr="00121A6A">
        <w:rPr>
          <w:sz w:val="24"/>
          <w:szCs w:val="24"/>
        </w:rPr>
        <w:t xml:space="preserve">een </w:t>
      </w:r>
      <w:r w:rsidR="00E13B5C" w:rsidRPr="00121A6A">
        <w:rPr>
          <w:sz w:val="24"/>
          <w:szCs w:val="24"/>
        </w:rPr>
        <w:t>bevoorrechte status toe te kennen</w:t>
      </w:r>
      <w:r w:rsidR="000968AC" w:rsidRPr="00121A6A">
        <w:rPr>
          <w:sz w:val="24"/>
          <w:szCs w:val="24"/>
        </w:rPr>
        <w:t>.</w:t>
      </w:r>
      <w:r w:rsidR="001B4DA7" w:rsidRPr="00121A6A">
        <w:rPr>
          <w:sz w:val="24"/>
          <w:szCs w:val="24"/>
        </w:rPr>
        <w:t xml:space="preserve"> </w:t>
      </w:r>
      <w:r w:rsidR="00034AC2" w:rsidRPr="00121A6A">
        <w:rPr>
          <w:sz w:val="24"/>
          <w:szCs w:val="24"/>
        </w:rPr>
        <w:t>Toch</w:t>
      </w:r>
      <w:r w:rsidR="002A4EB8" w:rsidRPr="00121A6A">
        <w:rPr>
          <w:sz w:val="24"/>
          <w:szCs w:val="24"/>
        </w:rPr>
        <w:t xml:space="preserve"> </w:t>
      </w:r>
      <w:r w:rsidR="000968AC" w:rsidRPr="00121A6A">
        <w:rPr>
          <w:sz w:val="24"/>
          <w:szCs w:val="24"/>
        </w:rPr>
        <w:t>overwoog het Hof</w:t>
      </w:r>
      <w:r w:rsidR="009C7449" w:rsidRPr="00121A6A">
        <w:rPr>
          <w:sz w:val="24"/>
          <w:szCs w:val="24"/>
        </w:rPr>
        <w:t xml:space="preserve"> </w:t>
      </w:r>
      <w:r w:rsidR="00E727F4">
        <w:rPr>
          <w:sz w:val="24"/>
          <w:szCs w:val="24"/>
        </w:rPr>
        <w:t xml:space="preserve">in dat arrest </w:t>
      </w:r>
      <w:r w:rsidR="00034AC2" w:rsidRPr="00121A6A">
        <w:rPr>
          <w:sz w:val="24"/>
          <w:szCs w:val="24"/>
        </w:rPr>
        <w:t>(</w:t>
      </w:r>
      <w:r w:rsidR="00034AC2" w:rsidRPr="007F04F3">
        <w:rPr>
          <w:sz w:val="24"/>
          <w:szCs w:val="24"/>
        </w:rPr>
        <w:t xml:space="preserve">ook) </w:t>
      </w:r>
      <w:r w:rsidR="002A4EB8" w:rsidRPr="007F04F3">
        <w:rPr>
          <w:sz w:val="24"/>
          <w:szCs w:val="24"/>
        </w:rPr>
        <w:t>‘</w:t>
      </w:r>
      <w:r w:rsidR="002A4EB8" w:rsidRPr="007F04F3">
        <w:rPr>
          <w:i/>
          <w:iCs/>
          <w:sz w:val="24"/>
          <w:szCs w:val="24"/>
        </w:rPr>
        <w:t xml:space="preserve">dat de feiten […] in casu […] geen ongerechtvaardigde inmenging aantonen in het recht van vereniging van de verzoekende vakbond, waarvan zij de </w:t>
      </w:r>
      <w:r w:rsidR="002A4EB8" w:rsidRPr="007F04F3">
        <w:rPr>
          <w:i/>
          <w:iCs/>
          <w:sz w:val="24"/>
          <w:szCs w:val="24"/>
          <w:u w:val="single"/>
        </w:rPr>
        <w:t>wezenlijke bestanddelen</w:t>
      </w:r>
      <w:r w:rsidR="002A4EB8" w:rsidRPr="007F04F3">
        <w:rPr>
          <w:i/>
          <w:iCs/>
          <w:sz w:val="24"/>
          <w:szCs w:val="24"/>
        </w:rPr>
        <w:t xml:space="preserve"> heeft kunnen uitoefenen door […] een </w:t>
      </w:r>
      <w:r w:rsidR="002A4EB8" w:rsidRPr="007F04F3">
        <w:rPr>
          <w:i/>
          <w:iCs/>
          <w:sz w:val="24"/>
          <w:szCs w:val="24"/>
          <w:u w:val="single"/>
        </w:rPr>
        <w:t>staking van die leden op hun werkplek</w:t>
      </w:r>
      <w:r w:rsidR="002A4EB8" w:rsidRPr="007F04F3">
        <w:rPr>
          <w:i/>
          <w:iCs/>
          <w:sz w:val="24"/>
          <w:szCs w:val="24"/>
        </w:rPr>
        <w:t xml:space="preserve"> te organiseren</w:t>
      </w:r>
      <w:r w:rsidR="00DB37E7" w:rsidRPr="007F04F3">
        <w:rPr>
          <w:i/>
          <w:iCs/>
          <w:sz w:val="24"/>
          <w:szCs w:val="24"/>
        </w:rPr>
        <w:t>.</w:t>
      </w:r>
      <w:r w:rsidR="002A4EB8" w:rsidRPr="007F04F3">
        <w:rPr>
          <w:sz w:val="24"/>
          <w:szCs w:val="24"/>
        </w:rPr>
        <w:t>’</w:t>
      </w:r>
      <w:r w:rsidR="00BE42AF" w:rsidRPr="007F04F3">
        <w:rPr>
          <w:sz w:val="24"/>
          <w:szCs w:val="24"/>
        </w:rPr>
        <w:t xml:space="preserve"> [onderstreping </w:t>
      </w:r>
      <w:proofErr w:type="spellStart"/>
      <w:r w:rsidR="00BE42AF" w:rsidRPr="007F04F3">
        <w:rPr>
          <w:sz w:val="24"/>
          <w:szCs w:val="24"/>
        </w:rPr>
        <w:t>BvD</w:t>
      </w:r>
      <w:proofErr w:type="spellEnd"/>
      <w:r w:rsidR="00BE42AF" w:rsidRPr="007F04F3">
        <w:rPr>
          <w:sz w:val="24"/>
          <w:szCs w:val="24"/>
        </w:rPr>
        <w:t>]</w:t>
      </w:r>
      <w:r w:rsidR="000A63F6" w:rsidRPr="007F04F3">
        <w:rPr>
          <w:sz w:val="24"/>
          <w:szCs w:val="24"/>
        </w:rPr>
        <w:t xml:space="preserve">. Daarnaast </w:t>
      </w:r>
      <w:r w:rsidR="007D413F" w:rsidRPr="007F04F3">
        <w:rPr>
          <w:sz w:val="24"/>
          <w:szCs w:val="24"/>
        </w:rPr>
        <w:t>oordeelde</w:t>
      </w:r>
      <w:r w:rsidR="000A63F6" w:rsidRPr="007F04F3">
        <w:rPr>
          <w:sz w:val="24"/>
          <w:szCs w:val="24"/>
        </w:rPr>
        <w:t xml:space="preserve"> het EHRM in het</w:t>
      </w:r>
      <w:r w:rsidR="00641574" w:rsidRPr="007F04F3">
        <w:rPr>
          <w:sz w:val="24"/>
          <w:szCs w:val="24"/>
        </w:rPr>
        <w:t xml:space="preserve"> </w:t>
      </w:r>
      <w:proofErr w:type="spellStart"/>
      <w:r w:rsidR="00641574" w:rsidRPr="007F04F3">
        <w:rPr>
          <w:i/>
          <w:iCs/>
          <w:sz w:val="24"/>
          <w:szCs w:val="24"/>
        </w:rPr>
        <w:t>Hrvatsk</w:t>
      </w:r>
      <w:r w:rsidR="00FA1B6F" w:rsidRPr="007F04F3">
        <w:rPr>
          <w:i/>
          <w:iCs/>
          <w:sz w:val="24"/>
          <w:szCs w:val="24"/>
        </w:rPr>
        <w:t>i</w:t>
      </w:r>
      <w:proofErr w:type="spellEnd"/>
      <w:r w:rsidR="000A63F6" w:rsidRPr="007F04F3">
        <w:rPr>
          <w:sz w:val="24"/>
          <w:szCs w:val="24"/>
        </w:rPr>
        <w:t xml:space="preserve">-arrest </w:t>
      </w:r>
      <w:r w:rsidR="00F35B6F" w:rsidRPr="007F04F3">
        <w:rPr>
          <w:sz w:val="24"/>
          <w:szCs w:val="24"/>
        </w:rPr>
        <w:t xml:space="preserve">letterlijk </w:t>
      </w:r>
      <w:r w:rsidR="007E3CA7" w:rsidRPr="007F04F3">
        <w:rPr>
          <w:sz w:val="24"/>
          <w:szCs w:val="24"/>
        </w:rPr>
        <w:t xml:space="preserve">dat het stakingsrecht </w:t>
      </w:r>
      <w:r w:rsidR="00240CB5" w:rsidRPr="007F04F3">
        <w:rPr>
          <w:sz w:val="24"/>
          <w:szCs w:val="24"/>
        </w:rPr>
        <w:t>‘</w:t>
      </w:r>
      <w:r w:rsidR="007E3CA7" w:rsidRPr="007F04F3">
        <w:rPr>
          <w:i/>
          <w:iCs/>
          <w:sz w:val="24"/>
          <w:szCs w:val="24"/>
        </w:rPr>
        <w:t xml:space="preserve">het krachtigste middel </w:t>
      </w:r>
      <w:r w:rsidR="007A0714" w:rsidRPr="007F04F3">
        <w:rPr>
          <w:i/>
          <w:iCs/>
          <w:sz w:val="24"/>
          <w:szCs w:val="24"/>
        </w:rPr>
        <w:t>[</w:t>
      </w:r>
      <w:r w:rsidR="007E3CA7" w:rsidRPr="007F04F3">
        <w:rPr>
          <w:i/>
          <w:iCs/>
          <w:sz w:val="24"/>
          <w:szCs w:val="24"/>
        </w:rPr>
        <w:t>is</w:t>
      </w:r>
      <w:r w:rsidR="007A0714" w:rsidRPr="007F04F3">
        <w:rPr>
          <w:i/>
          <w:iCs/>
          <w:sz w:val="24"/>
          <w:szCs w:val="24"/>
        </w:rPr>
        <w:t>]</w:t>
      </w:r>
      <w:r w:rsidR="007E3CA7" w:rsidRPr="007F04F3">
        <w:rPr>
          <w:i/>
          <w:iCs/>
          <w:sz w:val="24"/>
          <w:szCs w:val="24"/>
        </w:rPr>
        <w:t xml:space="preserve"> om</w:t>
      </w:r>
      <w:r w:rsidR="00DA0B5F" w:rsidRPr="007F04F3">
        <w:rPr>
          <w:i/>
          <w:iCs/>
          <w:sz w:val="24"/>
          <w:szCs w:val="24"/>
        </w:rPr>
        <w:t xml:space="preserve"> </w:t>
      </w:r>
      <w:r w:rsidR="007E3CA7" w:rsidRPr="007F04F3">
        <w:rPr>
          <w:i/>
          <w:iCs/>
          <w:sz w:val="24"/>
          <w:szCs w:val="24"/>
        </w:rPr>
        <w:t xml:space="preserve">beroepsbelangen van </w:t>
      </w:r>
      <w:r w:rsidR="007A0714" w:rsidRPr="007F04F3">
        <w:rPr>
          <w:i/>
          <w:iCs/>
          <w:sz w:val="24"/>
          <w:szCs w:val="24"/>
        </w:rPr>
        <w:t>[</w:t>
      </w:r>
      <w:proofErr w:type="spellStart"/>
      <w:r w:rsidR="007E3CA7" w:rsidRPr="007F04F3">
        <w:rPr>
          <w:i/>
          <w:iCs/>
          <w:sz w:val="24"/>
          <w:szCs w:val="24"/>
        </w:rPr>
        <w:t>vakbonds</w:t>
      </w:r>
      <w:proofErr w:type="spellEnd"/>
      <w:r w:rsidR="007A0714" w:rsidRPr="007F04F3">
        <w:rPr>
          <w:i/>
          <w:iCs/>
          <w:sz w:val="24"/>
          <w:szCs w:val="24"/>
        </w:rPr>
        <w:t>]</w:t>
      </w:r>
      <w:r w:rsidR="007E3CA7" w:rsidRPr="007F04F3">
        <w:rPr>
          <w:i/>
          <w:iCs/>
          <w:sz w:val="24"/>
          <w:szCs w:val="24"/>
        </w:rPr>
        <w:t>leden te beschermen</w:t>
      </w:r>
      <w:r w:rsidR="00527930">
        <w:rPr>
          <w:i/>
          <w:iCs/>
          <w:sz w:val="24"/>
          <w:szCs w:val="24"/>
        </w:rPr>
        <w:t>.</w:t>
      </w:r>
      <w:r w:rsidR="007A0714" w:rsidRPr="007F04F3">
        <w:rPr>
          <w:sz w:val="24"/>
          <w:szCs w:val="24"/>
        </w:rPr>
        <w:t>’</w:t>
      </w:r>
      <w:r w:rsidR="00394CEB">
        <w:rPr>
          <w:rStyle w:val="FootnoteReference"/>
          <w:sz w:val="24"/>
          <w:szCs w:val="24"/>
        </w:rPr>
        <w:footnoteReference w:id="126"/>
      </w:r>
      <w:r w:rsidR="008B3DD3" w:rsidRPr="007F04F3">
        <w:rPr>
          <w:sz w:val="24"/>
          <w:szCs w:val="24"/>
        </w:rPr>
        <w:t xml:space="preserve"> De stap naar erkenning van het stakingsrecht als essentieel element is klein.</w:t>
      </w:r>
      <w:r w:rsidR="008B3DD3" w:rsidRPr="007F04F3">
        <w:rPr>
          <w:rStyle w:val="FootnoteReference"/>
          <w:sz w:val="24"/>
          <w:szCs w:val="24"/>
        </w:rPr>
        <w:footnoteReference w:id="127"/>
      </w:r>
      <w:r w:rsidR="00240A8F" w:rsidRPr="007F04F3">
        <w:rPr>
          <w:sz w:val="24"/>
          <w:szCs w:val="24"/>
        </w:rPr>
        <w:t xml:space="preserve"> </w:t>
      </w:r>
      <w:r w:rsidR="00092A8E" w:rsidRPr="007F04F3">
        <w:rPr>
          <w:sz w:val="24"/>
          <w:szCs w:val="24"/>
        </w:rPr>
        <w:t>Rechter D</w:t>
      </w:r>
      <w:r w:rsidR="00F45AAF" w:rsidRPr="007F04F3">
        <w:rPr>
          <w:sz w:val="24"/>
          <w:szCs w:val="24"/>
        </w:rPr>
        <w:t xml:space="preserve">e </w:t>
      </w:r>
      <w:r w:rsidR="00105E0D" w:rsidRPr="007F04F3">
        <w:rPr>
          <w:sz w:val="24"/>
          <w:szCs w:val="24"/>
        </w:rPr>
        <w:t>Alb</w:t>
      </w:r>
      <w:r w:rsidR="00F45AAF" w:rsidRPr="007F04F3">
        <w:rPr>
          <w:sz w:val="24"/>
          <w:szCs w:val="24"/>
        </w:rPr>
        <w:t>u</w:t>
      </w:r>
      <w:r w:rsidR="00105E0D" w:rsidRPr="007F04F3">
        <w:rPr>
          <w:sz w:val="24"/>
          <w:szCs w:val="24"/>
        </w:rPr>
        <w:t xml:space="preserve">querque bepleit dan ook dat het stakingsrecht </w:t>
      </w:r>
      <w:r w:rsidR="00034AC2" w:rsidRPr="007F04F3">
        <w:rPr>
          <w:sz w:val="24"/>
          <w:szCs w:val="24"/>
        </w:rPr>
        <w:t>thans een</w:t>
      </w:r>
      <w:r w:rsidR="00105E0D" w:rsidRPr="007F04F3">
        <w:rPr>
          <w:sz w:val="24"/>
          <w:szCs w:val="24"/>
        </w:rPr>
        <w:t xml:space="preserve"> </w:t>
      </w:r>
      <w:r w:rsidR="00EE2C2E" w:rsidRPr="007F04F3">
        <w:rPr>
          <w:sz w:val="24"/>
          <w:szCs w:val="24"/>
        </w:rPr>
        <w:t>kernaspect</w:t>
      </w:r>
      <w:r w:rsidR="00105E0D" w:rsidRPr="007F04F3">
        <w:rPr>
          <w:sz w:val="24"/>
          <w:szCs w:val="24"/>
        </w:rPr>
        <w:t xml:space="preserve"> van de vakverenigingsvrijheid</w:t>
      </w:r>
      <w:r w:rsidR="00034AC2" w:rsidRPr="007F04F3">
        <w:rPr>
          <w:sz w:val="24"/>
          <w:szCs w:val="24"/>
        </w:rPr>
        <w:t xml:space="preserve"> </w:t>
      </w:r>
      <w:r w:rsidR="00FA430A" w:rsidRPr="007F04F3">
        <w:rPr>
          <w:sz w:val="24"/>
          <w:szCs w:val="24"/>
        </w:rPr>
        <w:t>vormt</w:t>
      </w:r>
      <w:r w:rsidR="000968AC" w:rsidRPr="007F04F3">
        <w:rPr>
          <w:sz w:val="24"/>
          <w:szCs w:val="24"/>
        </w:rPr>
        <w:t>.</w:t>
      </w:r>
      <w:r w:rsidR="00105E0D" w:rsidRPr="007F04F3">
        <w:rPr>
          <w:rStyle w:val="FootnoteReference"/>
          <w:sz w:val="24"/>
          <w:szCs w:val="24"/>
        </w:rPr>
        <w:footnoteReference w:id="128"/>
      </w:r>
      <w:r w:rsidR="00105E0D" w:rsidRPr="007F04F3">
        <w:rPr>
          <w:sz w:val="24"/>
          <w:szCs w:val="24"/>
        </w:rPr>
        <w:t xml:space="preserve"> </w:t>
      </w:r>
      <w:r w:rsidR="000968AC" w:rsidRPr="007F04F3">
        <w:rPr>
          <w:sz w:val="24"/>
          <w:szCs w:val="24"/>
        </w:rPr>
        <w:t>Van</w:t>
      </w:r>
      <w:r w:rsidR="008F6D63" w:rsidRPr="007F04F3">
        <w:rPr>
          <w:sz w:val="24"/>
          <w:szCs w:val="24"/>
        </w:rPr>
        <w:t xml:space="preserve"> </w:t>
      </w:r>
      <w:r w:rsidR="000968AC" w:rsidRPr="007F04F3">
        <w:rPr>
          <w:sz w:val="24"/>
          <w:szCs w:val="24"/>
        </w:rPr>
        <w:t xml:space="preserve">belang is volgens hem </w:t>
      </w:r>
      <w:r w:rsidR="00563CB6" w:rsidRPr="007F04F3">
        <w:rPr>
          <w:sz w:val="24"/>
          <w:szCs w:val="24"/>
        </w:rPr>
        <w:t>dat h</w:t>
      </w:r>
      <w:r w:rsidR="006764E0" w:rsidRPr="007F04F3">
        <w:rPr>
          <w:sz w:val="24"/>
          <w:szCs w:val="24"/>
        </w:rPr>
        <w:t xml:space="preserve">et </w:t>
      </w:r>
      <w:r w:rsidR="00034AC2" w:rsidRPr="007F04F3">
        <w:rPr>
          <w:sz w:val="24"/>
          <w:szCs w:val="24"/>
        </w:rPr>
        <w:t>EHRM</w:t>
      </w:r>
      <w:r w:rsidR="006764E0" w:rsidRPr="007F04F3">
        <w:rPr>
          <w:sz w:val="24"/>
          <w:szCs w:val="24"/>
        </w:rPr>
        <w:t xml:space="preserve"> </w:t>
      </w:r>
      <w:r w:rsidR="009F0F45" w:rsidRPr="007F04F3">
        <w:rPr>
          <w:sz w:val="24"/>
          <w:szCs w:val="24"/>
        </w:rPr>
        <w:t xml:space="preserve">het recht van de vakbond om </w:t>
      </w:r>
      <w:r w:rsidR="001C2F64" w:rsidRPr="007F04F3">
        <w:rPr>
          <w:sz w:val="24"/>
          <w:szCs w:val="24"/>
        </w:rPr>
        <w:t>gehoord te worden</w:t>
      </w:r>
      <w:r w:rsidR="00DC1536" w:rsidRPr="007F04F3">
        <w:rPr>
          <w:sz w:val="24"/>
          <w:szCs w:val="24"/>
        </w:rPr>
        <w:t xml:space="preserve"> reeds</w:t>
      </w:r>
      <w:r w:rsidR="008F63E9" w:rsidRPr="007F04F3">
        <w:rPr>
          <w:sz w:val="24"/>
          <w:szCs w:val="24"/>
        </w:rPr>
        <w:t xml:space="preserve"> </w:t>
      </w:r>
      <w:r w:rsidR="00563CB6" w:rsidRPr="007F04F3">
        <w:rPr>
          <w:sz w:val="24"/>
          <w:szCs w:val="24"/>
        </w:rPr>
        <w:t xml:space="preserve">heeft </w:t>
      </w:r>
      <w:r w:rsidR="009F0F45" w:rsidRPr="007F04F3">
        <w:rPr>
          <w:sz w:val="24"/>
          <w:szCs w:val="24"/>
        </w:rPr>
        <w:t>aanvaard als essentieel onderdeel van artikel 11 EVRM.</w:t>
      </w:r>
      <w:r w:rsidR="00944A46" w:rsidRPr="007F04F3">
        <w:rPr>
          <w:sz w:val="24"/>
          <w:szCs w:val="24"/>
        </w:rPr>
        <w:t xml:space="preserve"> </w:t>
      </w:r>
      <w:r w:rsidR="000912BC" w:rsidRPr="007F04F3">
        <w:rPr>
          <w:sz w:val="24"/>
          <w:szCs w:val="24"/>
        </w:rPr>
        <w:t>In gelijke zin</w:t>
      </w:r>
      <w:r w:rsidR="00DB37E7" w:rsidRPr="007F04F3">
        <w:rPr>
          <w:sz w:val="24"/>
          <w:szCs w:val="24"/>
        </w:rPr>
        <w:t xml:space="preserve"> werd in </w:t>
      </w:r>
      <w:r w:rsidR="00DB37E7" w:rsidRPr="007F04F3">
        <w:rPr>
          <w:i/>
          <w:iCs/>
          <w:sz w:val="24"/>
          <w:szCs w:val="24"/>
        </w:rPr>
        <w:t xml:space="preserve">Demir II </w:t>
      </w:r>
      <w:r w:rsidR="00E6653E" w:rsidRPr="007F04F3">
        <w:rPr>
          <w:sz w:val="24"/>
          <w:szCs w:val="24"/>
        </w:rPr>
        <w:t xml:space="preserve">het </w:t>
      </w:r>
      <w:r w:rsidR="001D0668" w:rsidRPr="007F04F3">
        <w:rPr>
          <w:sz w:val="24"/>
          <w:szCs w:val="24"/>
        </w:rPr>
        <w:t>collectief onderhandelingsrecht</w:t>
      </w:r>
      <w:r w:rsidR="00E6653E" w:rsidRPr="007F04F3">
        <w:rPr>
          <w:sz w:val="24"/>
          <w:szCs w:val="24"/>
        </w:rPr>
        <w:t xml:space="preserve">, waarmee het stakingsrecht </w:t>
      </w:r>
      <w:r w:rsidR="00D521BA" w:rsidRPr="007F04F3">
        <w:rPr>
          <w:sz w:val="24"/>
          <w:szCs w:val="24"/>
        </w:rPr>
        <w:t xml:space="preserve">als instrument voor (gelijkwaardige) collectieve onderhandelingen </w:t>
      </w:r>
      <w:r w:rsidR="00E6653E" w:rsidRPr="007F04F3">
        <w:rPr>
          <w:sz w:val="24"/>
          <w:szCs w:val="24"/>
        </w:rPr>
        <w:t>onlosmakelijk verbonden is, toegevoegd aan de</w:t>
      </w:r>
      <w:r w:rsidR="000968AC" w:rsidRPr="007F04F3">
        <w:rPr>
          <w:sz w:val="24"/>
          <w:szCs w:val="24"/>
        </w:rPr>
        <w:t>ze</w:t>
      </w:r>
      <w:r w:rsidR="00E6653E" w:rsidRPr="007F04F3">
        <w:rPr>
          <w:sz w:val="24"/>
          <w:szCs w:val="24"/>
        </w:rPr>
        <w:t xml:space="preserve"> lijst.</w:t>
      </w:r>
      <w:r w:rsidR="004458A7" w:rsidRPr="007F04F3">
        <w:rPr>
          <w:sz w:val="24"/>
          <w:szCs w:val="24"/>
        </w:rPr>
        <w:t xml:space="preserve"> Bezien vanuit die ontwikkeling</w:t>
      </w:r>
      <w:r w:rsidR="00C91250" w:rsidRPr="007F04F3">
        <w:rPr>
          <w:sz w:val="24"/>
          <w:szCs w:val="24"/>
        </w:rPr>
        <w:t>en</w:t>
      </w:r>
      <w:r w:rsidR="004458A7" w:rsidRPr="007F04F3">
        <w:rPr>
          <w:sz w:val="24"/>
          <w:szCs w:val="24"/>
        </w:rPr>
        <w:t xml:space="preserve"> kan het stakingsrecht</w:t>
      </w:r>
      <w:r w:rsidR="00E727F4" w:rsidRPr="007F04F3">
        <w:rPr>
          <w:sz w:val="24"/>
          <w:szCs w:val="24"/>
        </w:rPr>
        <w:t xml:space="preserve"> </w:t>
      </w:r>
      <w:r w:rsidR="004458A7" w:rsidRPr="007F04F3">
        <w:rPr>
          <w:sz w:val="24"/>
          <w:szCs w:val="24"/>
        </w:rPr>
        <w:t>logischerwij</w:t>
      </w:r>
      <w:r w:rsidR="00DC0EBC" w:rsidRPr="007F04F3">
        <w:rPr>
          <w:sz w:val="24"/>
          <w:szCs w:val="24"/>
        </w:rPr>
        <w:t>s</w:t>
      </w:r>
      <w:r w:rsidR="004458A7" w:rsidRPr="007F04F3">
        <w:rPr>
          <w:sz w:val="24"/>
          <w:szCs w:val="24"/>
        </w:rPr>
        <w:t xml:space="preserve"> niet achterblijven.</w:t>
      </w:r>
      <w:r w:rsidR="00A71A47" w:rsidRPr="007F04F3">
        <w:rPr>
          <w:sz w:val="24"/>
          <w:szCs w:val="24"/>
        </w:rPr>
        <w:t xml:space="preserve"> </w:t>
      </w:r>
      <w:r w:rsidR="008B2FE0">
        <w:rPr>
          <w:sz w:val="24"/>
          <w:szCs w:val="24"/>
        </w:rPr>
        <w:t>Niet voor niets ging het Hof i</w:t>
      </w:r>
      <w:r w:rsidR="00034AC2" w:rsidRPr="007F04F3">
        <w:rPr>
          <w:sz w:val="24"/>
          <w:szCs w:val="24"/>
        </w:rPr>
        <w:t xml:space="preserve">n het </w:t>
      </w:r>
      <w:r w:rsidR="00D03D6F" w:rsidRPr="007F04F3">
        <w:rPr>
          <w:i/>
          <w:iCs/>
          <w:sz w:val="24"/>
          <w:szCs w:val="24"/>
        </w:rPr>
        <w:t>Humpert</w:t>
      </w:r>
      <w:r w:rsidR="00D03D6F" w:rsidRPr="007F04F3">
        <w:rPr>
          <w:sz w:val="24"/>
          <w:szCs w:val="24"/>
        </w:rPr>
        <w:t xml:space="preserve">-arrest </w:t>
      </w:r>
      <w:r w:rsidR="008B2FE0">
        <w:rPr>
          <w:sz w:val="24"/>
          <w:szCs w:val="24"/>
        </w:rPr>
        <w:t xml:space="preserve">dan ook </w:t>
      </w:r>
      <w:r w:rsidR="005119F5" w:rsidRPr="007F04F3">
        <w:rPr>
          <w:sz w:val="24"/>
          <w:szCs w:val="24"/>
        </w:rPr>
        <w:t xml:space="preserve">een stapje verder </w:t>
      </w:r>
      <w:r w:rsidR="008B2FE0">
        <w:rPr>
          <w:sz w:val="24"/>
          <w:szCs w:val="24"/>
        </w:rPr>
        <w:t>waar het overwoog</w:t>
      </w:r>
      <w:r w:rsidR="005119F5" w:rsidRPr="007F04F3">
        <w:rPr>
          <w:sz w:val="24"/>
          <w:szCs w:val="24"/>
        </w:rPr>
        <w:t xml:space="preserve"> </w:t>
      </w:r>
      <w:r w:rsidR="007571E4" w:rsidRPr="007F04F3">
        <w:rPr>
          <w:sz w:val="24"/>
          <w:szCs w:val="24"/>
        </w:rPr>
        <w:t>‘</w:t>
      </w:r>
      <w:r w:rsidR="007571E4" w:rsidRPr="007F04F3">
        <w:rPr>
          <w:i/>
          <w:iCs/>
          <w:sz w:val="24"/>
          <w:szCs w:val="24"/>
        </w:rPr>
        <w:t>dat de vraag of een stakingsverbod een essentieel element van de vakbondsvrijheid aantast omdat het deze vrijheid in de</w:t>
      </w:r>
      <w:r w:rsidR="007571E4" w:rsidRPr="00121A6A">
        <w:rPr>
          <w:i/>
          <w:iCs/>
          <w:sz w:val="24"/>
          <w:szCs w:val="24"/>
        </w:rPr>
        <w:t xml:space="preserve"> gegeven omstandigheden inhoudsloos maakt, contextgebonden is en derhalve niet in abstracto of door het stakingsverbod afzonderlijk te bezien kan worden beantwoord</w:t>
      </w:r>
      <w:r w:rsidR="00A71A47" w:rsidRPr="00121A6A">
        <w:rPr>
          <w:i/>
          <w:iCs/>
          <w:sz w:val="24"/>
          <w:szCs w:val="24"/>
        </w:rPr>
        <w:t>.</w:t>
      </w:r>
      <w:r w:rsidR="007571E4" w:rsidRPr="00121A6A">
        <w:rPr>
          <w:sz w:val="24"/>
          <w:szCs w:val="24"/>
        </w:rPr>
        <w:t>’</w:t>
      </w:r>
      <w:r w:rsidR="00AD10C0" w:rsidRPr="00121A6A">
        <w:rPr>
          <w:sz w:val="24"/>
          <w:szCs w:val="24"/>
        </w:rPr>
        <w:t xml:space="preserve"> </w:t>
      </w:r>
      <w:r w:rsidR="00FF4C55" w:rsidRPr="00121A6A">
        <w:rPr>
          <w:sz w:val="24"/>
          <w:szCs w:val="24"/>
        </w:rPr>
        <w:t>Anders</w:t>
      </w:r>
      <w:r w:rsidR="00630256">
        <w:rPr>
          <w:sz w:val="24"/>
          <w:szCs w:val="24"/>
        </w:rPr>
        <w:t xml:space="preserve"> </w:t>
      </w:r>
      <w:r w:rsidR="00FF4C55" w:rsidRPr="00121A6A">
        <w:rPr>
          <w:sz w:val="24"/>
          <w:szCs w:val="24"/>
        </w:rPr>
        <w:t xml:space="preserve">dan voorheen (zie </w:t>
      </w:r>
      <w:r w:rsidR="00FF4C55" w:rsidRPr="00121A6A">
        <w:rPr>
          <w:i/>
          <w:iCs/>
          <w:sz w:val="24"/>
          <w:szCs w:val="24"/>
        </w:rPr>
        <w:t>RMT</w:t>
      </w:r>
      <w:r w:rsidR="00FF4C55" w:rsidRPr="00121A6A">
        <w:rPr>
          <w:sz w:val="24"/>
          <w:szCs w:val="24"/>
        </w:rPr>
        <w:t>)</w:t>
      </w:r>
      <w:r w:rsidR="00FF4C55" w:rsidRPr="00121A6A">
        <w:rPr>
          <w:i/>
          <w:iCs/>
          <w:sz w:val="24"/>
          <w:szCs w:val="24"/>
        </w:rPr>
        <w:t xml:space="preserve"> </w:t>
      </w:r>
      <w:r w:rsidR="00A31C0C" w:rsidRPr="00121A6A">
        <w:rPr>
          <w:sz w:val="24"/>
          <w:szCs w:val="24"/>
        </w:rPr>
        <w:t xml:space="preserve">komt </w:t>
      </w:r>
      <w:r w:rsidR="00FF4C55" w:rsidRPr="00121A6A">
        <w:rPr>
          <w:sz w:val="24"/>
          <w:szCs w:val="24"/>
        </w:rPr>
        <w:t xml:space="preserve">het </w:t>
      </w:r>
      <w:r w:rsidR="00A31C0C" w:rsidRPr="00121A6A">
        <w:rPr>
          <w:sz w:val="24"/>
          <w:szCs w:val="24"/>
        </w:rPr>
        <w:t xml:space="preserve">thans </w:t>
      </w:r>
      <w:r w:rsidR="00FF4C55" w:rsidRPr="00121A6A">
        <w:rPr>
          <w:sz w:val="24"/>
          <w:szCs w:val="24"/>
        </w:rPr>
        <w:t xml:space="preserve">(al) </w:t>
      </w:r>
      <w:r w:rsidR="00A31C0C" w:rsidRPr="00121A6A">
        <w:rPr>
          <w:sz w:val="24"/>
          <w:szCs w:val="24"/>
        </w:rPr>
        <w:t>aan op alle omstandigheden van het geval</w:t>
      </w:r>
      <w:r w:rsidR="00286CBB" w:rsidRPr="00121A6A">
        <w:rPr>
          <w:sz w:val="24"/>
          <w:szCs w:val="24"/>
        </w:rPr>
        <w:t>.</w:t>
      </w:r>
      <w:r w:rsidR="003C7624" w:rsidRPr="00121A6A">
        <w:rPr>
          <w:sz w:val="24"/>
          <w:szCs w:val="24"/>
        </w:rPr>
        <w:t xml:space="preserve"> Voor rechter </w:t>
      </w:r>
      <w:proofErr w:type="spellStart"/>
      <w:r w:rsidR="003C7624" w:rsidRPr="00121A6A">
        <w:rPr>
          <w:sz w:val="24"/>
          <w:szCs w:val="24"/>
        </w:rPr>
        <w:t>Serghides</w:t>
      </w:r>
      <w:proofErr w:type="spellEnd"/>
      <w:r w:rsidR="003C7624" w:rsidRPr="00121A6A">
        <w:rPr>
          <w:sz w:val="24"/>
          <w:szCs w:val="24"/>
        </w:rPr>
        <w:t xml:space="preserve"> gaat een dergelijke benadering bovendien</w:t>
      </w:r>
      <w:r w:rsidR="00786B26">
        <w:rPr>
          <w:sz w:val="24"/>
          <w:szCs w:val="24"/>
        </w:rPr>
        <w:t xml:space="preserve"> nog</w:t>
      </w:r>
      <w:r w:rsidR="003C7624" w:rsidRPr="00121A6A">
        <w:rPr>
          <w:sz w:val="24"/>
          <w:szCs w:val="24"/>
        </w:rPr>
        <w:t xml:space="preserve"> niet ver genoeg.</w:t>
      </w:r>
      <w:r w:rsidR="003C7624" w:rsidRPr="00121A6A">
        <w:rPr>
          <w:rStyle w:val="FootnoteReference"/>
          <w:sz w:val="24"/>
          <w:szCs w:val="24"/>
        </w:rPr>
        <w:footnoteReference w:id="129"/>
      </w:r>
      <w:r w:rsidR="003C7624" w:rsidRPr="00121A6A">
        <w:rPr>
          <w:sz w:val="24"/>
          <w:szCs w:val="24"/>
        </w:rPr>
        <w:t xml:space="preserve"> </w:t>
      </w:r>
      <w:r w:rsidR="00FA6BAE" w:rsidRPr="00121A6A">
        <w:rPr>
          <w:sz w:val="24"/>
          <w:szCs w:val="24"/>
        </w:rPr>
        <w:t xml:space="preserve">Mogelijk </w:t>
      </w:r>
      <w:r w:rsidR="00FA430A" w:rsidRPr="00121A6A">
        <w:rPr>
          <w:sz w:val="24"/>
          <w:szCs w:val="24"/>
        </w:rPr>
        <w:t>jaagt</w:t>
      </w:r>
      <w:r w:rsidR="003C7624" w:rsidRPr="00121A6A">
        <w:rPr>
          <w:sz w:val="24"/>
          <w:szCs w:val="24"/>
        </w:rPr>
        <w:t xml:space="preserve"> zijn kritiek verregaander bescherming van het stakingsrecht onder artikel 11 EVRM aa</w:t>
      </w:r>
      <w:r w:rsidR="00FA430A" w:rsidRPr="00121A6A">
        <w:rPr>
          <w:sz w:val="24"/>
          <w:szCs w:val="24"/>
        </w:rPr>
        <w:t>n</w:t>
      </w:r>
      <w:r w:rsidR="003C7624" w:rsidRPr="00121A6A">
        <w:rPr>
          <w:sz w:val="24"/>
          <w:szCs w:val="24"/>
        </w:rPr>
        <w:t>.</w:t>
      </w:r>
    </w:p>
    <w:p w14:paraId="0D4F4498" w14:textId="77777777" w:rsidR="009A33B3" w:rsidRPr="00121A6A" w:rsidRDefault="009A33B3" w:rsidP="009A33B3">
      <w:pPr>
        <w:spacing w:after="0"/>
        <w:jc w:val="both"/>
        <w:rPr>
          <w:sz w:val="24"/>
          <w:szCs w:val="24"/>
        </w:rPr>
      </w:pPr>
    </w:p>
    <w:p w14:paraId="36B5E34A" w14:textId="2519A151" w:rsidR="007F119B" w:rsidRPr="00121A6A" w:rsidRDefault="00227CF2" w:rsidP="007F119B">
      <w:pPr>
        <w:pStyle w:val="Heading3"/>
        <w:jc w:val="both"/>
        <w:rPr>
          <w:sz w:val="24"/>
          <w:szCs w:val="24"/>
        </w:rPr>
      </w:pPr>
      <w:bookmarkStart w:id="56" w:name="_Toc169963066"/>
      <w:r w:rsidRPr="00121A6A">
        <w:rPr>
          <w:sz w:val="24"/>
          <w:szCs w:val="24"/>
        </w:rPr>
        <w:t xml:space="preserve">Het </w:t>
      </w:r>
      <w:proofErr w:type="spellStart"/>
      <w:r w:rsidRPr="00121A6A">
        <w:rPr>
          <w:sz w:val="24"/>
          <w:szCs w:val="24"/>
        </w:rPr>
        <w:t>Holship</w:t>
      </w:r>
      <w:proofErr w:type="spellEnd"/>
      <w:r w:rsidRPr="00121A6A">
        <w:rPr>
          <w:sz w:val="24"/>
          <w:szCs w:val="24"/>
        </w:rPr>
        <w:t>-arrest</w:t>
      </w:r>
      <w:r w:rsidR="007F119B" w:rsidRPr="00121A6A">
        <w:rPr>
          <w:sz w:val="24"/>
          <w:szCs w:val="24"/>
        </w:rPr>
        <w:t xml:space="preserve">: </w:t>
      </w:r>
      <w:r w:rsidRPr="00121A6A">
        <w:rPr>
          <w:sz w:val="24"/>
          <w:szCs w:val="24"/>
        </w:rPr>
        <w:t>de Viking- en Laval-doctrine</w:t>
      </w:r>
      <w:r w:rsidR="002F4B10" w:rsidRPr="00121A6A">
        <w:rPr>
          <w:sz w:val="24"/>
          <w:szCs w:val="24"/>
        </w:rPr>
        <w:t xml:space="preserve"> in conflict met artikel 11 EVRM</w:t>
      </w:r>
      <w:r w:rsidR="003A44F6" w:rsidRPr="00121A6A">
        <w:rPr>
          <w:sz w:val="24"/>
          <w:szCs w:val="24"/>
        </w:rPr>
        <w:t>?</w:t>
      </w:r>
      <w:bookmarkEnd w:id="56"/>
    </w:p>
    <w:p w14:paraId="6864DC42" w14:textId="29E0F89A" w:rsidR="00C95CDB" w:rsidRPr="00121A6A" w:rsidRDefault="002F4B10" w:rsidP="002F4B10">
      <w:pPr>
        <w:spacing w:after="0"/>
        <w:jc w:val="both"/>
        <w:rPr>
          <w:sz w:val="24"/>
          <w:szCs w:val="24"/>
        </w:rPr>
      </w:pPr>
      <w:r w:rsidRPr="00121A6A">
        <w:rPr>
          <w:sz w:val="24"/>
          <w:szCs w:val="24"/>
        </w:rPr>
        <w:t>I</w:t>
      </w:r>
      <w:r w:rsidR="00567A1F" w:rsidRPr="00121A6A">
        <w:rPr>
          <w:sz w:val="24"/>
          <w:szCs w:val="24"/>
        </w:rPr>
        <w:t>n</w:t>
      </w:r>
      <w:r w:rsidRPr="00121A6A">
        <w:rPr>
          <w:sz w:val="24"/>
          <w:szCs w:val="24"/>
        </w:rPr>
        <w:t xml:space="preserve"> het </w:t>
      </w:r>
      <w:proofErr w:type="spellStart"/>
      <w:r w:rsidRPr="00121A6A">
        <w:rPr>
          <w:i/>
          <w:iCs/>
          <w:sz w:val="24"/>
          <w:szCs w:val="24"/>
        </w:rPr>
        <w:t>Holship</w:t>
      </w:r>
      <w:proofErr w:type="spellEnd"/>
      <w:r w:rsidRPr="00121A6A">
        <w:rPr>
          <w:sz w:val="24"/>
          <w:szCs w:val="24"/>
        </w:rPr>
        <w:t>-arrest moest het EHRM zich voor het eerst uitlaten over de verhouding tussen</w:t>
      </w:r>
      <w:r w:rsidR="001B714B" w:rsidRPr="00121A6A">
        <w:rPr>
          <w:sz w:val="24"/>
          <w:szCs w:val="24"/>
        </w:rPr>
        <w:t xml:space="preserve"> het stakingsrecht</w:t>
      </w:r>
      <w:r w:rsidRPr="00121A6A">
        <w:rPr>
          <w:sz w:val="24"/>
          <w:szCs w:val="24"/>
        </w:rPr>
        <w:t xml:space="preserve"> en</w:t>
      </w:r>
      <w:r w:rsidR="001B714B" w:rsidRPr="00121A6A">
        <w:rPr>
          <w:sz w:val="24"/>
          <w:szCs w:val="24"/>
        </w:rPr>
        <w:t xml:space="preserve"> </w:t>
      </w:r>
      <w:r w:rsidR="009D2BE9" w:rsidRPr="00121A6A">
        <w:rPr>
          <w:sz w:val="24"/>
          <w:szCs w:val="24"/>
        </w:rPr>
        <w:t>de Unierechtelijke vestigingsvrijheid</w:t>
      </w:r>
      <w:r w:rsidRPr="00121A6A">
        <w:rPr>
          <w:sz w:val="24"/>
          <w:szCs w:val="24"/>
        </w:rPr>
        <w:t>.</w:t>
      </w:r>
      <w:r w:rsidRPr="00121A6A">
        <w:rPr>
          <w:rStyle w:val="FootnoteReference"/>
          <w:sz w:val="24"/>
          <w:szCs w:val="24"/>
        </w:rPr>
        <w:footnoteReference w:id="130"/>
      </w:r>
      <w:r w:rsidRPr="00121A6A">
        <w:rPr>
          <w:sz w:val="24"/>
          <w:szCs w:val="24"/>
        </w:rPr>
        <w:t xml:space="preserve"> </w:t>
      </w:r>
      <w:r w:rsidR="00570FE1" w:rsidRPr="00121A6A">
        <w:rPr>
          <w:sz w:val="24"/>
          <w:szCs w:val="24"/>
        </w:rPr>
        <w:t xml:space="preserve">Onderwerp van </w:t>
      </w:r>
      <w:r w:rsidR="004C6E6C">
        <w:rPr>
          <w:sz w:val="24"/>
          <w:szCs w:val="24"/>
        </w:rPr>
        <w:t xml:space="preserve">het </w:t>
      </w:r>
      <w:r w:rsidR="00570FE1" w:rsidRPr="00121A6A">
        <w:rPr>
          <w:sz w:val="24"/>
          <w:szCs w:val="24"/>
        </w:rPr>
        <w:t>geschil was</w:t>
      </w:r>
      <w:r w:rsidR="00B163A3" w:rsidRPr="00121A6A">
        <w:rPr>
          <w:sz w:val="24"/>
          <w:szCs w:val="24"/>
        </w:rPr>
        <w:t xml:space="preserve"> een beslissing van het Noorse Hooggerechtshof om een aangekondigde boycot onwettig te verklaren. </w:t>
      </w:r>
      <w:r w:rsidR="003B2F96" w:rsidRPr="00121A6A">
        <w:rPr>
          <w:sz w:val="24"/>
          <w:szCs w:val="24"/>
        </w:rPr>
        <w:lastRenderedPageBreak/>
        <w:t>Deze boycot was gepland om een Noorse dochteronderneming</w:t>
      </w:r>
      <w:r w:rsidR="00343DE7" w:rsidRPr="00121A6A">
        <w:rPr>
          <w:sz w:val="24"/>
          <w:szCs w:val="24"/>
        </w:rPr>
        <w:t xml:space="preserve"> (</w:t>
      </w:r>
      <w:proofErr w:type="spellStart"/>
      <w:r w:rsidR="00343DE7" w:rsidRPr="00121A6A">
        <w:rPr>
          <w:i/>
          <w:iCs/>
          <w:sz w:val="24"/>
          <w:szCs w:val="24"/>
        </w:rPr>
        <w:t>Holship</w:t>
      </w:r>
      <w:proofErr w:type="spellEnd"/>
      <w:r w:rsidR="00343DE7" w:rsidRPr="00121A6A">
        <w:rPr>
          <w:sz w:val="24"/>
          <w:szCs w:val="24"/>
        </w:rPr>
        <w:t>)</w:t>
      </w:r>
      <w:r w:rsidR="003B2F96" w:rsidRPr="00121A6A">
        <w:rPr>
          <w:sz w:val="24"/>
          <w:szCs w:val="24"/>
        </w:rPr>
        <w:t xml:space="preserve"> van een Deens </w:t>
      </w:r>
      <w:r w:rsidR="0078651F" w:rsidRPr="00121A6A">
        <w:rPr>
          <w:sz w:val="24"/>
          <w:szCs w:val="24"/>
        </w:rPr>
        <w:t>moeder</w:t>
      </w:r>
      <w:r w:rsidR="003B2F96" w:rsidRPr="00121A6A">
        <w:rPr>
          <w:sz w:val="24"/>
          <w:szCs w:val="24"/>
        </w:rPr>
        <w:t>bedrijf onder druk te zetten</w:t>
      </w:r>
      <w:r w:rsidR="00D01B25" w:rsidRPr="00121A6A">
        <w:rPr>
          <w:sz w:val="24"/>
          <w:szCs w:val="24"/>
        </w:rPr>
        <w:t xml:space="preserve"> </w:t>
      </w:r>
      <w:r w:rsidR="0075159C">
        <w:rPr>
          <w:sz w:val="24"/>
          <w:szCs w:val="24"/>
        </w:rPr>
        <w:t xml:space="preserve">om </w:t>
      </w:r>
      <w:r w:rsidR="00D01B25" w:rsidRPr="00121A6A">
        <w:rPr>
          <w:sz w:val="24"/>
          <w:szCs w:val="24"/>
        </w:rPr>
        <w:t>zich aan te sluiten bij</w:t>
      </w:r>
      <w:r w:rsidR="003B2F96" w:rsidRPr="00121A6A">
        <w:rPr>
          <w:sz w:val="24"/>
          <w:szCs w:val="24"/>
        </w:rPr>
        <w:t xml:space="preserve"> een Noorse </w:t>
      </w:r>
      <w:r w:rsidR="002419C2" w:rsidRPr="00121A6A">
        <w:rPr>
          <w:sz w:val="24"/>
          <w:szCs w:val="24"/>
        </w:rPr>
        <w:t>collectieve raamovereenkomst</w:t>
      </w:r>
      <w:r w:rsidR="00343DE7" w:rsidRPr="00121A6A">
        <w:rPr>
          <w:sz w:val="24"/>
          <w:szCs w:val="24"/>
        </w:rPr>
        <w:t>, van toepassing op dokwerkers</w:t>
      </w:r>
      <w:r w:rsidR="002419C2" w:rsidRPr="00121A6A">
        <w:rPr>
          <w:sz w:val="24"/>
          <w:szCs w:val="24"/>
        </w:rPr>
        <w:t xml:space="preserve"> </w:t>
      </w:r>
      <w:r w:rsidR="00E13B5C" w:rsidRPr="00121A6A">
        <w:rPr>
          <w:sz w:val="24"/>
          <w:szCs w:val="24"/>
        </w:rPr>
        <w:t xml:space="preserve">werkzaam </w:t>
      </w:r>
      <w:r w:rsidR="002419C2" w:rsidRPr="00121A6A">
        <w:rPr>
          <w:sz w:val="24"/>
          <w:szCs w:val="24"/>
        </w:rPr>
        <w:t>in Noorse havens</w:t>
      </w:r>
      <w:r w:rsidR="003B2F96" w:rsidRPr="00121A6A">
        <w:rPr>
          <w:sz w:val="24"/>
          <w:szCs w:val="24"/>
        </w:rPr>
        <w:t>.</w:t>
      </w:r>
      <w:r w:rsidR="002C5908" w:rsidRPr="00121A6A">
        <w:rPr>
          <w:sz w:val="24"/>
          <w:szCs w:val="24"/>
        </w:rPr>
        <w:t xml:space="preserve"> </w:t>
      </w:r>
      <w:r w:rsidR="003751CD" w:rsidRPr="00121A6A">
        <w:rPr>
          <w:sz w:val="24"/>
          <w:szCs w:val="24"/>
        </w:rPr>
        <w:t>O</w:t>
      </w:r>
      <w:r w:rsidR="00E1508E" w:rsidRPr="00121A6A">
        <w:rPr>
          <w:sz w:val="24"/>
          <w:szCs w:val="24"/>
        </w:rPr>
        <w:t>nderdeel van de</w:t>
      </w:r>
      <w:r w:rsidR="003751CD" w:rsidRPr="00121A6A">
        <w:rPr>
          <w:sz w:val="24"/>
          <w:szCs w:val="24"/>
        </w:rPr>
        <w:t>ze</w:t>
      </w:r>
      <w:r w:rsidR="00E1508E" w:rsidRPr="00121A6A">
        <w:rPr>
          <w:sz w:val="24"/>
          <w:szCs w:val="24"/>
        </w:rPr>
        <w:t xml:space="preserve"> </w:t>
      </w:r>
      <w:r w:rsidR="003751CD" w:rsidRPr="00121A6A">
        <w:rPr>
          <w:sz w:val="24"/>
          <w:szCs w:val="24"/>
        </w:rPr>
        <w:t>raam</w:t>
      </w:r>
      <w:r w:rsidR="002419C2" w:rsidRPr="00121A6A">
        <w:rPr>
          <w:sz w:val="24"/>
          <w:szCs w:val="24"/>
        </w:rPr>
        <w:t>overeenkomst</w:t>
      </w:r>
      <w:r w:rsidR="00E1508E" w:rsidRPr="00121A6A">
        <w:rPr>
          <w:sz w:val="24"/>
          <w:szCs w:val="24"/>
        </w:rPr>
        <w:t xml:space="preserve"> </w:t>
      </w:r>
      <w:r w:rsidR="003751CD" w:rsidRPr="00121A6A">
        <w:rPr>
          <w:sz w:val="24"/>
          <w:szCs w:val="24"/>
        </w:rPr>
        <w:t xml:space="preserve">was een prioriteitsclausule voor dokwerkers in dienst van een non-profit </w:t>
      </w:r>
      <w:r w:rsidR="00547E1C">
        <w:rPr>
          <w:sz w:val="24"/>
          <w:szCs w:val="24"/>
        </w:rPr>
        <w:t>a</w:t>
      </w:r>
      <w:r w:rsidR="003751CD" w:rsidRPr="00121A6A">
        <w:rPr>
          <w:sz w:val="24"/>
          <w:szCs w:val="24"/>
        </w:rPr>
        <w:t>dministratiekantoor</w:t>
      </w:r>
      <w:r w:rsidR="008B384B">
        <w:rPr>
          <w:sz w:val="24"/>
          <w:szCs w:val="24"/>
        </w:rPr>
        <w:t xml:space="preserve">, </w:t>
      </w:r>
      <w:r w:rsidR="00B92584" w:rsidRPr="00121A6A">
        <w:rPr>
          <w:sz w:val="24"/>
          <w:szCs w:val="24"/>
        </w:rPr>
        <w:t>gevestigd in</w:t>
      </w:r>
      <w:r w:rsidR="00C31C08" w:rsidRPr="00121A6A">
        <w:rPr>
          <w:sz w:val="24"/>
          <w:szCs w:val="24"/>
        </w:rPr>
        <w:t xml:space="preserve"> </w:t>
      </w:r>
      <w:r w:rsidR="00B92584" w:rsidRPr="00121A6A">
        <w:rPr>
          <w:sz w:val="24"/>
          <w:szCs w:val="24"/>
        </w:rPr>
        <w:t>Noorse havens</w:t>
      </w:r>
      <w:r w:rsidR="003751CD" w:rsidRPr="00121A6A">
        <w:rPr>
          <w:sz w:val="24"/>
          <w:szCs w:val="24"/>
        </w:rPr>
        <w:t xml:space="preserve">. </w:t>
      </w:r>
      <w:r w:rsidR="008C5DF1" w:rsidRPr="00121A6A">
        <w:rPr>
          <w:sz w:val="24"/>
          <w:szCs w:val="24"/>
        </w:rPr>
        <w:t xml:space="preserve">Op grond van deze clausule moest </w:t>
      </w:r>
      <w:proofErr w:type="spellStart"/>
      <w:r w:rsidR="008C5DF1" w:rsidRPr="00121A6A">
        <w:rPr>
          <w:i/>
          <w:iCs/>
          <w:sz w:val="24"/>
          <w:szCs w:val="24"/>
        </w:rPr>
        <w:t>Holship</w:t>
      </w:r>
      <w:proofErr w:type="spellEnd"/>
      <w:r w:rsidR="008C5DF1" w:rsidRPr="00121A6A">
        <w:rPr>
          <w:sz w:val="24"/>
          <w:szCs w:val="24"/>
        </w:rPr>
        <w:t xml:space="preserve"> eerst </w:t>
      </w:r>
      <w:r w:rsidR="0075159C">
        <w:rPr>
          <w:sz w:val="24"/>
          <w:szCs w:val="24"/>
        </w:rPr>
        <w:t>havenarbeiders</w:t>
      </w:r>
      <w:r w:rsidR="008C5DF1" w:rsidRPr="00121A6A">
        <w:rPr>
          <w:sz w:val="24"/>
          <w:szCs w:val="24"/>
        </w:rPr>
        <w:t xml:space="preserve"> inhuren van het </w:t>
      </w:r>
      <w:r w:rsidR="00547E1C">
        <w:rPr>
          <w:sz w:val="24"/>
          <w:szCs w:val="24"/>
        </w:rPr>
        <w:t>a</w:t>
      </w:r>
      <w:r w:rsidR="00420134" w:rsidRPr="00121A6A">
        <w:rPr>
          <w:sz w:val="24"/>
          <w:szCs w:val="24"/>
        </w:rPr>
        <w:t>dministratiekantoor</w:t>
      </w:r>
      <w:r w:rsidR="008C5DF1" w:rsidRPr="00121A6A">
        <w:rPr>
          <w:sz w:val="24"/>
          <w:szCs w:val="24"/>
        </w:rPr>
        <w:t xml:space="preserve"> alvorens het eigen personeel mocht inzetten voor dokwerkzaamheden. </w:t>
      </w:r>
      <w:r w:rsidR="00B92584" w:rsidRPr="00121A6A">
        <w:rPr>
          <w:sz w:val="24"/>
          <w:szCs w:val="24"/>
        </w:rPr>
        <w:t xml:space="preserve">Met deze clausule, die gebaseerd was op een lange traditie in eigen land alsmede </w:t>
      </w:r>
      <w:r w:rsidRPr="00121A6A">
        <w:rPr>
          <w:sz w:val="24"/>
          <w:szCs w:val="24"/>
        </w:rPr>
        <w:t xml:space="preserve">op </w:t>
      </w:r>
      <w:r w:rsidR="00B92584" w:rsidRPr="00121A6A">
        <w:rPr>
          <w:sz w:val="24"/>
          <w:szCs w:val="24"/>
        </w:rPr>
        <w:t>(artikel 3 lid 2) ILO-Verdrag 137, werd beoogd dokwerkers</w:t>
      </w:r>
      <w:r w:rsidR="008C5DF1" w:rsidRPr="00121A6A">
        <w:rPr>
          <w:sz w:val="24"/>
          <w:szCs w:val="24"/>
        </w:rPr>
        <w:t xml:space="preserve"> </w:t>
      </w:r>
      <w:r w:rsidR="00B92584" w:rsidRPr="00121A6A">
        <w:rPr>
          <w:sz w:val="24"/>
          <w:szCs w:val="24"/>
        </w:rPr>
        <w:t xml:space="preserve">permanent werk en een bepaald (minimum)salaris te garanderen. </w:t>
      </w:r>
      <w:proofErr w:type="spellStart"/>
      <w:r w:rsidR="009E5976" w:rsidRPr="00121A6A">
        <w:rPr>
          <w:i/>
          <w:iCs/>
          <w:sz w:val="24"/>
          <w:szCs w:val="24"/>
        </w:rPr>
        <w:t>Holship</w:t>
      </w:r>
      <w:proofErr w:type="spellEnd"/>
      <w:r w:rsidR="009E5976" w:rsidRPr="00121A6A">
        <w:rPr>
          <w:i/>
          <w:iCs/>
          <w:sz w:val="24"/>
          <w:szCs w:val="24"/>
        </w:rPr>
        <w:t xml:space="preserve"> </w:t>
      </w:r>
      <w:r w:rsidR="009E5976" w:rsidRPr="00121A6A">
        <w:rPr>
          <w:sz w:val="24"/>
          <w:szCs w:val="24"/>
        </w:rPr>
        <w:t xml:space="preserve">weigerde </w:t>
      </w:r>
      <w:r w:rsidR="00420134" w:rsidRPr="00121A6A">
        <w:rPr>
          <w:sz w:val="24"/>
          <w:szCs w:val="24"/>
        </w:rPr>
        <w:t>met de clausule</w:t>
      </w:r>
      <w:r w:rsidR="009E5976" w:rsidRPr="00121A6A">
        <w:rPr>
          <w:sz w:val="24"/>
          <w:szCs w:val="24"/>
        </w:rPr>
        <w:t xml:space="preserve"> in te stemmen en </w:t>
      </w:r>
      <w:r w:rsidR="002C5908" w:rsidRPr="00121A6A">
        <w:rPr>
          <w:sz w:val="24"/>
          <w:szCs w:val="24"/>
        </w:rPr>
        <w:t xml:space="preserve">beriep </w:t>
      </w:r>
      <w:r w:rsidR="009E5976" w:rsidRPr="00121A6A">
        <w:rPr>
          <w:sz w:val="24"/>
          <w:szCs w:val="24"/>
        </w:rPr>
        <w:t xml:space="preserve">zich </w:t>
      </w:r>
      <w:r w:rsidR="002C5908" w:rsidRPr="00121A6A">
        <w:rPr>
          <w:sz w:val="24"/>
          <w:szCs w:val="24"/>
        </w:rPr>
        <w:t>op zijn</w:t>
      </w:r>
      <w:r w:rsidR="006A30D4" w:rsidRPr="00121A6A">
        <w:rPr>
          <w:sz w:val="24"/>
          <w:szCs w:val="24"/>
        </w:rPr>
        <w:t xml:space="preserve"> EER-</w:t>
      </w:r>
      <w:r w:rsidR="002C5908" w:rsidRPr="00121A6A">
        <w:rPr>
          <w:sz w:val="24"/>
          <w:szCs w:val="24"/>
        </w:rPr>
        <w:t>vestigingsvrijheid</w:t>
      </w:r>
      <w:r w:rsidR="009E5976" w:rsidRPr="00121A6A">
        <w:rPr>
          <w:sz w:val="24"/>
          <w:szCs w:val="24"/>
        </w:rPr>
        <w:t>.</w:t>
      </w:r>
      <w:r w:rsidR="007E5CFC" w:rsidRPr="00121A6A">
        <w:rPr>
          <w:rStyle w:val="FootnoteReference"/>
          <w:sz w:val="24"/>
          <w:szCs w:val="24"/>
        </w:rPr>
        <w:footnoteReference w:id="131"/>
      </w:r>
      <w:r w:rsidR="009E5976" w:rsidRPr="00121A6A">
        <w:rPr>
          <w:sz w:val="24"/>
          <w:szCs w:val="24"/>
        </w:rPr>
        <w:t xml:space="preserve"> In reactie daarop voerde</w:t>
      </w:r>
      <w:r w:rsidR="007E5CFC" w:rsidRPr="00121A6A">
        <w:rPr>
          <w:sz w:val="24"/>
          <w:szCs w:val="24"/>
        </w:rPr>
        <w:t xml:space="preserve"> de vakbond aan dat een eventuele schending van de</w:t>
      </w:r>
      <w:r w:rsidR="006A30D4" w:rsidRPr="00121A6A">
        <w:rPr>
          <w:sz w:val="24"/>
          <w:szCs w:val="24"/>
        </w:rPr>
        <w:t>ze</w:t>
      </w:r>
      <w:r w:rsidR="007E5CFC" w:rsidRPr="00121A6A">
        <w:rPr>
          <w:sz w:val="24"/>
          <w:szCs w:val="24"/>
        </w:rPr>
        <w:t xml:space="preserve"> </w:t>
      </w:r>
      <w:r w:rsidR="00B04F96" w:rsidRPr="00121A6A">
        <w:rPr>
          <w:sz w:val="24"/>
          <w:szCs w:val="24"/>
        </w:rPr>
        <w:t>vrijheid</w:t>
      </w:r>
      <w:r w:rsidR="007E5CFC" w:rsidRPr="00121A6A">
        <w:rPr>
          <w:sz w:val="24"/>
          <w:szCs w:val="24"/>
        </w:rPr>
        <w:t xml:space="preserve"> conflicteerde met artikel 11 EVRM. Het Noorse Hooggerechtshof </w:t>
      </w:r>
      <w:r w:rsidR="00E1508E" w:rsidRPr="00121A6A">
        <w:rPr>
          <w:sz w:val="24"/>
          <w:szCs w:val="24"/>
        </w:rPr>
        <w:t xml:space="preserve">stelde </w:t>
      </w:r>
      <w:r w:rsidR="007551D7" w:rsidRPr="00121A6A">
        <w:rPr>
          <w:sz w:val="24"/>
          <w:szCs w:val="24"/>
        </w:rPr>
        <w:t xml:space="preserve">met het oog daarop </w:t>
      </w:r>
      <w:r w:rsidR="007E5CFC" w:rsidRPr="00121A6A">
        <w:rPr>
          <w:sz w:val="24"/>
          <w:szCs w:val="24"/>
        </w:rPr>
        <w:t xml:space="preserve">een prejudiciële vraag </w:t>
      </w:r>
      <w:r w:rsidR="0095125D" w:rsidRPr="00121A6A">
        <w:rPr>
          <w:sz w:val="24"/>
          <w:szCs w:val="24"/>
        </w:rPr>
        <w:t>aan</w:t>
      </w:r>
      <w:r w:rsidR="007E5CFC" w:rsidRPr="00121A6A">
        <w:rPr>
          <w:sz w:val="24"/>
          <w:szCs w:val="24"/>
        </w:rPr>
        <w:t xml:space="preserve"> het </w:t>
      </w:r>
      <w:r w:rsidR="006A30D4" w:rsidRPr="00121A6A">
        <w:rPr>
          <w:sz w:val="24"/>
          <w:szCs w:val="24"/>
        </w:rPr>
        <w:t>EVA-Hof</w:t>
      </w:r>
      <w:r w:rsidR="008002B9" w:rsidRPr="00121A6A">
        <w:rPr>
          <w:sz w:val="24"/>
          <w:szCs w:val="24"/>
        </w:rPr>
        <w:t>,</w:t>
      </w:r>
      <w:r w:rsidR="007E5CFC" w:rsidRPr="00121A6A">
        <w:rPr>
          <w:rStyle w:val="FootnoteReference"/>
          <w:sz w:val="24"/>
          <w:szCs w:val="24"/>
        </w:rPr>
        <w:footnoteReference w:id="132"/>
      </w:r>
      <w:r w:rsidR="007E5CFC" w:rsidRPr="00121A6A">
        <w:rPr>
          <w:sz w:val="24"/>
          <w:szCs w:val="24"/>
        </w:rPr>
        <w:t xml:space="preserve"> </w:t>
      </w:r>
      <w:r w:rsidR="008002B9" w:rsidRPr="00121A6A">
        <w:rPr>
          <w:sz w:val="24"/>
          <w:szCs w:val="24"/>
        </w:rPr>
        <w:t>die</w:t>
      </w:r>
      <w:r w:rsidR="00C50DBD" w:rsidRPr="00121A6A">
        <w:rPr>
          <w:sz w:val="24"/>
          <w:szCs w:val="24"/>
        </w:rPr>
        <w:t xml:space="preserve"> mede onder verwijzing naar het </w:t>
      </w:r>
      <w:r w:rsidR="00C50DBD" w:rsidRPr="00121A6A">
        <w:rPr>
          <w:i/>
          <w:iCs/>
          <w:sz w:val="24"/>
          <w:szCs w:val="24"/>
        </w:rPr>
        <w:t>Viking</w:t>
      </w:r>
      <w:r w:rsidR="00C50DBD" w:rsidRPr="00121A6A">
        <w:rPr>
          <w:sz w:val="24"/>
          <w:szCs w:val="24"/>
        </w:rPr>
        <w:t>-arrest</w:t>
      </w:r>
      <w:r w:rsidR="008002B9" w:rsidRPr="00121A6A">
        <w:rPr>
          <w:sz w:val="24"/>
          <w:szCs w:val="24"/>
        </w:rPr>
        <w:t xml:space="preserve"> </w:t>
      </w:r>
      <w:r w:rsidR="00B41BAB">
        <w:rPr>
          <w:sz w:val="24"/>
          <w:szCs w:val="24"/>
        </w:rPr>
        <w:t>oordeelde</w:t>
      </w:r>
      <w:r w:rsidR="00F41EB3" w:rsidRPr="00121A6A">
        <w:rPr>
          <w:sz w:val="24"/>
          <w:szCs w:val="24"/>
        </w:rPr>
        <w:t xml:space="preserve"> dat </w:t>
      </w:r>
      <w:r w:rsidR="009D29EA" w:rsidRPr="00121A6A">
        <w:rPr>
          <w:sz w:val="24"/>
          <w:szCs w:val="24"/>
        </w:rPr>
        <w:t>de boycot</w:t>
      </w:r>
      <w:r w:rsidR="00C95CDB" w:rsidRPr="00121A6A">
        <w:rPr>
          <w:sz w:val="24"/>
          <w:szCs w:val="24"/>
        </w:rPr>
        <w:t xml:space="preserve"> </w:t>
      </w:r>
      <w:r w:rsidR="009D29EA" w:rsidRPr="00121A6A">
        <w:rPr>
          <w:sz w:val="24"/>
          <w:szCs w:val="24"/>
        </w:rPr>
        <w:t xml:space="preserve">leidde tot </w:t>
      </w:r>
      <w:r w:rsidR="00213CC1">
        <w:rPr>
          <w:sz w:val="24"/>
          <w:szCs w:val="24"/>
        </w:rPr>
        <w:t xml:space="preserve">een </w:t>
      </w:r>
      <w:r w:rsidR="009D29EA" w:rsidRPr="00121A6A">
        <w:rPr>
          <w:sz w:val="24"/>
          <w:szCs w:val="24"/>
        </w:rPr>
        <w:t xml:space="preserve">schending van </w:t>
      </w:r>
      <w:proofErr w:type="spellStart"/>
      <w:r w:rsidR="009D29EA" w:rsidRPr="00121A6A">
        <w:rPr>
          <w:i/>
          <w:iCs/>
          <w:sz w:val="24"/>
          <w:szCs w:val="24"/>
        </w:rPr>
        <w:t>Holships</w:t>
      </w:r>
      <w:proofErr w:type="spellEnd"/>
      <w:r w:rsidR="009D29EA" w:rsidRPr="00121A6A">
        <w:rPr>
          <w:sz w:val="24"/>
          <w:szCs w:val="24"/>
        </w:rPr>
        <w:t xml:space="preserve"> vestigingsvrijheid</w:t>
      </w:r>
      <w:r w:rsidR="008002B9" w:rsidRPr="00121A6A">
        <w:rPr>
          <w:sz w:val="24"/>
          <w:szCs w:val="24"/>
        </w:rPr>
        <w:t>.</w:t>
      </w:r>
      <w:r w:rsidR="008002B9" w:rsidRPr="00121A6A">
        <w:rPr>
          <w:rStyle w:val="FootnoteReference"/>
          <w:sz w:val="24"/>
          <w:szCs w:val="24"/>
        </w:rPr>
        <w:footnoteReference w:id="133"/>
      </w:r>
      <w:r w:rsidR="00C95CDB" w:rsidRPr="00121A6A">
        <w:rPr>
          <w:sz w:val="24"/>
          <w:szCs w:val="24"/>
        </w:rPr>
        <w:t xml:space="preserve"> </w:t>
      </w:r>
    </w:p>
    <w:p w14:paraId="2887D374" w14:textId="4E6E1454" w:rsidR="00113F2D" w:rsidRPr="00121A6A" w:rsidRDefault="00C95CDB" w:rsidP="00113F2D">
      <w:pPr>
        <w:spacing w:after="0"/>
        <w:ind w:firstLine="708"/>
        <w:jc w:val="both"/>
        <w:rPr>
          <w:sz w:val="24"/>
          <w:szCs w:val="24"/>
        </w:rPr>
      </w:pPr>
      <w:r w:rsidRPr="00121A6A">
        <w:rPr>
          <w:sz w:val="24"/>
          <w:szCs w:val="24"/>
        </w:rPr>
        <w:t xml:space="preserve">Ter onderbouwing stelde het EVA-Hof dat </w:t>
      </w:r>
      <w:r w:rsidR="00AE1DF9">
        <w:rPr>
          <w:sz w:val="24"/>
          <w:szCs w:val="24"/>
        </w:rPr>
        <w:t xml:space="preserve">bedrijven </w:t>
      </w:r>
      <w:r w:rsidR="007056A2">
        <w:rPr>
          <w:sz w:val="24"/>
          <w:szCs w:val="24"/>
        </w:rPr>
        <w:t xml:space="preserve">door </w:t>
      </w:r>
      <w:r w:rsidR="00A912D0">
        <w:rPr>
          <w:sz w:val="24"/>
          <w:szCs w:val="24"/>
        </w:rPr>
        <w:t>de</w:t>
      </w:r>
      <w:r w:rsidRPr="00121A6A">
        <w:rPr>
          <w:sz w:val="24"/>
          <w:szCs w:val="24"/>
        </w:rPr>
        <w:t xml:space="preserve"> boycot</w:t>
      </w:r>
      <w:r w:rsidR="00A912D0">
        <w:rPr>
          <w:sz w:val="24"/>
          <w:szCs w:val="24"/>
        </w:rPr>
        <w:t>,</w:t>
      </w:r>
      <w:r w:rsidRPr="00121A6A">
        <w:rPr>
          <w:sz w:val="24"/>
          <w:szCs w:val="24"/>
        </w:rPr>
        <w:t xml:space="preserve"> </w:t>
      </w:r>
      <w:r w:rsidR="0039042B" w:rsidRPr="00121A6A">
        <w:rPr>
          <w:sz w:val="24"/>
          <w:szCs w:val="24"/>
        </w:rPr>
        <w:t>waarmee</w:t>
      </w:r>
      <w:r w:rsidRPr="00121A6A">
        <w:rPr>
          <w:sz w:val="24"/>
          <w:szCs w:val="24"/>
        </w:rPr>
        <w:t xml:space="preserve"> </w:t>
      </w:r>
      <w:r w:rsidR="00A912D0">
        <w:rPr>
          <w:sz w:val="24"/>
          <w:szCs w:val="24"/>
        </w:rPr>
        <w:t>werd</w:t>
      </w:r>
      <w:r w:rsidR="0039042B" w:rsidRPr="00121A6A">
        <w:rPr>
          <w:sz w:val="24"/>
          <w:szCs w:val="24"/>
        </w:rPr>
        <w:t xml:space="preserve"> beoogd </w:t>
      </w:r>
      <w:r w:rsidRPr="00121A6A">
        <w:rPr>
          <w:sz w:val="24"/>
          <w:szCs w:val="24"/>
        </w:rPr>
        <w:t>de</w:t>
      </w:r>
      <w:r w:rsidR="001670B2" w:rsidRPr="00121A6A">
        <w:rPr>
          <w:sz w:val="24"/>
          <w:szCs w:val="24"/>
        </w:rPr>
        <w:t xml:space="preserve"> litigieuze</w:t>
      </w:r>
      <w:r w:rsidRPr="00121A6A">
        <w:rPr>
          <w:sz w:val="24"/>
          <w:szCs w:val="24"/>
        </w:rPr>
        <w:t xml:space="preserve"> cao-clausule af te dwingen, </w:t>
      </w:r>
      <w:r w:rsidR="00213CC1">
        <w:rPr>
          <w:sz w:val="24"/>
          <w:szCs w:val="24"/>
        </w:rPr>
        <w:t>worden</w:t>
      </w:r>
      <w:r w:rsidR="007056A2">
        <w:rPr>
          <w:sz w:val="24"/>
          <w:szCs w:val="24"/>
        </w:rPr>
        <w:t xml:space="preserve"> ontmoedigd</w:t>
      </w:r>
      <w:r w:rsidRPr="00121A6A">
        <w:rPr>
          <w:sz w:val="24"/>
          <w:szCs w:val="24"/>
        </w:rPr>
        <w:t xml:space="preserve"> </w:t>
      </w:r>
      <w:r w:rsidR="00F13FBA">
        <w:rPr>
          <w:sz w:val="24"/>
          <w:szCs w:val="24"/>
        </w:rPr>
        <w:t xml:space="preserve">om </w:t>
      </w:r>
      <w:r w:rsidRPr="00121A6A">
        <w:rPr>
          <w:sz w:val="24"/>
          <w:szCs w:val="24"/>
        </w:rPr>
        <w:t xml:space="preserve">zich </w:t>
      </w:r>
      <w:r w:rsidR="00561A1F" w:rsidRPr="00121A6A">
        <w:rPr>
          <w:sz w:val="24"/>
          <w:szCs w:val="24"/>
        </w:rPr>
        <w:t xml:space="preserve">met het oog op dokwerkzaamheden </w:t>
      </w:r>
      <w:r w:rsidRPr="00121A6A">
        <w:rPr>
          <w:sz w:val="24"/>
          <w:szCs w:val="24"/>
        </w:rPr>
        <w:t>in Noorwegen</w:t>
      </w:r>
      <w:r w:rsidR="00932B67" w:rsidRPr="00121A6A">
        <w:rPr>
          <w:sz w:val="24"/>
          <w:szCs w:val="24"/>
        </w:rPr>
        <w:t xml:space="preserve"> te vestigen</w:t>
      </w:r>
      <w:r w:rsidRPr="00121A6A">
        <w:rPr>
          <w:sz w:val="24"/>
          <w:szCs w:val="24"/>
        </w:rPr>
        <w:t xml:space="preserve">. </w:t>
      </w:r>
      <w:r w:rsidR="00561A1F" w:rsidRPr="00121A6A">
        <w:rPr>
          <w:sz w:val="24"/>
          <w:szCs w:val="24"/>
        </w:rPr>
        <w:t>Aangaande</w:t>
      </w:r>
      <w:r w:rsidRPr="00121A6A">
        <w:rPr>
          <w:sz w:val="24"/>
          <w:szCs w:val="24"/>
        </w:rPr>
        <w:t xml:space="preserve"> een eventuele rechtvaardiging</w:t>
      </w:r>
      <w:r w:rsidR="00561A1F" w:rsidRPr="00121A6A">
        <w:rPr>
          <w:sz w:val="24"/>
          <w:szCs w:val="24"/>
        </w:rPr>
        <w:t xml:space="preserve"> voor deze inbreuk </w:t>
      </w:r>
      <w:r w:rsidR="00B41BAB">
        <w:rPr>
          <w:sz w:val="24"/>
          <w:szCs w:val="24"/>
        </w:rPr>
        <w:t>overwoog</w:t>
      </w:r>
      <w:r w:rsidRPr="00121A6A">
        <w:rPr>
          <w:sz w:val="24"/>
          <w:szCs w:val="24"/>
        </w:rPr>
        <w:t xml:space="preserve"> het Hof dat werknemers</w:t>
      </w:r>
      <w:r w:rsidR="0088295D" w:rsidRPr="00121A6A">
        <w:rPr>
          <w:sz w:val="24"/>
          <w:szCs w:val="24"/>
        </w:rPr>
        <w:t>bescherming</w:t>
      </w:r>
      <w:r w:rsidRPr="00121A6A">
        <w:rPr>
          <w:sz w:val="24"/>
          <w:szCs w:val="24"/>
        </w:rPr>
        <w:t xml:space="preserve"> is erkend als dwingende reden van algemeen belang. Bij de interpretatie hiervan moet</w:t>
      </w:r>
      <w:r w:rsidR="00830C0A" w:rsidRPr="00121A6A">
        <w:rPr>
          <w:sz w:val="24"/>
          <w:szCs w:val="24"/>
        </w:rPr>
        <w:t>, aldus het Hof,</w:t>
      </w:r>
      <w:r w:rsidRPr="00121A6A">
        <w:rPr>
          <w:sz w:val="24"/>
          <w:szCs w:val="24"/>
        </w:rPr>
        <w:t xml:space="preserve"> </w:t>
      </w:r>
      <w:r w:rsidR="001670B2" w:rsidRPr="00121A6A">
        <w:rPr>
          <w:sz w:val="24"/>
          <w:szCs w:val="24"/>
        </w:rPr>
        <w:t>rekening worden gehouden</w:t>
      </w:r>
      <w:r w:rsidRPr="00121A6A">
        <w:rPr>
          <w:sz w:val="24"/>
          <w:szCs w:val="24"/>
        </w:rPr>
        <w:t xml:space="preserve"> </w:t>
      </w:r>
      <w:r w:rsidR="00830C0A" w:rsidRPr="00121A6A">
        <w:rPr>
          <w:sz w:val="24"/>
          <w:szCs w:val="24"/>
        </w:rPr>
        <w:t xml:space="preserve">met het grondrecht op collectief onderhandelen en </w:t>
      </w:r>
      <w:r w:rsidRPr="00121A6A">
        <w:rPr>
          <w:sz w:val="24"/>
          <w:szCs w:val="24"/>
        </w:rPr>
        <w:t>collectieve actie</w:t>
      </w:r>
      <w:r w:rsidR="00A711D4" w:rsidRPr="00121A6A">
        <w:rPr>
          <w:sz w:val="24"/>
          <w:szCs w:val="24"/>
        </w:rPr>
        <w:t xml:space="preserve">, alsmede </w:t>
      </w:r>
      <w:r w:rsidR="0039042B" w:rsidRPr="00121A6A">
        <w:rPr>
          <w:sz w:val="24"/>
          <w:szCs w:val="24"/>
        </w:rPr>
        <w:t xml:space="preserve">met </w:t>
      </w:r>
      <w:r w:rsidR="00A711D4" w:rsidRPr="00121A6A">
        <w:rPr>
          <w:sz w:val="24"/>
          <w:szCs w:val="24"/>
        </w:rPr>
        <w:t>de rechtspraak van het EHRM</w:t>
      </w:r>
      <w:r w:rsidRPr="00121A6A">
        <w:rPr>
          <w:sz w:val="24"/>
          <w:szCs w:val="24"/>
        </w:rPr>
        <w:t xml:space="preserve">. Gelet hierop </w:t>
      </w:r>
      <w:r w:rsidR="0039042B" w:rsidRPr="00121A6A">
        <w:rPr>
          <w:sz w:val="24"/>
          <w:szCs w:val="24"/>
        </w:rPr>
        <w:t>was</w:t>
      </w:r>
      <w:r w:rsidRPr="00121A6A">
        <w:rPr>
          <w:sz w:val="24"/>
          <w:szCs w:val="24"/>
        </w:rPr>
        <w:t xml:space="preserve"> het uiteindelijk aan de nationale rechter om te beoordelen of de aangevoerde ongeschreven rechtvaardigingsgrond, uitgelegd in het licht van artikel 11 EVRM, als legitiem k</w:t>
      </w:r>
      <w:r w:rsidR="0039042B" w:rsidRPr="00121A6A">
        <w:rPr>
          <w:sz w:val="24"/>
          <w:szCs w:val="24"/>
        </w:rPr>
        <w:t>o</w:t>
      </w:r>
      <w:r w:rsidRPr="00121A6A">
        <w:rPr>
          <w:sz w:val="24"/>
          <w:szCs w:val="24"/>
        </w:rPr>
        <w:t>n worden aanvaard.</w:t>
      </w:r>
      <w:r w:rsidR="0088295D" w:rsidRPr="00121A6A">
        <w:rPr>
          <w:sz w:val="24"/>
          <w:szCs w:val="24"/>
        </w:rPr>
        <w:t xml:space="preserve"> </w:t>
      </w:r>
      <w:r w:rsidR="007E002D" w:rsidRPr="00121A6A">
        <w:rPr>
          <w:sz w:val="24"/>
          <w:szCs w:val="24"/>
        </w:rPr>
        <w:t xml:space="preserve">Daarbij gaf het Hof </w:t>
      </w:r>
      <w:r w:rsidRPr="00121A6A">
        <w:rPr>
          <w:sz w:val="24"/>
          <w:szCs w:val="24"/>
        </w:rPr>
        <w:t xml:space="preserve">echter </w:t>
      </w:r>
      <w:r w:rsidR="007E002D" w:rsidRPr="00121A6A">
        <w:rPr>
          <w:sz w:val="24"/>
          <w:szCs w:val="24"/>
        </w:rPr>
        <w:t>mee</w:t>
      </w:r>
      <w:r w:rsidR="0075135D" w:rsidRPr="00121A6A">
        <w:rPr>
          <w:sz w:val="24"/>
          <w:szCs w:val="24"/>
        </w:rPr>
        <w:t xml:space="preserve"> dat bij</w:t>
      </w:r>
      <w:r w:rsidR="007E002D" w:rsidRPr="00121A6A">
        <w:rPr>
          <w:sz w:val="24"/>
          <w:szCs w:val="24"/>
        </w:rPr>
        <w:t xml:space="preserve"> </w:t>
      </w:r>
      <w:r w:rsidR="00932B67" w:rsidRPr="00121A6A">
        <w:rPr>
          <w:sz w:val="24"/>
          <w:szCs w:val="24"/>
        </w:rPr>
        <w:t>dit</w:t>
      </w:r>
      <w:r w:rsidR="007E002D" w:rsidRPr="00121A6A">
        <w:rPr>
          <w:sz w:val="24"/>
          <w:szCs w:val="24"/>
        </w:rPr>
        <w:t xml:space="preserve"> onderzoek </w:t>
      </w:r>
      <w:r w:rsidR="0075135D" w:rsidRPr="00121A6A">
        <w:rPr>
          <w:sz w:val="24"/>
          <w:szCs w:val="24"/>
        </w:rPr>
        <w:t>moe</w:t>
      </w:r>
      <w:r w:rsidR="00FF2895">
        <w:rPr>
          <w:sz w:val="24"/>
          <w:szCs w:val="24"/>
        </w:rPr>
        <w:t>s</w:t>
      </w:r>
      <w:r w:rsidR="0075135D" w:rsidRPr="00121A6A">
        <w:rPr>
          <w:sz w:val="24"/>
          <w:szCs w:val="24"/>
        </w:rPr>
        <w:t>t worden nagegaan of</w:t>
      </w:r>
      <w:r w:rsidR="00B63213" w:rsidRPr="00121A6A">
        <w:rPr>
          <w:sz w:val="24"/>
          <w:szCs w:val="24"/>
        </w:rPr>
        <w:t xml:space="preserve"> werknemersbescherming </w:t>
      </w:r>
      <w:r w:rsidR="00C34C3C">
        <w:rPr>
          <w:sz w:val="24"/>
          <w:szCs w:val="24"/>
        </w:rPr>
        <w:t>in het concrete geval daadwerkelijk</w:t>
      </w:r>
      <w:r w:rsidR="0075135D" w:rsidRPr="00121A6A">
        <w:rPr>
          <w:sz w:val="24"/>
          <w:szCs w:val="24"/>
        </w:rPr>
        <w:t xml:space="preserve"> </w:t>
      </w:r>
      <w:r w:rsidR="00FF2895">
        <w:rPr>
          <w:sz w:val="24"/>
          <w:szCs w:val="24"/>
        </w:rPr>
        <w:t>was</w:t>
      </w:r>
      <w:r w:rsidR="007E002D" w:rsidRPr="00121A6A">
        <w:rPr>
          <w:sz w:val="24"/>
          <w:szCs w:val="24"/>
        </w:rPr>
        <w:t xml:space="preserve"> beoogd</w:t>
      </w:r>
      <w:r w:rsidR="00FF2895">
        <w:rPr>
          <w:sz w:val="24"/>
          <w:szCs w:val="24"/>
        </w:rPr>
        <w:t>.</w:t>
      </w:r>
      <w:r w:rsidR="0039042B" w:rsidRPr="00121A6A">
        <w:rPr>
          <w:sz w:val="24"/>
          <w:szCs w:val="24"/>
        </w:rPr>
        <w:t xml:space="preserve"> </w:t>
      </w:r>
      <w:r w:rsidR="00FF2895">
        <w:rPr>
          <w:sz w:val="24"/>
          <w:szCs w:val="24"/>
        </w:rPr>
        <w:t>D</w:t>
      </w:r>
      <w:r w:rsidR="0039042B" w:rsidRPr="00121A6A">
        <w:rPr>
          <w:sz w:val="24"/>
          <w:szCs w:val="24"/>
        </w:rPr>
        <w:t>e</w:t>
      </w:r>
      <w:r w:rsidR="007E002D" w:rsidRPr="00121A6A">
        <w:rPr>
          <w:sz w:val="24"/>
          <w:szCs w:val="24"/>
        </w:rPr>
        <w:t xml:space="preserve"> </w:t>
      </w:r>
      <w:r w:rsidR="0039042B" w:rsidRPr="00121A6A">
        <w:rPr>
          <w:sz w:val="24"/>
          <w:szCs w:val="24"/>
        </w:rPr>
        <w:t>nationale rechter moe</w:t>
      </w:r>
      <w:r w:rsidR="00FF2895">
        <w:rPr>
          <w:sz w:val="24"/>
          <w:szCs w:val="24"/>
        </w:rPr>
        <w:t>s</w:t>
      </w:r>
      <w:r w:rsidR="00932B67" w:rsidRPr="00121A6A">
        <w:rPr>
          <w:sz w:val="24"/>
          <w:szCs w:val="24"/>
        </w:rPr>
        <w:t>t</w:t>
      </w:r>
      <w:r w:rsidR="0039042B" w:rsidRPr="00121A6A">
        <w:rPr>
          <w:sz w:val="24"/>
          <w:szCs w:val="24"/>
        </w:rPr>
        <w:t xml:space="preserve"> </w:t>
      </w:r>
      <w:r w:rsidR="00666D5C" w:rsidRPr="00121A6A">
        <w:rPr>
          <w:sz w:val="24"/>
          <w:szCs w:val="24"/>
        </w:rPr>
        <w:t>uitsluiten</w:t>
      </w:r>
      <w:r w:rsidR="0039042B" w:rsidRPr="00121A6A">
        <w:rPr>
          <w:sz w:val="24"/>
          <w:szCs w:val="24"/>
        </w:rPr>
        <w:t xml:space="preserve"> </w:t>
      </w:r>
      <w:r w:rsidR="007E002D" w:rsidRPr="00121A6A">
        <w:rPr>
          <w:sz w:val="24"/>
          <w:szCs w:val="24"/>
        </w:rPr>
        <w:t xml:space="preserve">dat sprake </w:t>
      </w:r>
      <w:r w:rsidR="00FF2895">
        <w:rPr>
          <w:sz w:val="24"/>
          <w:szCs w:val="24"/>
        </w:rPr>
        <w:t>was</w:t>
      </w:r>
      <w:r w:rsidR="007E002D" w:rsidRPr="00121A6A">
        <w:rPr>
          <w:sz w:val="24"/>
          <w:szCs w:val="24"/>
        </w:rPr>
        <w:t xml:space="preserve"> van verkapt protectionisme.</w:t>
      </w:r>
      <w:r w:rsidR="007D47F7" w:rsidRPr="00121A6A">
        <w:rPr>
          <w:sz w:val="24"/>
          <w:szCs w:val="24"/>
        </w:rPr>
        <w:t xml:space="preserve"> In dit verband stelde het EVA-Hof dat</w:t>
      </w:r>
      <w:r w:rsidR="00EA55F8">
        <w:rPr>
          <w:sz w:val="24"/>
          <w:szCs w:val="24"/>
        </w:rPr>
        <w:t xml:space="preserve"> het doel van</w:t>
      </w:r>
      <w:r w:rsidR="007D47F7" w:rsidRPr="00121A6A">
        <w:rPr>
          <w:sz w:val="24"/>
          <w:szCs w:val="24"/>
        </w:rPr>
        <w:t xml:space="preserve"> de boycot</w:t>
      </w:r>
      <w:r w:rsidR="00213CC1">
        <w:rPr>
          <w:sz w:val="24"/>
          <w:szCs w:val="24"/>
        </w:rPr>
        <w:t xml:space="preserve"> </w:t>
      </w:r>
      <w:r w:rsidR="007D47F7" w:rsidRPr="00121A6A">
        <w:rPr>
          <w:sz w:val="24"/>
          <w:szCs w:val="24"/>
        </w:rPr>
        <w:t xml:space="preserve">(naar het </w:t>
      </w:r>
      <w:r w:rsidR="00BA0D92">
        <w:rPr>
          <w:sz w:val="24"/>
          <w:szCs w:val="24"/>
        </w:rPr>
        <w:t>leek</w:t>
      </w:r>
      <w:r w:rsidR="007D47F7" w:rsidRPr="00121A6A">
        <w:rPr>
          <w:sz w:val="24"/>
          <w:szCs w:val="24"/>
        </w:rPr>
        <w:t xml:space="preserve">) niet beperkt </w:t>
      </w:r>
      <w:r w:rsidR="00BA0D92">
        <w:rPr>
          <w:sz w:val="24"/>
          <w:szCs w:val="24"/>
        </w:rPr>
        <w:t>was</w:t>
      </w:r>
      <w:r w:rsidR="007D47F7" w:rsidRPr="00121A6A">
        <w:rPr>
          <w:sz w:val="24"/>
          <w:szCs w:val="24"/>
        </w:rPr>
        <w:t xml:space="preserve"> tot</w:t>
      </w:r>
      <w:r w:rsidR="00BA0D92">
        <w:rPr>
          <w:sz w:val="24"/>
          <w:szCs w:val="24"/>
        </w:rPr>
        <w:t xml:space="preserve"> de</w:t>
      </w:r>
      <w:r w:rsidR="007D47F7" w:rsidRPr="00121A6A">
        <w:rPr>
          <w:sz w:val="24"/>
          <w:szCs w:val="24"/>
        </w:rPr>
        <w:t xml:space="preserve"> vaststelling of verbetering van arbeidsvoorwaarden</w:t>
      </w:r>
      <w:r w:rsidR="005341E8">
        <w:rPr>
          <w:sz w:val="24"/>
          <w:szCs w:val="24"/>
        </w:rPr>
        <w:t>.</w:t>
      </w:r>
      <w:r w:rsidR="001F1F56" w:rsidRPr="00121A6A">
        <w:rPr>
          <w:rStyle w:val="FootnoteReference"/>
          <w:sz w:val="24"/>
          <w:szCs w:val="24"/>
        </w:rPr>
        <w:footnoteReference w:id="134"/>
      </w:r>
      <w:r w:rsidR="001F1F56" w:rsidRPr="00121A6A">
        <w:rPr>
          <w:sz w:val="24"/>
          <w:szCs w:val="24"/>
        </w:rPr>
        <w:t xml:space="preserve"> </w:t>
      </w:r>
      <w:r w:rsidR="005341E8">
        <w:rPr>
          <w:sz w:val="24"/>
          <w:szCs w:val="24"/>
        </w:rPr>
        <w:t>De boycot leek</w:t>
      </w:r>
      <w:r w:rsidR="001F1F56" w:rsidRPr="00121A6A">
        <w:rPr>
          <w:sz w:val="24"/>
          <w:szCs w:val="24"/>
        </w:rPr>
        <w:t xml:space="preserve"> tevens een </w:t>
      </w:r>
      <w:r w:rsidR="00C0514C" w:rsidRPr="00121A6A">
        <w:rPr>
          <w:sz w:val="24"/>
          <w:szCs w:val="24"/>
        </w:rPr>
        <w:t xml:space="preserve">niet te rechtvaardigen </w:t>
      </w:r>
      <w:r w:rsidR="001F1F56" w:rsidRPr="00121A6A">
        <w:rPr>
          <w:sz w:val="24"/>
          <w:szCs w:val="24"/>
        </w:rPr>
        <w:t xml:space="preserve">zakelijk belang </w:t>
      </w:r>
      <w:r w:rsidR="005341E8">
        <w:rPr>
          <w:sz w:val="24"/>
          <w:szCs w:val="24"/>
        </w:rPr>
        <w:t>te dienen</w:t>
      </w:r>
      <w:r w:rsidR="001F1F56" w:rsidRPr="00121A6A">
        <w:rPr>
          <w:sz w:val="24"/>
          <w:szCs w:val="24"/>
        </w:rPr>
        <w:t xml:space="preserve"> in de vorm van</w:t>
      </w:r>
      <w:r w:rsidR="00E90771">
        <w:rPr>
          <w:sz w:val="24"/>
          <w:szCs w:val="24"/>
        </w:rPr>
        <w:t xml:space="preserve"> het</w:t>
      </w:r>
      <w:r w:rsidR="001F1F56" w:rsidRPr="00121A6A">
        <w:rPr>
          <w:sz w:val="24"/>
          <w:szCs w:val="24"/>
        </w:rPr>
        <w:t xml:space="preserve"> behoud van de marktpositie van het </w:t>
      </w:r>
      <w:r w:rsidR="00547E1C">
        <w:rPr>
          <w:sz w:val="24"/>
          <w:szCs w:val="24"/>
        </w:rPr>
        <w:t>a</w:t>
      </w:r>
      <w:r w:rsidR="001F1F56" w:rsidRPr="00121A6A">
        <w:rPr>
          <w:sz w:val="24"/>
          <w:szCs w:val="24"/>
        </w:rPr>
        <w:t>dministratiekantoor.</w:t>
      </w:r>
      <w:r w:rsidR="007D47F7" w:rsidRPr="00121A6A">
        <w:rPr>
          <w:sz w:val="24"/>
          <w:szCs w:val="24"/>
        </w:rPr>
        <w:t xml:space="preserve"> Voor die conclusie was van belang dat </w:t>
      </w:r>
      <w:bookmarkStart w:id="57" w:name="_Hlk163476175"/>
      <w:r w:rsidR="007D47F7" w:rsidRPr="00121A6A">
        <w:rPr>
          <w:sz w:val="24"/>
          <w:szCs w:val="24"/>
        </w:rPr>
        <w:t>slechts een beperkte groep werknemers</w:t>
      </w:r>
      <w:r w:rsidR="002F0514" w:rsidRPr="00121A6A">
        <w:rPr>
          <w:sz w:val="24"/>
          <w:szCs w:val="24"/>
        </w:rPr>
        <w:t>,</w:t>
      </w:r>
      <w:r w:rsidR="005C4609" w:rsidRPr="00121A6A">
        <w:rPr>
          <w:sz w:val="24"/>
          <w:szCs w:val="24"/>
        </w:rPr>
        <w:t xml:space="preserve"> </w:t>
      </w:r>
      <w:r w:rsidR="002F0514" w:rsidRPr="00121A6A">
        <w:rPr>
          <w:sz w:val="24"/>
          <w:szCs w:val="24"/>
        </w:rPr>
        <w:t xml:space="preserve">namelijk alleen die van het </w:t>
      </w:r>
      <w:r w:rsidR="00547E1C">
        <w:rPr>
          <w:sz w:val="24"/>
          <w:szCs w:val="24"/>
        </w:rPr>
        <w:t>a</w:t>
      </w:r>
      <w:r w:rsidR="002F0514" w:rsidRPr="00121A6A">
        <w:rPr>
          <w:sz w:val="24"/>
          <w:szCs w:val="24"/>
        </w:rPr>
        <w:t xml:space="preserve">dministratiekantoor, </w:t>
      </w:r>
      <w:r w:rsidR="00213CC1">
        <w:rPr>
          <w:sz w:val="24"/>
          <w:szCs w:val="24"/>
        </w:rPr>
        <w:t xml:space="preserve">door de boycot </w:t>
      </w:r>
      <w:r w:rsidR="007D47F7" w:rsidRPr="00121A6A">
        <w:rPr>
          <w:sz w:val="24"/>
          <w:szCs w:val="24"/>
        </w:rPr>
        <w:t>werd beschermd</w:t>
      </w:r>
      <w:bookmarkEnd w:id="57"/>
      <w:r w:rsidR="00F559C8" w:rsidRPr="00121A6A">
        <w:rPr>
          <w:sz w:val="24"/>
          <w:szCs w:val="24"/>
        </w:rPr>
        <w:t>.</w:t>
      </w:r>
      <w:r w:rsidR="007D47F7" w:rsidRPr="00121A6A">
        <w:rPr>
          <w:rStyle w:val="FootnoteReference"/>
          <w:sz w:val="24"/>
          <w:szCs w:val="24"/>
        </w:rPr>
        <w:footnoteReference w:id="135"/>
      </w:r>
    </w:p>
    <w:p w14:paraId="14C1627F" w14:textId="3D5A4854" w:rsidR="007E30D7" w:rsidRPr="00121A6A" w:rsidRDefault="009D29EA" w:rsidP="007E30D7">
      <w:pPr>
        <w:spacing w:after="0"/>
        <w:ind w:firstLine="708"/>
        <w:jc w:val="both"/>
        <w:rPr>
          <w:sz w:val="24"/>
          <w:szCs w:val="24"/>
        </w:rPr>
      </w:pPr>
      <w:r w:rsidRPr="00121A6A">
        <w:rPr>
          <w:sz w:val="24"/>
          <w:szCs w:val="24"/>
        </w:rPr>
        <w:t xml:space="preserve">Als gevolg van de uitspraak van het EVA-Hof oordeelde het Noorse Hooggerechtshof dat </w:t>
      </w:r>
      <w:r w:rsidR="00AA2566" w:rsidRPr="00121A6A">
        <w:rPr>
          <w:sz w:val="24"/>
          <w:szCs w:val="24"/>
        </w:rPr>
        <w:t>de vrijheid van</w:t>
      </w:r>
      <w:r w:rsidRPr="00121A6A">
        <w:rPr>
          <w:sz w:val="24"/>
          <w:szCs w:val="24"/>
        </w:rPr>
        <w:t xml:space="preserve"> vestiging </w:t>
      </w:r>
      <w:r w:rsidR="001670B2" w:rsidRPr="00121A6A">
        <w:rPr>
          <w:sz w:val="24"/>
          <w:szCs w:val="24"/>
        </w:rPr>
        <w:t xml:space="preserve">op voet van gelijkwaardigheid </w:t>
      </w:r>
      <w:r w:rsidRPr="00121A6A">
        <w:rPr>
          <w:sz w:val="24"/>
          <w:szCs w:val="24"/>
        </w:rPr>
        <w:t xml:space="preserve">moet worden afgewogen tegen de </w:t>
      </w:r>
      <w:r w:rsidR="00684E17" w:rsidRPr="00121A6A">
        <w:rPr>
          <w:sz w:val="24"/>
          <w:szCs w:val="24"/>
        </w:rPr>
        <w:t xml:space="preserve">vrijheid </w:t>
      </w:r>
      <w:r w:rsidR="00684E17" w:rsidRPr="00121A6A">
        <w:rPr>
          <w:sz w:val="24"/>
          <w:szCs w:val="24"/>
        </w:rPr>
        <w:lastRenderedPageBreak/>
        <w:t>van vakvereniging</w:t>
      </w:r>
      <w:r w:rsidR="007C5931" w:rsidRPr="00121A6A">
        <w:rPr>
          <w:sz w:val="24"/>
          <w:szCs w:val="24"/>
        </w:rPr>
        <w:t xml:space="preserve">. </w:t>
      </w:r>
      <w:r w:rsidR="00D7648B">
        <w:rPr>
          <w:sz w:val="24"/>
          <w:szCs w:val="24"/>
        </w:rPr>
        <w:t>Niettemin stak het Hof zijn onderzoek in aan de hand van de vraag</w:t>
      </w:r>
      <w:r w:rsidR="007C5931" w:rsidRPr="00121A6A">
        <w:rPr>
          <w:sz w:val="24"/>
          <w:szCs w:val="24"/>
        </w:rPr>
        <w:t xml:space="preserve"> of</w:t>
      </w:r>
      <w:r w:rsidR="00781FC1" w:rsidRPr="00121A6A">
        <w:rPr>
          <w:sz w:val="24"/>
          <w:szCs w:val="24"/>
        </w:rPr>
        <w:t xml:space="preserve"> de boycot</w:t>
      </w:r>
      <w:r w:rsidR="001670B2" w:rsidRPr="00121A6A">
        <w:rPr>
          <w:sz w:val="24"/>
          <w:szCs w:val="24"/>
        </w:rPr>
        <w:t xml:space="preserve"> </w:t>
      </w:r>
      <w:r w:rsidR="00781FC1" w:rsidRPr="00121A6A">
        <w:rPr>
          <w:sz w:val="24"/>
          <w:szCs w:val="24"/>
        </w:rPr>
        <w:t>k</w:t>
      </w:r>
      <w:r w:rsidR="00911847" w:rsidRPr="00121A6A">
        <w:rPr>
          <w:sz w:val="24"/>
          <w:szCs w:val="24"/>
        </w:rPr>
        <w:t>o</w:t>
      </w:r>
      <w:r w:rsidR="00781FC1" w:rsidRPr="00121A6A">
        <w:rPr>
          <w:sz w:val="24"/>
          <w:szCs w:val="24"/>
        </w:rPr>
        <w:t xml:space="preserve">n worden gerechtvaardigd in het licht van de vestigingsvrijheid. In dat verband haalde de Noorse rechter het </w:t>
      </w:r>
      <w:r w:rsidR="00781FC1" w:rsidRPr="00121A6A">
        <w:rPr>
          <w:i/>
          <w:iCs/>
          <w:sz w:val="24"/>
          <w:szCs w:val="24"/>
        </w:rPr>
        <w:t>Viking</w:t>
      </w:r>
      <w:r w:rsidR="00781FC1" w:rsidRPr="00121A6A">
        <w:rPr>
          <w:sz w:val="24"/>
          <w:szCs w:val="24"/>
        </w:rPr>
        <w:t xml:space="preserve">-kader aan </w:t>
      </w:r>
      <w:r w:rsidR="00D72C8F" w:rsidRPr="00121A6A">
        <w:rPr>
          <w:sz w:val="24"/>
          <w:szCs w:val="24"/>
        </w:rPr>
        <w:t xml:space="preserve">en stelde </w:t>
      </w:r>
      <w:r w:rsidR="00817F02">
        <w:rPr>
          <w:sz w:val="24"/>
          <w:szCs w:val="24"/>
        </w:rPr>
        <w:t>deze</w:t>
      </w:r>
      <w:r w:rsidR="00272775" w:rsidRPr="00121A6A">
        <w:rPr>
          <w:sz w:val="24"/>
          <w:szCs w:val="24"/>
        </w:rPr>
        <w:t xml:space="preserve"> </w:t>
      </w:r>
      <w:r w:rsidR="00D72C8F" w:rsidRPr="00121A6A">
        <w:rPr>
          <w:sz w:val="24"/>
          <w:szCs w:val="24"/>
        </w:rPr>
        <w:t xml:space="preserve">dat niet </w:t>
      </w:r>
      <w:r w:rsidR="002B3589">
        <w:rPr>
          <w:sz w:val="24"/>
          <w:szCs w:val="24"/>
        </w:rPr>
        <w:t>was</w:t>
      </w:r>
      <w:r w:rsidR="00D72C8F" w:rsidRPr="00121A6A">
        <w:rPr>
          <w:sz w:val="24"/>
          <w:szCs w:val="24"/>
        </w:rPr>
        <w:t xml:space="preserve"> aangetoond dat </w:t>
      </w:r>
      <w:r w:rsidR="00A912D0">
        <w:rPr>
          <w:sz w:val="24"/>
          <w:szCs w:val="24"/>
        </w:rPr>
        <w:t>de arbeidsplaatsen</w:t>
      </w:r>
      <w:r w:rsidR="00D72C8F" w:rsidRPr="00121A6A">
        <w:rPr>
          <w:sz w:val="24"/>
          <w:szCs w:val="24"/>
        </w:rPr>
        <w:t xml:space="preserve"> en </w:t>
      </w:r>
      <w:r w:rsidR="00A912D0">
        <w:rPr>
          <w:sz w:val="24"/>
          <w:szCs w:val="24"/>
        </w:rPr>
        <w:t>-</w:t>
      </w:r>
      <w:r w:rsidR="00D72C8F" w:rsidRPr="00121A6A">
        <w:rPr>
          <w:sz w:val="24"/>
          <w:szCs w:val="24"/>
        </w:rPr>
        <w:t xml:space="preserve">voorwaarden van </w:t>
      </w:r>
      <w:r w:rsidR="002B3589">
        <w:rPr>
          <w:sz w:val="24"/>
          <w:szCs w:val="24"/>
        </w:rPr>
        <w:t xml:space="preserve">de </w:t>
      </w:r>
      <w:r w:rsidR="004F6417" w:rsidRPr="00121A6A">
        <w:rPr>
          <w:sz w:val="24"/>
          <w:szCs w:val="24"/>
        </w:rPr>
        <w:t>dokwerkers</w:t>
      </w:r>
      <w:r w:rsidR="00D72C8F" w:rsidRPr="00121A6A">
        <w:rPr>
          <w:sz w:val="24"/>
          <w:szCs w:val="24"/>
        </w:rPr>
        <w:t xml:space="preserve"> </w:t>
      </w:r>
      <w:r w:rsidR="00405C88">
        <w:rPr>
          <w:sz w:val="24"/>
          <w:szCs w:val="24"/>
        </w:rPr>
        <w:t xml:space="preserve">van het administratiekantoor </w:t>
      </w:r>
      <w:r w:rsidR="00D72C8F" w:rsidRPr="00121A6A">
        <w:rPr>
          <w:sz w:val="24"/>
          <w:szCs w:val="24"/>
        </w:rPr>
        <w:t xml:space="preserve">daadwerkelijk op het spel </w:t>
      </w:r>
      <w:r w:rsidR="00D04827">
        <w:rPr>
          <w:sz w:val="24"/>
          <w:szCs w:val="24"/>
        </w:rPr>
        <w:t>stonden</w:t>
      </w:r>
      <w:r w:rsidR="00D72C8F" w:rsidRPr="00121A6A">
        <w:rPr>
          <w:sz w:val="24"/>
          <w:szCs w:val="24"/>
        </w:rPr>
        <w:t xml:space="preserve"> of ernstig in gevaar </w:t>
      </w:r>
      <w:r w:rsidR="00D04827">
        <w:rPr>
          <w:sz w:val="24"/>
          <w:szCs w:val="24"/>
        </w:rPr>
        <w:t>waren</w:t>
      </w:r>
      <w:r w:rsidR="00D72C8F" w:rsidRPr="00121A6A">
        <w:rPr>
          <w:sz w:val="24"/>
          <w:szCs w:val="24"/>
        </w:rPr>
        <w:t xml:space="preserve">. </w:t>
      </w:r>
      <w:r w:rsidR="00684E17" w:rsidRPr="00121A6A">
        <w:rPr>
          <w:sz w:val="24"/>
          <w:szCs w:val="24"/>
        </w:rPr>
        <w:t>De meerderheidsopvatting</w:t>
      </w:r>
      <w:r w:rsidR="00817F02">
        <w:rPr>
          <w:sz w:val="24"/>
          <w:szCs w:val="24"/>
        </w:rPr>
        <w:t xml:space="preserve"> van het Hooggerechtshof</w:t>
      </w:r>
      <w:r w:rsidR="00272775" w:rsidRPr="00121A6A">
        <w:rPr>
          <w:sz w:val="24"/>
          <w:szCs w:val="24"/>
        </w:rPr>
        <w:t xml:space="preserve">, die </w:t>
      </w:r>
      <w:r w:rsidR="00D01143" w:rsidRPr="00121A6A">
        <w:rPr>
          <w:sz w:val="24"/>
          <w:szCs w:val="24"/>
        </w:rPr>
        <w:t>nauw</w:t>
      </w:r>
      <w:r w:rsidR="00272775" w:rsidRPr="00121A6A">
        <w:rPr>
          <w:sz w:val="24"/>
          <w:szCs w:val="24"/>
        </w:rPr>
        <w:t xml:space="preserve"> aansloot bij de </w:t>
      </w:r>
      <w:r w:rsidR="00E05DF6" w:rsidRPr="00121A6A">
        <w:rPr>
          <w:sz w:val="24"/>
          <w:szCs w:val="24"/>
        </w:rPr>
        <w:t>aanwijzingen</w:t>
      </w:r>
      <w:r w:rsidR="00272775" w:rsidRPr="00121A6A">
        <w:rPr>
          <w:sz w:val="24"/>
          <w:szCs w:val="24"/>
        </w:rPr>
        <w:t xml:space="preserve"> van het EVA-Hof,</w:t>
      </w:r>
      <w:r w:rsidR="00B95687" w:rsidRPr="00121A6A">
        <w:rPr>
          <w:sz w:val="24"/>
          <w:szCs w:val="24"/>
        </w:rPr>
        <w:t xml:space="preserve"> was </w:t>
      </w:r>
      <w:r w:rsidR="00684E17" w:rsidRPr="00121A6A">
        <w:rPr>
          <w:sz w:val="24"/>
          <w:szCs w:val="24"/>
        </w:rPr>
        <w:t xml:space="preserve">dat </w:t>
      </w:r>
      <w:r w:rsidR="00B95687" w:rsidRPr="00121A6A">
        <w:rPr>
          <w:sz w:val="24"/>
          <w:szCs w:val="24"/>
        </w:rPr>
        <w:t>de beoogde werknemersbescherming relatief indirect</w:t>
      </w:r>
      <w:r w:rsidR="00D01143" w:rsidRPr="00121A6A">
        <w:rPr>
          <w:sz w:val="24"/>
          <w:szCs w:val="24"/>
        </w:rPr>
        <w:t xml:space="preserve"> </w:t>
      </w:r>
      <w:r w:rsidR="00684E17" w:rsidRPr="00121A6A">
        <w:rPr>
          <w:sz w:val="24"/>
          <w:szCs w:val="24"/>
        </w:rPr>
        <w:t xml:space="preserve">was </w:t>
      </w:r>
      <w:r w:rsidR="00D01143" w:rsidRPr="00121A6A">
        <w:rPr>
          <w:sz w:val="24"/>
          <w:szCs w:val="24"/>
        </w:rPr>
        <w:t>(de boycot</w:t>
      </w:r>
      <w:r w:rsidR="00C76CA2" w:rsidRPr="00121A6A">
        <w:rPr>
          <w:sz w:val="24"/>
          <w:szCs w:val="24"/>
        </w:rPr>
        <w:t xml:space="preserve"> </w:t>
      </w:r>
      <w:r w:rsidR="00D01143" w:rsidRPr="00121A6A">
        <w:rPr>
          <w:sz w:val="24"/>
          <w:szCs w:val="24"/>
        </w:rPr>
        <w:t>verschil</w:t>
      </w:r>
      <w:r w:rsidR="00802AFC">
        <w:rPr>
          <w:sz w:val="24"/>
          <w:szCs w:val="24"/>
        </w:rPr>
        <w:t>de</w:t>
      </w:r>
      <w:r w:rsidR="00D01143" w:rsidRPr="00121A6A">
        <w:rPr>
          <w:sz w:val="24"/>
          <w:szCs w:val="24"/>
        </w:rPr>
        <w:t xml:space="preserve"> immers van andere collectieve acties </w:t>
      </w:r>
      <w:r w:rsidR="003E32C8">
        <w:rPr>
          <w:sz w:val="24"/>
          <w:szCs w:val="24"/>
        </w:rPr>
        <w:t>met als doel het verbeteren van</w:t>
      </w:r>
      <w:r w:rsidR="00802AFC">
        <w:rPr>
          <w:sz w:val="24"/>
          <w:szCs w:val="24"/>
        </w:rPr>
        <w:t xml:space="preserve"> </w:t>
      </w:r>
      <w:r w:rsidR="00D01143" w:rsidRPr="00121A6A">
        <w:rPr>
          <w:sz w:val="24"/>
          <w:szCs w:val="24"/>
        </w:rPr>
        <w:t xml:space="preserve">arbeidsvoorwaarden) en </w:t>
      </w:r>
      <w:r w:rsidR="00684E17" w:rsidRPr="00121A6A">
        <w:rPr>
          <w:sz w:val="24"/>
          <w:szCs w:val="24"/>
        </w:rPr>
        <w:t>dat</w:t>
      </w:r>
      <w:r w:rsidR="00C76CA2" w:rsidRPr="00121A6A">
        <w:rPr>
          <w:sz w:val="24"/>
          <w:szCs w:val="24"/>
        </w:rPr>
        <w:t xml:space="preserve"> </w:t>
      </w:r>
      <w:r w:rsidR="00600496" w:rsidRPr="00121A6A">
        <w:rPr>
          <w:sz w:val="24"/>
          <w:szCs w:val="24"/>
        </w:rPr>
        <w:t>de vakbondsactie primair een markttoegang belemmerend effect</w:t>
      </w:r>
      <w:r w:rsidR="00684E17" w:rsidRPr="00121A6A">
        <w:rPr>
          <w:sz w:val="24"/>
          <w:szCs w:val="24"/>
        </w:rPr>
        <w:t xml:space="preserve"> had</w:t>
      </w:r>
      <w:r w:rsidR="00D01143" w:rsidRPr="00121A6A">
        <w:rPr>
          <w:sz w:val="24"/>
          <w:szCs w:val="24"/>
        </w:rPr>
        <w:t xml:space="preserve">: </w:t>
      </w:r>
      <w:r w:rsidR="00600496" w:rsidRPr="00121A6A">
        <w:rPr>
          <w:sz w:val="24"/>
          <w:szCs w:val="24"/>
        </w:rPr>
        <w:t xml:space="preserve">het </w:t>
      </w:r>
      <w:r w:rsidR="00547E1C">
        <w:rPr>
          <w:sz w:val="24"/>
          <w:szCs w:val="24"/>
        </w:rPr>
        <w:t>a</w:t>
      </w:r>
      <w:r w:rsidR="00600496" w:rsidRPr="00121A6A">
        <w:rPr>
          <w:sz w:val="24"/>
          <w:szCs w:val="24"/>
        </w:rPr>
        <w:t xml:space="preserve">dministratiekantoor </w:t>
      </w:r>
      <w:r w:rsidR="00D01143" w:rsidRPr="00121A6A">
        <w:rPr>
          <w:sz w:val="24"/>
          <w:szCs w:val="24"/>
        </w:rPr>
        <w:t xml:space="preserve">werd beschermd </w:t>
      </w:r>
      <w:r w:rsidR="00600496" w:rsidRPr="00121A6A">
        <w:rPr>
          <w:sz w:val="24"/>
          <w:szCs w:val="24"/>
        </w:rPr>
        <w:t xml:space="preserve">tegen concurrentie van </w:t>
      </w:r>
      <w:r w:rsidR="004F6417" w:rsidRPr="00121A6A">
        <w:rPr>
          <w:sz w:val="24"/>
          <w:szCs w:val="24"/>
        </w:rPr>
        <w:t>buitenaf</w:t>
      </w:r>
      <w:r w:rsidR="00600496" w:rsidRPr="00121A6A">
        <w:rPr>
          <w:sz w:val="24"/>
          <w:szCs w:val="24"/>
        </w:rPr>
        <w:t xml:space="preserve">. </w:t>
      </w:r>
      <w:r w:rsidR="000B0967" w:rsidRPr="00121A6A">
        <w:rPr>
          <w:sz w:val="24"/>
          <w:szCs w:val="24"/>
        </w:rPr>
        <w:t xml:space="preserve">De conclusie luidde dat hoewel het </w:t>
      </w:r>
      <w:r w:rsidR="0080656B" w:rsidRPr="00121A6A">
        <w:rPr>
          <w:sz w:val="24"/>
          <w:szCs w:val="24"/>
        </w:rPr>
        <w:t xml:space="preserve">ultieme </w:t>
      </w:r>
      <w:r w:rsidR="000B0967" w:rsidRPr="00121A6A">
        <w:rPr>
          <w:sz w:val="24"/>
          <w:szCs w:val="24"/>
        </w:rPr>
        <w:t xml:space="preserve">doel van de boycot </w:t>
      </w:r>
      <w:r w:rsidR="004F6417" w:rsidRPr="00121A6A">
        <w:rPr>
          <w:sz w:val="24"/>
          <w:szCs w:val="24"/>
        </w:rPr>
        <w:t xml:space="preserve">wellicht kon </w:t>
      </w:r>
      <w:r w:rsidR="00CC6CC6" w:rsidRPr="00121A6A">
        <w:rPr>
          <w:sz w:val="24"/>
          <w:szCs w:val="24"/>
        </w:rPr>
        <w:t>zijn</w:t>
      </w:r>
      <w:r w:rsidR="00E97944" w:rsidRPr="00121A6A">
        <w:rPr>
          <w:sz w:val="24"/>
          <w:szCs w:val="24"/>
        </w:rPr>
        <w:t xml:space="preserve"> gelegen in werknemersbescherming</w:t>
      </w:r>
      <w:r w:rsidR="000B0967" w:rsidRPr="00121A6A">
        <w:rPr>
          <w:sz w:val="24"/>
          <w:szCs w:val="24"/>
        </w:rPr>
        <w:t xml:space="preserve">, dit doel </w:t>
      </w:r>
      <w:r w:rsidR="00630ED6" w:rsidRPr="00121A6A">
        <w:rPr>
          <w:sz w:val="24"/>
          <w:szCs w:val="24"/>
        </w:rPr>
        <w:t xml:space="preserve">in concreto </w:t>
      </w:r>
      <w:r w:rsidR="004F6417" w:rsidRPr="00121A6A">
        <w:rPr>
          <w:sz w:val="24"/>
          <w:szCs w:val="24"/>
        </w:rPr>
        <w:t>geen</w:t>
      </w:r>
      <w:r w:rsidR="000B0967" w:rsidRPr="00121A6A">
        <w:rPr>
          <w:sz w:val="24"/>
          <w:szCs w:val="24"/>
        </w:rPr>
        <w:t xml:space="preserve"> dwingende reden </w:t>
      </w:r>
      <w:r w:rsidR="004F6417" w:rsidRPr="00121A6A">
        <w:rPr>
          <w:sz w:val="24"/>
          <w:szCs w:val="24"/>
        </w:rPr>
        <w:t xml:space="preserve">opleverde </w:t>
      </w:r>
      <w:r w:rsidR="000B0967" w:rsidRPr="00121A6A">
        <w:rPr>
          <w:sz w:val="24"/>
          <w:szCs w:val="24"/>
        </w:rPr>
        <w:t xml:space="preserve">voor </w:t>
      </w:r>
      <w:r w:rsidR="00A2767D">
        <w:rPr>
          <w:sz w:val="24"/>
          <w:szCs w:val="24"/>
        </w:rPr>
        <w:t xml:space="preserve">een </w:t>
      </w:r>
      <w:r w:rsidR="000B0967" w:rsidRPr="00121A6A">
        <w:rPr>
          <w:sz w:val="24"/>
          <w:szCs w:val="24"/>
        </w:rPr>
        <w:t xml:space="preserve">beperking van de </w:t>
      </w:r>
      <w:r w:rsidR="00AA2566" w:rsidRPr="00121A6A">
        <w:rPr>
          <w:sz w:val="24"/>
          <w:szCs w:val="24"/>
        </w:rPr>
        <w:t>vrije vestiging</w:t>
      </w:r>
      <w:r w:rsidR="000B0967" w:rsidRPr="00121A6A">
        <w:rPr>
          <w:sz w:val="24"/>
          <w:szCs w:val="24"/>
        </w:rPr>
        <w:t>.</w:t>
      </w:r>
      <w:r w:rsidR="00AB61B9" w:rsidRPr="00121A6A">
        <w:rPr>
          <w:sz w:val="24"/>
          <w:szCs w:val="24"/>
        </w:rPr>
        <w:t xml:space="preserve"> Vervolgens</w:t>
      </w:r>
      <w:r w:rsidR="000B0967" w:rsidRPr="00121A6A">
        <w:rPr>
          <w:sz w:val="24"/>
          <w:szCs w:val="24"/>
        </w:rPr>
        <w:t xml:space="preserve"> </w:t>
      </w:r>
      <w:r w:rsidR="0080656B" w:rsidRPr="00121A6A">
        <w:rPr>
          <w:sz w:val="24"/>
          <w:szCs w:val="24"/>
        </w:rPr>
        <w:t xml:space="preserve">beantwoordde </w:t>
      </w:r>
      <w:r w:rsidR="00AB61B9" w:rsidRPr="00121A6A">
        <w:rPr>
          <w:sz w:val="24"/>
          <w:szCs w:val="24"/>
        </w:rPr>
        <w:t xml:space="preserve">het Hof </w:t>
      </w:r>
      <w:r w:rsidR="000B0967" w:rsidRPr="00121A6A">
        <w:rPr>
          <w:sz w:val="24"/>
          <w:szCs w:val="24"/>
        </w:rPr>
        <w:t xml:space="preserve">de vraag of </w:t>
      </w:r>
      <w:r w:rsidR="00D67DD3" w:rsidRPr="00121A6A">
        <w:rPr>
          <w:sz w:val="24"/>
          <w:szCs w:val="24"/>
        </w:rPr>
        <w:t xml:space="preserve">de boycot als fundamenteel recht </w:t>
      </w:r>
      <w:r w:rsidR="002024BE" w:rsidRPr="00121A6A">
        <w:rPr>
          <w:sz w:val="24"/>
          <w:szCs w:val="24"/>
        </w:rPr>
        <w:t xml:space="preserve">wellicht </w:t>
      </w:r>
      <w:r w:rsidR="00D67DD3" w:rsidRPr="00121A6A">
        <w:rPr>
          <w:sz w:val="24"/>
          <w:szCs w:val="24"/>
        </w:rPr>
        <w:t>vóórg</w:t>
      </w:r>
      <w:r w:rsidR="003B76F3" w:rsidRPr="00121A6A">
        <w:rPr>
          <w:sz w:val="24"/>
          <w:szCs w:val="24"/>
        </w:rPr>
        <w:t>aat</w:t>
      </w:r>
      <w:r w:rsidR="00D67DD3" w:rsidRPr="00121A6A">
        <w:rPr>
          <w:sz w:val="24"/>
          <w:szCs w:val="24"/>
        </w:rPr>
        <w:t xml:space="preserve"> op de vestigingsvrijheid</w:t>
      </w:r>
      <w:r w:rsidR="0039178F" w:rsidRPr="00121A6A">
        <w:rPr>
          <w:sz w:val="24"/>
          <w:szCs w:val="24"/>
        </w:rPr>
        <w:t xml:space="preserve"> ontkennend</w:t>
      </w:r>
      <w:r w:rsidR="00D67DD3" w:rsidRPr="00121A6A">
        <w:rPr>
          <w:sz w:val="24"/>
          <w:szCs w:val="24"/>
        </w:rPr>
        <w:t xml:space="preserve">. </w:t>
      </w:r>
      <w:r w:rsidR="0080656B" w:rsidRPr="00121A6A">
        <w:rPr>
          <w:sz w:val="24"/>
          <w:szCs w:val="24"/>
        </w:rPr>
        <w:t xml:space="preserve">Overwogen werd </w:t>
      </w:r>
      <w:r w:rsidR="00D67DD3" w:rsidRPr="00121A6A">
        <w:rPr>
          <w:sz w:val="24"/>
          <w:szCs w:val="24"/>
        </w:rPr>
        <w:t>dat</w:t>
      </w:r>
      <w:r w:rsidR="00684E17" w:rsidRPr="00121A6A">
        <w:rPr>
          <w:sz w:val="24"/>
          <w:szCs w:val="24"/>
        </w:rPr>
        <w:t xml:space="preserve"> het collectieve actierecht van </w:t>
      </w:r>
      <w:r w:rsidR="00D67DD3" w:rsidRPr="00121A6A">
        <w:rPr>
          <w:sz w:val="24"/>
          <w:szCs w:val="24"/>
        </w:rPr>
        <w:t>artikel 11 EVRM</w:t>
      </w:r>
      <w:r w:rsidR="0016787D" w:rsidRPr="00121A6A">
        <w:rPr>
          <w:sz w:val="24"/>
          <w:szCs w:val="24"/>
        </w:rPr>
        <w:t xml:space="preserve"> niet absoluut is</w:t>
      </w:r>
      <w:r w:rsidR="00684E17" w:rsidRPr="00121A6A">
        <w:rPr>
          <w:sz w:val="24"/>
          <w:szCs w:val="24"/>
        </w:rPr>
        <w:t>,</w:t>
      </w:r>
      <w:r w:rsidR="0016787D" w:rsidRPr="00121A6A">
        <w:rPr>
          <w:sz w:val="24"/>
          <w:szCs w:val="24"/>
        </w:rPr>
        <w:t xml:space="preserve"> maar </w:t>
      </w:r>
      <w:r w:rsidR="00A21180" w:rsidRPr="00121A6A">
        <w:rPr>
          <w:sz w:val="24"/>
          <w:szCs w:val="24"/>
        </w:rPr>
        <w:t xml:space="preserve">moet </w:t>
      </w:r>
      <w:r w:rsidR="007E30D7" w:rsidRPr="00121A6A">
        <w:rPr>
          <w:sz w:val="24"/>
          <w:szCs w:val="24"/>
        </w:rPr>
        <w:t>worden verzoend met de vestigingsvrijheid</w:t>
      </w:r>
      <w:r w:rsidR="0016787D" w:rsidRPr="00121A6A">
        <w:rPr>
          <w:sz w:val="24"/>
          <w:szCs w:val="24"/>
        </w:rPr>
        <w:t xml:space="preserve"> –</w:t>
      </w:r>
      <w:r w:rsidR="007E30D7" w:rsidRPr="00121A6A">
        <w:rPr>
          <w:sz w:val="24"/>
          <w:szCs w:val="24"/>
        </w:rPr>
        <w:t xml:space="preserve"> een hoeksteen van </w:t>
      </w:r>
      <w:r w:rsidR="00802AFC">
        <w:rPr>
          <w:sz w:val="24"/>
          <w:szCs w:val="24"/>
        </w:rPr>
        <w:t xml:space="preserve">het </w:t>
      </w:r>
      <w:r w:rsidR="007E30D7" w:rsidRPr="00121A6A">
        <w:rPr>
          <w:sz w:val="24"/>
          <w:szCs w:val="24"/>
        </w:rPr>
        <w:t xml:space="preserve">EER-recht. Aangezien </w:t>
      </w:r>
      <w:r w:rsidR="00914EFB" w:rsidRPr="00121A6A">
        <w:rPr>
          <w:sz w:val="24"/>
          <w:szCs w:val="24"/>
        </w:rPr>
        <w:t xml:space="preserve">volgens de Noorse rechter </w:t>
      </w:r>
      <w:r w:rsidR="007E30D7" w:rsidRPr="00121A6A">
        <w:rPr>
          <w:sz w:val="24"/>
          <w:szCs w:val="24"/>
        </w:rPr>
        <w:t xml:space="preserve">het voornaamste en gewenste effect van de boycot </w:t>
      </w:r>
      <w:r w:rsidR="0039178F" w:rsidRPr="00121A6A">
        <w:rPr>
          <w:sz w:val="24"/>
          <w:szCs w:val="24"/>
        </w:rPr>
        <w:t>was</w:t>
      </w:r>
      <w:r w:rsidR="007E30D7" w:rsidRPr="00121A6A">
        <w:rPr>
          <w:sz w:val="24"/>
          <w:szCs w:val="24"/>
        </w:rPr>
        <w:t xml:space="preserve"> </w:t>
      </w:r>
      <w:r w:rsidR="00543654">
        <w:rPr>
          <w:sz w:val="24"/>
          <w:szCs w:val="24"/>
        </w:rPr>
        <w:t>dat</w:t>
      </w:r>
      <w:r w:rsidR="002C2D82" w:rsidRPr="00121A6A">
        <w:rPr>
          <w:sz w:val="24"/>
          <w:szCs w:val="24"/>
        </w:rPr>
        <w:t xml:space="preserve"> </w:t>
      </w:r>
      <w:r w:rsidR="007E30D7" w:rsidRPr="00121A6A">
        <w:rPr>
          <w:sz w:val="24"/>
          <w:szCs w:val="24"/>
        </w:rPr>
        <w:t xml:space="preserve">de toegang van andere ondernemingen tot de markt </w:t>
      </w:r>
      <w:r w:rsidR="00543654">
        <w:rPr>
          <w:sz w:val="24"/>
          <w:szCs w:val="24"/>
        </w:rPr>
        <w:t>werd beperkt</w:t>
      </w:r>
      <w:r w:rsidR="007E30D7" w:rsidRPr="00121A6A">
        <w:rPr>
          <w:sz w:val="24"/>
          <w:szCs w:val="24"/>
        </w:rPr>
        <w:t>, vorm</w:t>
      </w:r>
      <w:r w:rsidR="0039178F" w:rsidRPr="00121A6A">
        <w:rPr>
          <w:sz w:val="24"/>
          <w:szCs w:val="24"/>
        </w:rPr>
        <w:t>de</w:t>
      </w:r>
      <w:r w:rsidR="007E30D7" w:rsidRPr="00121A6A">
        <w:rPr>
          <w:sz w:val="24"/>
          <w:szCs w:val="24"/>
        </w:rPr>
        <w:t xml:space="preserve"> de boycot als zodanig een </w:t>
      </w:r>
      <w:r w:rsidR="00AF0404" w:rsidRPr="00121A6A">
        <w:rPr>
          <w:sz w:val="24"/>
          <w:szCs w:val="24"/>
        </w:rPr>
        <w:t>‘</w:t>
      </w:r>
      <w:r w:rsidR="007E30D7" w:rsidRPr="002E4C0C">
        <w:rPr>
          <w:i/>
          <w:iCs/>
          <w:sz w:val="24"/>
          <w:szCs w:val="24"/>
        </w:rPr>
        <w:t>aanzienlijke beperking</w:t>
      </w:r>
      <w:r w:rsidR="00AF0404" w:rsidRPr="00121A6A">
        <w:rPr>
          <w:sz w:val="24"/>
          <w:szCs w:val="24"/>
        </w:rPr>
        <w:t>’</w:t>
      </w:r>
      <w:r w:rsidR="007E30D7" w:rsidRPr="00121A6A">
        <w:rPr>
          <w:sz w:val="24"/>
          <w:szCs w:val="24"/>
        </w:rPr>
        <w:t xml:space="preserve"> van de vestigingsvrijheid. </w:t>
      </w:r>
      <w:r w:rsidR="0039178F" w:rsidRPr="00121A6A">
        <w:rPr>
          <w:sz w:val="24"/>
          <w:szCs w:val="24"/>
        </w:rPr>
        <w:t>Daarenboven kwam</w:t>
      </w:r>
      <w:r w:rsidR="00E03FEB" w:rsidRPr="00121A6A">
        <w:rPr>
          <w:sz w:val="24"/>
          <w:szCs w:val="24"/>
        </w:rPr>
        <w:t xml:space="preserve"> </w:t>
      </w:r>
      <w:r w:rsidR="007E30D7" w:rsidRPr="00121A6A">
        <w:rPr>
          <w:sz w:val="24"/>
          <w:szCs w:val="24"/>
        </w:rPr>
        <w:t xml:space="preserve">de boycot in strijd met </w:t>
      </w:r>
      <w:r w:rsidR="0053538F">
        <w:rPr>
          <w:sz w:val="24"/>
          <w:szCs w:val="24"/>
        </w:rPr>
        <w:t xml:space="preserve">de </w:t>
      </w:r>
      <w:r w:rsidR="007E30D7" w:rsidRPr="00121A6A">
        <w:rPr>
          <w:sz w:val="24"/>
          <w:szCs w:val="24"/>
        </w:rPr>
        <w:t>rechten en belangen van andere werknemers</w:t>
      </w:r>
      <w:r w:rsidR="00AE54EB" w:rsidRPr="00121A6A">
        <w:rPr>
          <w:sz w:val="24"/>
          <w:szCs w:val="24"/>
        </w:rPr>
        <w:t xml:space="preserve"> </w:t>
      </w:r>
      <w:r w:rsidR="00B862C5">
        <w:rPr>
          <w:sz w:val="24"/>
          <w:szCs w:val="24"/>
        </w:rPr>
        <w:t xml:space="preserve">(namelijk die van </w:t>
      </w:r>
      <w:proofErr w:type="spellStart"/>
      <w:r w:rsidR="00B862C5">
        <w:rPr>
          <w:i/>
          <w:iCs/>
          <w:sz w:val="24"/>
          <w:szCs w:val="24"/>
        </w:rPr>
        <w:t>Holship</w:t>
      </w:r>
      <w:proofErr w:type="spellEnd"/>
      <w:r w:rsidR="00B862C5" w:rsidRPr="00B862C5">
        <w:rPr>
          <w:sz w:val="24"/>
          <w:szCs w:val="24"/>
        </w:rPr>
        <w:t xml:space="preserve">) </w:t>
      </w:r>
      <w:r w:rsidR="004E763A" w:rsidRPr="00121A6A">
        <w:rPr>
          <w:sz w:val="24"/>
          <w:szCs w:val="24"/>
        </w:rPr>
        <w:t>e</w:t>
      </w:r>
      <w:r w:rsidR="0011316D" w:rsidRPr="00121A6A">
        <w:rPr>
          <w:sz w:val="24"/>
          <w:szCs w:val="24"/>
        </w:rPr>
        <w:t>n</w:t>
      </w:r>
      <w:r w:rsidR="004E763A" w:rsidRPr="00121A6A">
        <w:rPr>
          <w:sz w:val="24"/>
          <w:szCs w:val="24"/>
        </w:rPr>
        <w:t xml:space="preserve"> </w:t>
      </w:r>
      <w:r w:rsidR="0039178F" w:rsidRPr="00121A6A">
        <w:rPr>
          <w:sz w:val="24"/>
          <w:szCs w:val="24"/>
        </w:rPr>
        <w:t xml:space="preserve">kon </w:t>
      </w:r>
      <w:r w:rsidR="007E30D7" w:rsidRPr="00121A6A">
        <w:rPr>
          <w:sz w:val="24"/>
          <w:szCs w:val="24"/>
        </w:rPr>
        <w:t xml:space="preserve">het doel van </w:t>
      </w:r>
      <w:r w:rsidR="004F6417" w:rsidRPr="00121A6A">
        <w:rPr>
          <w:sz w:val="24"/>
          <w:szCs w:val="24"/>
        </w:rPr>
        <w:t>werknemers</w:t>
      </w:r>
      <w:r w:rsidR="007E30D7" w:rsidRPr="00121A6A">
        <w:rPr>
          <w:sz w:val="24"/>
          <w:szCs w:val="24"/>
        </w:rPr>
        <w:t>bescherming ook op andere manieren worden</w:t>
      </w:r>
      <w:r w:rsidR="004E763A" w:rsidRPr="00121A6A">
        <w:rPr>
          <w:sz w:val="24"/>
          <w:szCs w:val="24"/>
        </w:rPr>
        <w:t xml:space="preserve"> bereikt</w:t>
      </w:r>
      <w:r w:rsidR="007E30D7" w:rsidRPr="00121A6A">
        <w:rPr>
          <w:sz w:val="24"/>
          <w:szCs w:val="24"/>
        </w:rPr>
        <w:t>.</w:t>
      </w:r>
      <w:r w:rsidR="00914EFB" w:rsidRPr="00121A6A">
        <w:rPr>
          <w:rStyle w:val="FootnoteReference"/>
          <w:sz w:val="24"/>
          <w:szCs w:val="24"/>
        </w:rPr>
        <w:footnoteReference w:id="136"/>
      </w:r>
      <w:r w:rsidR="007E30D7" w:rsidRPr="00121A6A">
        <w:rPr>
          <w:sz w:val="24"/>
          <w:szCs w:val="24"/>
        </w:rPr>
        <w:t xml:space="preserve"> </w:t>
      </w:r>
      <w:r w:rsidR="001670B2" w:rsidRPr="00121A6A">
        <w:rPr>
          <w:sz w:val="24"/>
          <w:szCs w:val="24"/>
        </w:rPr>
        <w:t>De</w:t>
      </w:r>
      <w:r w:rsidR="003C4AC6" w:rsidRPr="00121A6A">
        <w:rPr>
          <w:sz w:val="24"/>
          <w:szCs w:val="24"/>
        </w:rPr>
        <w:t xml:space="preserve"> boycot </w:t>
      </w:r>
      <w:r w:rsidR="001670B2" w:rsidRPr="00121A6A">
        <w:rPr>
          <w:sz w:val="24"/>
          <w:szCs w:val="24"/>
        </w:rPr>
        <w:t xml:space="preserve">voldeed daarom </w:t>
      </w:r>
      <w:r w:rsidR="003C4AC6" w:rsidRPr="00121A6A">
        <w:rPr>
          <w:sz w:val="24"/>
          <w:szCs w:val="24"/>
        </w:rPr>
        <w:t xml:space="preserve">niet aan het vereiste van een juist evenwicht tussen de vestigingsvrijheid en het </w:t>
      </w:r>
      <w:r w:rsidR="00AE54EB" w:rsidRPr="00121A6A">
        <w:rPr>
          <w:sz w:val="24"/>
          <w:szCs w:val="24"/>
        </w:rPr>
        <w:t>grond</w:t>
      </w:r>
      <w:r w:rsidR="003C4AC6" w:rsidRPr="00121A6A">
        <w:rPr>
          <w:sz w:val="24"/>
          <w:szCs w:val="24"/>
        </w:rPr>
        <w:t xml:space="preserve">recht </w:t>
      </w:r>
      <w:r w:rsidR="00CD60E5" w:rsidRPr="00121A6A">
        <w:rPr>
          <w:sz w:val="24"/>
          <w:szCs w:val="24"/>
        </w:rPr>
        <w:t>op collectieve actie</w:t>
      </w:r>
      <w:r w:rsidR="003C4AC6" w:rsidRPr="00121A6A">
        <w:rPr>
          <w:sz w:val="24"/>
          <w:szCs w:val="24"/>
        </w:rPr>
        <w:t>.</w:t>
      </w:r>
    </w:p>
    <w:p w14:paraId="170703D2" w14:textId="5CCAECEC" w:rsidR="00E54F60" w:rsidRPr="00121A6A" w:rsidRDefault="00CE0DE6" w:rsidP="007E30D7">
      <w:pPr>
        <w:spacing w:after="0"/>
        <w:ind w:firstLine="708"/>
        <w:jc w:val="both"/>
        <w:rPr>
          <w:sz w:val="24"/>
          <w:szCs w:val="24"/>
        </w:rPr>
      </w:pPr>
      <w:r w:rsidRPr="00121A6A">
        <w:rPr>
          <w:sz w:val="24"/>
          <w:szCs w:val="24"/>
        </w:rPr>
        <w:t xml:space="preserve">De vakbond diende een klacht in </w:t>
      </w:r>
      <w:r w:rsidR="0011316D" w:rsidRPr="00121A6A">
        <w:rPr>
          <w:sz w:val="24"/>
          <w:szCs w:val="24"/>
        </w:rPr>
        <w:t>bij het</w:t>
      </w:r>
      <w:r w:rsidR="00090966" w:rsidRPr="00121A6A">
        <w:rPr>
          <w:sz w:val="24"/>
          <w:szCs w:val="24"/>
        </w:rPr>
        <w:t xml:space="preserve"> EHRM</w:t>
      </w:r>
      <w:r w:rsidR="0011316D" w:rsidRPr="00121A6A">
        <w:rPr>
          <w:sz w:val="24"/>
          <w:szCs w:val="24"/>
        </w:rPr>
        <w:t xml:space="preserve">. </w:t>
      </w:r>
      <w:r w:rsidR="00DC7692">
        <w:rPr>
          <w:sz w:val="24"/>
          <w:szCs w:val="24"/>
        </w:rPr>
        <w:t>Allereerst oordeelde het Hof, m</w:t>
      </w:r>
      <w:r w:rsidR="00CE4774" w:rsidRPr="00121A6A">
        <w:rPr>
          <w:sz w:val="24"/>
          <w:szCs w:val="24"/>
        </w:rPr>
        <w:t xml:space="preserve">ede onder verwijzing naar het </w:t>
      </w:r>
      <w:r w:rsidR="00CE4774" w:rsidRPr="00121A6A">
        <w:rPr>
          <w:i/>
          <w:iCs/>
          <w:sz w:val="24"/>
          <w:szCs w:val="24"/>
        </w:rPr>
        <w:t>Laval</w:t>
      </w:r>
      <w:r w:rsidR="00CE4774" w:rsidRPr="00121A6A">
        <w:rPr>
          <w:sz w:val="24"/>
          <w:szCs w:val="24"/>
        </w:rPr>
        <w:t>-arrest</w:t>
      </w:r>
      <w:r w:rsidR="00DC7692">
        <w:rPr>
          <w:sz w:val="24"/>
          <w:szCs w:val="24"/>
        </w:rPr>
        <w:t>,</w:t>
      </w:r>
      <w:r w:rsidR="00CB786C" w:rsidRPr="00121A6A">
        <w:rPr>
          <w:sz w:val="24"/>
          <w:szCs w:val="24"/>
        </w:rPr>
        <w:t xml:space="preserve"> </w:t>
      </w:r>
      <w:r w:rsidR="00090966" w:rsidRPr="00121A6A">
        <w:rPr>
          <w:sz w:val="24"/>
          <w:szCs w:val="24"/>
        </w:rPr>
        <w:t xml:space="preserve">dat </w:t>
      </w:r>
      <w:r w:rsidR="00C05961" w:rsidRPr="00121A6A">
        <w:rPr>
          <w:sz w:val="24"/>
          <w:szCs w:val="24"/>
        </w:rPr>
        <w:t xml:space="preserve">een boycot in de vorm van een blokkade valt onder de reikwijdte van </w:t>
      </w:r>
      <w:r w:rsidR="00090966" w:rsidRPr="00121A6A">
        <w:rPr>
          <w:sz w:val="24"/>
          <w:szCs w:val="24"/>
        </w:rPr>
        <w:t>artikel 11 EVRM</w:t>
      </w:r>
      <w:r w:rsidR="00C05961" w:rsidRPr="00121A6A">
        <w:rPr>
          <w:sz w:val="24"/>
          <w:szCs w:val="24"/>
        </w:rPr>
        <w:t>. Een</w:t>
      </w:r>
      <w:r w:rsidR="00090966" w:rsidRPr="00121A6A">
        <w:rPr>
          <w:sz w:val="24"/>
          <w:szCs w:val="24"/>
        </w:rPr>
        <w:t xml:space="preserve"> boycot </w:t>
      </w:r>
      <w:r w:rsidR="00C05961" w:rsidRPr="00121A6A">
        <w:rPr>
          <w:sz w:val="24"/>
          <w:szCs w:val="24"/>
        </w:rPr>
        <w:t xml:space="preserve">kan immers </w:t>
      </w:r>
      <w:r w:rsidR="00090966" w:rsidRPr="00121A6A">
        <w:rPr>
          <w:sz w:val="24"/>
          <w:szCs w:val="24"/>
        </w:rPr>
        <w:t xml:space="preserve">het enige middel zijn </w:t>
      </w:r>
      <w:r w:rsidR="00344288" w:rsidRPr="00121A6A">
        <w:rPr>
          <w:sz w:val="24"/>
          <w:szCs w:val="24"/>
        </w:rPr>
        <w:t>voor</w:t>
      </w:r>
      <w:r w:rsidR="00090966" w:rsidRPr="00121A6A">
        <w:rPr>
          <w:sz w:val="24"/>
          <w:szCs w:val="24"/>
        </w:rPr>
        <w:t xml:space="preserve"> een vakbond om druk uit te oefenen op een werkgever.</w:t>
      </w:r>
      <w:r w:rsidR="00344288" w:rsidRPr="00121A6A">
        <w:rPr>
          <w:rStyle w:val="FootnoteReference"/>
          <w:sz w:val="24"/>
          <w:szCs w:val="24"/>
        </w:rPr>
        <w:footnoteReference w:id="137"/>
      </w:r>
      <w:r w:rsidR="00AF5092" w:rsidRPr="00121A6A">
        <w:rPr>
          <w:sz w:val="24"/>
          <w:szCs w:val="24"/>
        </w:rPr>
        <w:t xml:space="preserve"> </w:t>
      </w:r>
      <w:r w:rsidR="008505D9" w:rsidRPr="00121A6A">
        <w:rPr>
          <w:sz w:val="24"/>
          <w:szCs w:val="24"/>
        </w:rPr>
        <w:t>Aangaande</w:t>
      </w:r>
      <w:r w:rsidR="00AF5092" w:rsidRPr="00121A6A">
        <w:rPr>
          <w:sz w:val="24"/>
          <w:szCs w:val="24"/>
        </w:rPr>
        <w:t xml:space="preserve"> de vraag of </w:t>
      </w:r>
      <w:r w:rsidR="00435A77" w:rsidRPr="00121A6A">
        <w:rPr>
          <w:sz w:val="24"/>
          <w:szCs w:val="24"/>
        </w:rPr>
        <w:t xml:space="preserve">de beperking van de vakbondsvrijheid </w:t>
      </w:r>
      <w:r w:rsidR="00AF5092" w:rsidRPr="00121A6A">
        <w:rPr>
          <w:sz w:val="24"/>
          <w:szCs w:val="24"/>
        </w:rPr>
        <w:t>k</w:t>
      </w:r>
      <w:r w:rsidR="00F0578E" w:rsidRPr="00121A6A">
        <w:rPr>
          <w:sz w:val="24"/>
          <w:szCs w:val="24"/>
        </w:rPr>
        <w:t>o</w:t>
      </w:r>
      <w:r w:rsidR="00AF5092" w:rsidRPr="00121A6A">
        <w:rPr>
          <w:sz w:val="24"/>
          <w:szCs w:val="24"/>
        </w:rPr>
        <w:t xml:space="preserve">n worden gerechtvaardigd, overwoog het EHRM dat een wettelijke grondslag aanwezig </w:t>
      </w:r>
      <w:r w:rsidR="00DC7692">
        <w:rPr>
          <w:sz w:val="24"/>
          <w:szCs w:val="24"/>
        </w:rPr>
        <w:t>was</w:t>
      </w:r>
      <w:r w:rsidR="00AF5092" w:rsidRPr="00121A6A">
        <w:rPr>
          <w:sz w:val="24"/>
          <w:szCs w:val="24"/>
        </w:rPr>
        <w:t xml:space="preserve"> en dat de beslissing van </w:t>
      </w:r>
      <w:r w:rsidR="007E5983" w:rsidRPr="00121A6A">
        <w:rPr>
          <w:sz w:val="24"/>
          <w:szCs w:val="24"/>
        </w:rPr>
        <w:t>het Hooggerechtshof</w:t>
      </w:r>
      <w:r w:rsidR="00AF5092" w:rsidRPr="00121A6A">
        <w:rPr>
          <w:sz w:val="24"/>
          <w:szCs w:val="24"/>
        </w:rPr>
        <w:t xml:space="preserve"> </w:t>
      </w:r>
      <w:r w:rsidR="00DC7692">
        <w:rPr>
          <w:sz w:val="24"/>
          <w:szCs w:val="24"/>
        </w:rPr>
        <w:t>was</w:t>
      </w:r>
      <w:r w:rsidR="00AF5092" w:rsidRPr="00121A6A">
        <w:rPr>
          <w:sz w:val="24"/>
          <w:szCs w:val="24"/>
        </w:rPr>
        <w:t xml:space="preserve"> genomen ter </w:t>
      </w:r>
      <w:r w:rsidR="00A85C68" w:rsidRPr="004E4F7F">
        <w:rPr>
          <w:sz w:val="24"/>
          <w:szCs w:val="24"/>
        </w:rPr>
        <w:t>‘</w:t>
      </w:r>
      <w:r w:rsidR="00AF5092" w:rsidRPr="00DC7692">
        <w:rPr>
          <w:i/>
          <w:iCs/>
          <w:sz w:val="24"/>
          <w:szCs w:val="24"/>
        </w:rPr>
        <w:t>bescherming van de rechten en vrijheden van anderen</w:t>
      </w:r>
      <w:r w:rsidR="00A85C68" w:rsidRPr="00121A6A">
        <w:rPr>
          <w:sz w:val="24"/>
          <w:szCs w:val="24"/>
        </w:rPr>
        <w:t>’</w:t>
      </w:r>
      <w:r w:rsidR="00DC7692">
        <w:rPr>
          <w:sz w:val="24"/>
          <w:szCs w:val="24"/>
        </w:rPr>
        <w:t xml:space="preserve">, </w:t>
      </w:r>
      <w:r w:rsidR="007E5983" w:rsidRPr="00121A6A">
        <w:rPr>
          <w:sz w:val="24"/>
          <w:szCs w:val="24"/>
        </w:rPr>
        <w:t xml:space="preserve">te weten </w:t>
      </w:r>
      <w:proofErr w:type="spellStart"/>
      <w:r w:rsidR="00AF5092" w:rsidRPr="00121A6A">
        <w:rPr>
          <w:i/>
          <w:iCs/>
          <w:sz w:val="24"/>
          <w:szCs w:val="24"/>
        </w:rPr>
        <w:t>Holships</w:t>
      </w:r>
      <w:proofErr w:type="spellEnd"/>
      <w:r w:rsidR="00A42E55" w:rsidRPr="00121A6A">
        <w:rPr>
          <w:sz w:val="24"/>
          <w:szCs w:val="24"/>
        </w:rPr>
        <w:t xml:space="preserve"> </w:t>
      </w:r>
      <w:r w:rsidR="00AF5092" w:rsidRPr="00121A6A">
        <w:rPr>
          <w:sz w:val="24"/>
          <w:szCs w:val="24"/>
        </w:rPr>
        <w:t>vestigingsvrijheid.</w:t>
      </w:r>
      <w:r w:rsidR="00C80E83" w:rsidRPr="00121A6A">
        <w:rPr>
          <w:rStyle w:val="FootnoteReference"/>
          <w:sz w:val="24"/>
          <w:szCs w:val="24"/>
        </w:rPr>
        <w:footnoteReference w:id="138"/>
      </w:r>
      <w:r w:rsidR="00AF5092" w:rsidRPr="00121A6A">
        <w:rPr>
          <w:sz w:val="24"/>
          <w:szCs w:val="24"/>
        </w:rPr>
        <w:t xml:space="preserve"> </w:t>
      </w:r>
      <w:r w:rsidR="00901CD0" w:rsidRPr="00121A6A">
        <w:rPr>
          <w:sz w:val="24"/>
          <w:szCs w:val="24"/>
        </w:rPr>
        <w:t xml:space="preserve">Zodoende </w:t>
      </w:r>
      <w:r w:rsidR="0081129C" w:rsidRPr="00121A6A">
        <w:rPr>
          <w:sz w:val="24"/>
          <w:szCs w:val="24"/>
        </w:rPr>
        <w:t>kwam</w:t>
      </w:r>
      <w:r w:rsidR="00AF5092" w:rsidRPr="00121A6A">
        <w:rPr>
          <w:sz w:val="24"/>
          <w:szCs w:val="24"/>
        </w:rPr>
        <w:t xml:space="preserve"> </w:t>
      </w:r>
      <w:r w:rsidR="003169AD" w:rsidRPr="00121A6A">
        <w:rPr>
          <w:sz w:val="24"/>
          <w:szCs w:val="24"/>
        </w:rPr>
        <w:t xml:space="preserve">het </w:t>
      </w:r>
      <w:r w:rsidR="00AF5092" w:rsidRPr="00121A6A">
        <w:rPr>
          <w:sz w:val="24"/>
          <w:szCs w:val="24"/>
        </w:rPr>
        <w:t>aan op de proportionaliteits</w:t>
      </w:r>
      <w:r w:rsidR="004E4F7F">
        <w:rPr>
          <w:sz w:val="24"/>
          <w:szCs w:val="24"/>
        </w:rPr>
        <w:t>toets</w:t>
      </w:r>
      <w:r w:rsidR="003169AD" w:rsidRPr="00121A6A">
        <w:rPr>
          <w:sz w:val="24"/>
          <w:szCs w:val="24"/>
        </w:rPr>
        <w:t xml:space="preserve">. </w:t>
      </w:r>
      <w:r w:rsidR="0045337A">
        <w:rPr>
          <w:sz w:val="24"/>
          <w:szCs w:val="24"/>
        </w:rPr>
        <w:t>Daarbij</w:t>
      </w:r>
      <w:r w:rsidR="003169AD" w:rsidRPr="00121A6A">
        <w:rPr>
          <w:sz w:val="24"/>
          <w:szCs w:val="24"/>
        </w:rPr>
        <w:t xml:space="preserve"> </w:t>
      </w:r>
      <w:r w:rsidR="00E54F60" w:rsidRPr="00121A6A">
        <w:rPr>
          <w:sz w:val="24"/>
          <w:szCs w:val="24"/>
        </w:rPr>
        <w:t xml:space="preserve">moest het </w:t>
      </w:r>
      <w:r w:rsidR="003155F2" w:rsidRPr="00121A6A">
        <w:rPr>
          <w:sz w:val="24"/>
          <w:szCs w:val="24"/>
        </w:rPr>
        <w:t>Hof</w:t>
      </w:r>
      <w:r w:rsidR="00E54F60" w:rsidRPr="00121A6A">
        <w:rPr>
          <w:sz w:val="24"/>
          <w:szCs w:val="24"/>
        </w:rPr>
        <w:t xml:space="preserve"> eerst de juiste beoordelingsmaatstaf vaststellen. Van belang </w:t>
      </w:r>
      <w:r w:rsidR="003155F2" w:rsidRPr="00121A6A">
        <w:rPr>
          <w:sz w:val="24"/>
          <w:szCs w:val="24"/>
        </w:rPr>
        <w:t xml:space="preserve">is </w:t>
      </w:r>
      <w:r w:rsidR="00137116">
        <w:rPr>
          <w:sz w:val="24"/>
          <w:szCs w:val="24"/>
        </w:rPr>
        <w:t xml:space="preserve">namelijk </w:t>
      </w:r>
      <w:r w:rsidR="00E54F60" w:rsidRPr="00121A6A">
        <w:rPr>
          <w:sz w:val="24"/>
          <w:szCs w:val="24"/>
        </w:rPr>
        <w:t xml:space="preserve">dat het EHRM in de regel </w:t>
      </w:r>
      <w:r w:rsidR="00651763" w:rsidRPr="00121A6A">
        <w:rPr>
          <w:sz w:val="24"/>
          <w:szCs w:val="24"/>
        </w:rPr>
        <w:t>(</w:t>
      </w:r>
      <w:r w:rsidR="00E54F60" w:rsidRPr="00121A6A">
        <w:rPr>
          <w:sz w:val="24"/>
          <w:szCs w:val="24"/>
        </w:rPr>
        <w:t>zeer</w:t>
      </w:r>
      <w:r w:rsidR="00651763" w:rsidRPr="00121A6A">
        <w:rPr>
          <w:sz w:val="24"/>
          <w:szCs w:val="24"/>
        </w:rPr>
        <w:t>)</w:t>
      </w:r>
      <w:r w:rsidR="00E54F60" w:rsidRPr="00121A6A">
        <w:rPr>
          <w:sz w:val="24"/>
          <w:szCs w:val="24"/>
        </w:rPr>
        <w:t xml:space="preserve"> terughoudend toetst waar het een conflict van verplichtingen op grond van </w:t>
      </w:r>
      <w:r w:rsidR="00A2767D">
        <w:rPr>
          <w:sz w:val="24"/>
          <w:szCs w:val="24"/>
        </w:rPr>
        <w:t xml:space="preserve">het </w:t>
      </w:r>
      <w:r w:rsidR="00E54F60" w:rsidRPr="00121A6A">
        <w:rPr>
          <w:sz w:val="24"/>
          <w:szCs w:val="24"/>
        </w:rPr>
        <w:t xml:space="preserve">Unierecht enerzijds en </w:t>
      </w:r>
      <w:r w:rsidR="00A2767D">
        <w:rPr>
          <w:sz w:val="24"/>
          <w:szCs w:val="24"/>
        </w:rPr>
        <w:t xml:space="preserve">het </w:t>
      </w:r>
      <w:r w:rsidR="00E54F60" w:rsidRPr="00121A6A">
        <w:rPr>
          <w:sz w:val="24"/>
          <w:szCs w:val="24"/>
        </w:rPr>
        <w:t xml:space="preserve">EVRM-recht anderzijds betreft. De </w:t>
      </w:r>
      <w:r w:rsidR="00E54F60" w:rsidRPr="00121A6A">
        <w:rPr>
          <w:i/>
          <w:iCs/>
          <w:sz w:val="24"/>
          <w:szCs w:val="24"/>
        </w:rPr>
        <w:t>Bosphorus</w:t>
      </w:r>
      <w:r w:rsidR="00E54F60" w:rsidRPr="00121A6A">
        <w:rPr>
          <w:sz w:val="24"/>
          <w:szCs w:val="24"/>
        </w:rPr>
        <w:t xml:space="preserve">-doctrine impliceert een vermoeden dat géén sprake is van een </w:t>
      </w:r>
      <w:r w:rsidR="004F6417" w:rsidRPr="00121A6A">
        <w:rPr>
          <w:sz w:val="24"/>
          <w:szCs w:val="24"/>
        </w:rPr>
        <w:t>EVRM-</w:t>
      </w:r>
      <w:r w:rsidR="00E54F60" w:rsidRPr="00121A6A">
        <w:rPr>
          <w:sz w:val="24"/>
          <w:szCs w:val="24"/>
        </w:rPr>
        <w:t>schending indien een staat niet méér heeft gedaan dan het uitvoeren van wettelijke verplichtingen voortvloeiend uit zijn EU-lidmaatschap.</w:t>
      </w:r>
      <w:r w:rsidR="00E54F60" w:rsidRPr="00121A6A">
        <w:rPr>
          <w:rStyle w:val="FootnoteReference"/>
          <w:sz w:val="24"/>
          <w:szCs w:val="24"/>
        </w:rPr>
        <w:footnoteReference w:id="139"/>
      </w:r>
      <w:r w:rsidR="00E54F60" w:rsidRPr="00121A6A">
        <w:rPr>
          <w:sz w:val="24"/>
          <w:szCs w:val="24"/>
        </w:rPr>
        <w:t xml:space="preserve"> Dit vermoeden is enkel weerlegbaar als de bescherming van EVRM-rechten ‘</w:t>
      </w:r>
      <w:r w:rsidR="00E54F60" w:rsidRPr="00743D6E">
        <w:rPr>
          <w:i/>
          <w:iCs/>
          <w:sz w:val="24"/>
          <w:szCs w:val="24"/>
        </w:rPr>
        <w:t>manifest ontoereikend</w:t>
      </w:r>
      <w:r w:rsidR="00E54F60" w:rsidRPr="00121A6A">
        <w:rPr>
          <w:sz w:val="24"/>
          <w:szCs w:val="24"/>
        </w:rPr>
        <w:t>’ is.</w:t>
      </w:r>
      <w:r w:rsidR="00E54F60" w:rsidRPr="00121A6A">
        <w:rPr>
          <w:rStyle w:val="FootnoteReference"/>
          <w:sz w:val="24"/>
          <w:szCs w:val="24"/>
        </w:rPr>
        <w:footnoteReference w:id="140"/>
      </w:r>
      <w:r w:rsidR="00E54F60" w:rsidRPr="00121A6A">
        <w:rPr>
          <w:sz w:val="24"/>
          <w:szCs w:val="24"/>
        </w:rPr>
        <w:t xml:space="preserve"> Voor wat betreft </w:t>
      </w:r>
      <w:r w:rsidR="000C2725" w:rsidRPr="00121A6A">
        <w:rPr>
          <w:sz w:val="24"/>
          <w:szCs w:val="24"/>
        </w:rPr>
        <w:t xml:space="preserve">het </w:t>
      </w:r>
      <w:r w:rsidR="00E54F60" w:rsidRPr="00121A6A">
        <w:rPr>
          <w:sz w:val="24"/>
          <w:szCs w:val="24"/>
        </w:rPr>
        <w:t xml:space="preserve">EER-recht </w:t>
      </w:r>
      <w:r w:rsidR="00E54F60" w:rsidRPr="00121A6A">
        <w:rPr>
          <w:sz w:val="24"/>
          <w:szCs w:val="24"/>
        </w:rPr>
        <w:lastRenderedPageBreak/>
        <w:t xml:space="preserve">ging het Hof evenwel ervan uit, althans in casu, dat het </w:t>
      </w:r>
      <w:r w:rsidR="00E54F60" w:rsidRPr="00121A6A">
        <w:rPr>
          <w:i/>
          <w:iCs/>
          <w:sz w:val="24"/>
          <w:szCs w:val="24"/>
        </w:rPr>
        <w:t>Bosphorus</w:t>
      </w:r>
      <w:r w:rsidR="00E54F60" w:rsidRPr="00121A6A">
        <w:rPr>
          <w:sz w:val="24"/>
          <w:szCs w:val="24"/>
        </w:rPr>
        <w:t xml:space="preserve">-vermoeden niet van toepassing </w:t>
      </w:r>
      <w:r w:rsidR="00ED44B7">
        <w:rPr>
          <w:sz w:val="24"/>
          <w:szCs w:val="24"/>
        </w:rPr>
        <w:t>was</w:t>
      </w:r>
      <w:r w:rsidR="00E54F60" w:rsidRPr="00121A6A">
        <w:rPr>
          <w:sz w:val="24"/>
          <w:szCs w:val="24"/>
        </w:rPr>
        <w:t>.</w:t>
      </w:r>
      <w:r w:rsidR="00AC6602" w:rsidRPr="00121A6A">
        <w:rPr>
          <w:rStyle w:val="FootnoteReference"/>
          <w:sz w:val="24"/>
          <w:szCs w:val="24"/>
        </w:rPr>
        <w:footnoteReference w:id="141"/>
      </w:r>
      <w:r w:rsidR="00E54F60" w:rsidRPr="00121A6A">
        <w:rPr>
          <w:sz w:val="24"/>
          <w:szCs w:val="24"/>
        </w:rPr>
        <w:t xml:space="preserve"> </w:t>
      </w:r>
      <w:r w:rsidR="000C2725" w:rsidRPr="00121A6A">
        <w:rPr>
          <w:sz w:val="24"/>
          <w:szCs w:val="24"/>
        </w:rPr>
        <w:t xml:space="preserve">Voor dit oordeel was van belang dat de specifieke kenmerken van het EER-recht, te weten de afwezigheid van directe werking en voorrang, zich onderscheiden van die van het EU-recht. </w:t>
      </w:r>
      <w:r w:rsidR="00E54F60" w:rsidRPr="00121A6A">
        <w:rPr>
          <w:sz w:val="24"/>
          <w:szCs w:val="24"/>
        </w:rPr>
        <w:t>Dit maakte een strikter en grondiger onderzoek naar de evenredigheid van de beperking van het stakingsrecht mogelijk</w:t>
      </w:r>
      <w:r w:rsidR="001A6767" w:rsidRPr="00121A6A">
        <w:rPr>
          <w:sz w:val="24"/>
          <w:szCs w:val="24"/>
        </w:rPr>
        <w:t xml:space="preserve">, waarbij de ‘gewone’ appreciatiemarge van </w:t>
      </w:r>
      <w:r w:rsidR="00C20B4B">
        <w:rPr>
          <w:sz w:val="24"/>
          <w:szCs w:val="24"/>
        </w:rPr>
        <w:t xml:space="preserve">de </w:t>
      </w:r>
      <w:r w:rsidR="001A6767" w:rsidRPr="00121A6A">
        <w:rPr>
          <w:sz w:val="24"/>
          <w:szCs w:val="24"/>
        </w:rPr>
        <w:t>lidstaten</w:t>
      </w:r>
      <w:r w:rsidR="00E27F42" w:rsidRPr="00121A6A">
        <w:rPr>
          <w:sz w:val="24"/>
          <w:szCs w:val="24"/>
        </w:rPr>
        <w:t xml:space="preserve"> –</w:t>
      </w:r>
      <w:r w:rsidR="001A6767" w:rsidRPr="00121A6A">
        <w:rPr>
          <w:sz w:val="24"/>
          <w:szCs w:val="24"/>
        </w:rPr>
        <w:t xml:space="preserve"> die</w:t>
      </w:r>
      <w:r w:rsidR="00AC6602" w:rsidRPr="00121A6A">
        <w:rPr>
          <w:sz w:val="24"/>
          <w:szCs w:val="24"/>
        </w:rPr>
        <w:t>,</w:t>
      </w:r>
      <w:r w:rsidR="001A6767" w:rsidRPr="00121A6A">
        <w:rPr>
          <w:sz w:val="24"/>
          <w:szCs w:val="24"/>
        </w:rPr>
        <w:t xml:space="preserve"> afhankelijk van diverse factoren </w:t>
      </w:r>
      <w:r w:rsidR="00EA5129" w:rsidRPr="00121A6A">
        <w:rPr>
          <w:sz w:val="24"/>
          <w:szCs w:val="24"/>
        </w:rPr>
        <w:t>(zie hiervoor)</w:t>
      </w:r>
      <w:r w:rsidR="00AC6602" w:rsidRPr="00121A6A">
        <w:rPr>
          <w:sz w:val="24"/>
          <w:szCs w:val="24"/>
        </w:rPr>
        <w:t>,</w:t>
      </w:r>
      <w:r w:rsidR="00EA5129" w:rsidRPr="00121A6A">
        <w:rPr>
          <w:sz w:val="24"/>
          <w:szCs w:val="24"/>
        </w:rPr>
        <w:t xml:space="preserve"> </w:t>
      </w:r>
      <w:r w:rsidR="001A6767" w:rsidRPr="00121A6A">
        <w:rPr>
          <w:sz w:val="24"/>
          <w:szCs w:val="24"/>
        </w:rPr>
        <w:t xml:space="preserve">ruimer of enger is </w:t>
      </w:r>
      <w:r w:rsidR="00E27F42" w:rsidRPr="00121A6A">
        <w:rPr>
          <w:sz w:val="24"/>
          <w:szCs w:val="24"/>
        </w:rPr>
        <w:t xml:space="preserve">– </w:t>
      </w:r>
      <w:r w:rsidR="009363CA">
        <w:rPr>
          <w:sz w:val="24"/>
          <w:szCs w:val="24"/>
        </w:rPr>
        <w:t xml:space="preserve">leidend </w:t>
      </w:r>
      <w:r w:rsidR="00C20B4B">
        <w:rPr>
          <w:sz w:val="24"/>
          <w:szCs w:val="24"/>
        </w:rPr>
        <w:t>was</w:t>
      </w:r>
      <w:r w:rsidR="00E54F60" w:rsidRPr="00121A6A">
        <w:rPr>
          <w:sz w:val="24"/>
          <w:szCs w:val="24"/>
        </w:rPr>
        <w:t>.</w:t>
      </w:r>
    </w:p>
    <w:p w14:paraId="2CAB6DF6" w14:textId="698C719E" w:rsidR="009D7238" w:rsidRPr="00121A6A" w:rsidRDefault="003155F2" w:rsidP="009D7238">
      <w:pPr>
        <w:spacing w:after="0"/>
        <w:ind w:firstLine="708"/>
        <w:jc w:val="both"/>
        <w:rPr>
          <w:sz w:val="24"/>
          <w:szCs w:val="24"/>
        </w:rPr>
      </w:pPr>
      <w:r w:rsidRPr="00121A6A">
        <w:rPr>
          <w:sz w:val="24"/>
          <w:szCs w:val="24"/>
        </w:rPr>
        <w:t>H</w:t>
      </w:r>
      <w:r w:rsidR="00435A77" w:rsidRPr="00121A6A">
        <w:rPr>
          <w:sz w:val="24"/>
          <w:szCs w:val="24"/>
        </w:rPr>
        <w:t xml:space="preserve">et EHRM </w:t>
      </w:r>
      <w:r w:rsidR="000560F0" w:rsidRPr="00121A6A">
        <w:rPr>
          <w:sz w:val="24"/>
          <w:szCs w:val="24"/>
        </w:rPr>
        <w:t xml:space="preserve">benadrukte in casu </w:t>
      </w:r>
      <w:r w:rsidR="00CA3C33" w:rsidRPr="00121A6A">
        <w:rPr>
          <w:sz w:val="24"/>
          <w:szCs w:val="24"/>
        </w:rPr>
        <w:t xml:space="preserve">de ruime beoordelingsmarge van </w:t>
      </w:r>
      <w:r w:rsidR="00C20B4B">
        <w:rPr>
          <w:sz w:val="24"/>
          <w:szCs w:val="24"/>
        </w:rPr>
        <w:t>de Noorse rechter</w:t>
      </w:r>
      <w:r w:rsidR="00A342F2">
        <w:rPr>
          <w:sz w:val="24"/>
          <w:szCs w:val="24"/>
        </w:rPr>
        <w:t>.</w:t>
      </w:r>
      <w:r w:rsidR="0055455A" w:rsidRPr="00121A6A">
        <w:rPr>
          <w:rStyle w:val="FootnoteReference"/>
          <w:sz w:val="24"/>
          <w:szCs w:val="24"/>
        </w:rPr>
        <w:footnoteReference w:id="142"/>
      </w:r>
      <w:r w:rsidR="00CA3C33" w:rsidRPr="00121A6A">
        <w:rPr>
          <w:sz w:val="24"/>
          <w:szCs w:val="24"/>
        </w:rPr>
        <w:t xml:space="preserve"> </w:t>
      </w:r>
      <w:r w:rsidR="00CF3FD7" w:rsidRPr="00121A6A">
        <w:rPr>
          <w:sz w:val="24"/>
          <w:szCs w:val="24"/>
        </w:rPr>
        <w:t xml:space="preserve">Gelet </w:t>
      </w:r>
      <w:r w:rsidR="000560F0" w:rsidRPr="00121A6A">
        <w:rPr>
          <w:sz w:val="24"/>
          <w:szCs w:val="24"/>
        </w:rPr>
        <w:t>daarop en</w:t>
      </w:r>
      <w:r w:rsidR="00004461" w:rsidRPr="00121A6A">
        <w:rPr>
          <w:sz w:val="24"/>
          <w:szCs w:val="24"/>
        </w:rPr>
        <w:t xml:space="preserve"> </w:t>
      </w:r>
      <w:r w:rsidR="00324763" w:rsidRPr="00121A6A">
        <w:rPr>
          <w:sz w:val="24"/>
          <w:szCs w:val="24"/>
        </w:rPr>
        <w:t xml:space="preserve">gezien </w:t>
      </w:r>
      <w:r w:rsidR="00004461" w:rsidRPr="00121A6A">
        <w:rPr>
          <w:sz w:val="24"/>
          <w:szCs w:val="24"/>
        </w:rPr>
        <w:t>het uitgebreide onderzoek dat had plaatsgevonden naar het vinden van een juist evenwicht tussen de conflicterende rechten,</w:t>
      </w:r>
      <w:r w:rsidR="00BE31AE" w:rsidRPr="00121A6A">
        <w:rPr>
          <w:sz w:val="24"/>
          <w:szCs w:val="24"/>
        </w:rPr>
        <w:t xml:space="preserve"> </w:t>
      </w:r>
      <w:r w:rsidR="00694E77" w:rsidRPr="00121A6A">
        <w:rPr>
          <w:sz w:val="24"/>
          <w:szCs w:val="24"/>
        </w:rPr>
        <w:t>sanctioneerde</w:t>
      </w:r>
      <w:r w:rsidR="00CF3FD7" w:rsidRPr="00121A6A">
        <w:rPr>
          <w:sz w:val="24"/>
          <w:szCs w:val="24"/>
        </w:rPr>
        <w:t xml:space="preserve"> het </w:t>
      </w:r>
      <w:r w:rsidR="005422FC" w:rsidRPr="00121A6A">
        <w:rPr>
          <w:sz w:val="24"/>
          <w:szCs w:val="24"/>
        </w:rPr>
        <w:t>Hof</w:t>
      </w:r>
      <w:r w:rsidR="00CF3FD7" w:rsidRPr="00121A6A">
        <w:rPr>
          <w:sz w:val="24"/>
          <w:szCs w:val="24"/>
        </w:rPr>
        <w:t xml:space="preserve"> </w:t>
      </w:r>
      <w:r w:rsidR="00004461" w:rsidRPr="00121A6A">
        <w:rPr>
          <w:sz w:val="24"/>
          <w:szCs w:val="24"/>
        </w:rPr>
        <w:t>de</w:t>
      </w:r>
      <w:r w:rsidR="00CF3FD7" w:rsidRPr="00121A6A">
        <w:rPr>
          <w:sz w:val="24"/>
          <w:szCs w:val="24"/>
        </w:rPr>
        <w:t xml:space="preserve"> </w:t>
      </w:r>
      <w:r w:rsidR="00C20B4B">
        <w:rPr>
          <w:sz w:val="24"/>
          <w:szCs w:val="24"/>
        </w:rPr>
        <w:t xml:space="preserve">Noorse </w:t>
      </w:r>
      <w:r w:rsidR="00CF3FD7" w:rsidRPr="00121A6A">
        <w:rPr>
          <w:sz w:val="24"/>
          <w:szCs w:val="24"/>
        </w:rPr>
        <w:t xml:space="preserve">uitspraak. Daarbij </w:t>
      </w:r>
      <w:r w:rsidR="00A42E55" w:rsidRPr="00121A6A">
        <w:rPr>
          <w:sz w:val="24"/>
          <w:szCs w:val="24"/>
        </w:rPr>
        <w:t>werd echter wel</w:t>
      </w:r>
      <w:r w:rsidR="002A7C48" w:rsidRPr="00121A6A">
        <w:rPr>
          <w:sz w:val="24"/>
          <w:szCs w:val="24"/>
        </w:rPr>
        <w:t xml:space="preserve"> bekritiseerd </w:t>
      </w:r>
      <w:r w:rsidR="00A42E55" w:rsidRPr="00121A6A">
        <w:rPr>
          <w:sz w:val="24"/>
          <w:szCs w:val="24"/>
        </w:rPr>
        <w:t xml:space="preserve">dat het Hooggerechtshof de aan hem voorgelegde zaak niet strikt had benaderd vanuit het oogpunt van de evenredigheid van de beperking van de vakbondsrechten uit hoofde van artikel 11 EVRM, maar zich grotendeels had geconcentreerd op de gevolgen van de boycot voor </w:t>
      </w:r>
      <w:proofErr w:type="spellStart"/>
      <w:r w:rsidR="00A42E55" w:rsidRPr="00121A6A">
        <w:rPr>
          <w:i/>
          <w:iCs/>
          <w:sz w:val="24"/>
          <w:szCs w:val="24"/>
        </w:rPr>
        <w:t>Holships</w:t>
      </w:r>
      <w:proofErr w:type="spellEnd"/>
      <w:r w:rsidR="00A42E55" w:rsidRPr="00121A6A">
        <w:rPr>
          <w:sz w:val="24"/>
          <w:szCs w:val="24"/>
        </w:rPr>
        <w:t xml:space="preserve"> vestigingsvrijheid. Volgens het EHRM </w:t>
      </w:r>
      <w:r w:rsidR="00E14750" w:rsidRPr="00121A6A">
        <w:rPr>
          <w:sz w:val="24"/>
          <w:szCs w:val="24"/>
        </w:rPr>
        <w:t>‘</w:t>
      </w:r>
      <w:r w:rsidR="00A42E55" w:rsidRPr="00121A6A">
        <w:rPr>
          <w:i/>
          <w:iCs/>
          <w:sz w:val="24"/>
          <w:szCs w:val="24"/>
        </w:rPr>
        <w:t>moet e</w:t>
      </w:r>
      <w:r w:rsidR="00CF3FD7" w:rsidRPr="00121A6A">
        <w:rPr>
          <w:i/>
          <w:iCs/>
          <w:sz w:val="24"/>
          <w:szCs w:val="24"/>
        </w:rPr>
        <w:t xml:space="preserve">en collectieve actie </w:t>
      </w:r>
      <w:r w:rsidR="00A42E55" w:rsidRPr="00121A6A">
        <w:rPr>
          <w:i/>
          <w:iCs/>
          <w:sz w:val="24"/>
          <w:szCs w:val="24"/>
        </w:rPr>
        <w:t>onder omstandigheden echter</w:t>
      </w:r>
      <w:r w:rsidR="00CF3FD7" w:rsidRPr="00121A6A">
        <w:rPr>
          <w:i/>
          <w:iCs/>
          <w:sz w:val="24"/>
          <w:szCs w:val="24"/>
        </w:rPr>
        <w:t xml:space="preserve"> ingrijpen in de </w:t>
      </w:r>
      <w:r w:rsidR="008A4A44" w:rsidRPr="00121A6A">
        <w:rPr>
          <w:i/>
          <w:iCs/>
          <w:sz w:val="24"/>
          <w:szCs w:val="24"/>
        </w:rPr>
        <w:t>interne markt</w:t>
      </w:r>
      <w:r w:rsidR="00CF3FD7" w:rsidRPr="00121A6A">
        <w:rPr>
          <w:i/>
          <w:iCs/>
          <w:sz w:val="24"/>
          <w:szCs w:val="24"/>
        </w:rPr>
        <w:t xml:space="preserve">vrijheden om haar doel te bereiken. </w:t>
      </w:r>
      <w:r w:rsidR="00E2400C" w:rsidRPr="00121A6A">
        <w:rPr>
          <w:i/>
          <w:iCs/>
          <w:sz w:val="24"/>
          <w:szCs w:val="24"/>
        </w:rPr>
        <w:t>De</w:t>
      </w:r>
      <w:r w:rsidR="00CF3FD7" w:rsidRPr="00121A6A">
        <w:rPr>
          <w:i/>
          <w:iCs/>
          <w:sz w:val="24"/>
          <w:szCs w:val="24"/>
        </w:rPr>
        <w:t xml:space="preserve"> mate waarin een </w:t>
      </w:r>
      <w:r w:rsidR="004851DB" w:rsidRPr="00121A6A">
        <w:rPr>
          <w:i/>
          <w:iCs/>
          <w:sz w:val="24"/>
          <w:szCs w:val="24"/>
        </w:rPr>
        <w:t>stakings</w:t>
      </w:r>
      <w:r w:rsidR="00CF3FD7" w:rsidRPr="00121A6A">
        <w:rPr>
          <w:i/>
          <w:iCs/>
          <w:sz w:val="24"/>
          <w:szCs w:val="24"/>
        </w:rPr>
        <w:t>actie economische gevolgen dreigt te hebben</w:t>
      </w:r>
      <w:r w:rsidR="00E2400C" w:rsidRPr="00121A6A">
        <w:rPr>
          <w:i/>
          <w:iCs/>
          <w:sz w:val="24"/>
          <w:szCs w:val="24"/>
        </w:rPr>
        <w:t>, kan dan ook</w:t>
      </w:r>
      <w:r w:rsidR="00CF3FD7" w:rsidRPr="00121A6A">
        <w:rPr>
          <w:i/>
          <w:iCs/>
          <w:sz w:val="24"/>
          <w:szCs w:val="24"/>
        </w:rPr>
        <w:t xml:space="preserve"> op zichzelf geen doorslaggevende overweging zijn bij de analyse van de evenredigheid</w:t>
      </w:r>
      <w:r w:rsidR="00036FAA" w:rsidRPr="00121A6A">
        <w:rPr>
          <w:i/>
          <w:iCs/>
          <w:sz w:val="24"/>
          <w:szCs w:val="24"/>
        </w:rPr>
        <w:t>.</w:t>
      </w:r>
      <w:r w:rsidR="00E14750" w:rsidRPr="00121A6A">
        <w:rPr>
          <w:sz w:val="24"/>
          <w:szCs w:val="24"/>
        </w:rPr>
        <w:t>’</w:t>
      </w:r>
      <w:r w:rsidR="00A42E55" w:rsidRPr="00121A6A">
        <w:rPr>
          <w:rStyle w:val="FootnoteReference"/>
          <w:sz w:val="24"/>
          <w:szCs w:val="24"/>
        </w:rPr>
        <w:footnoteReference w:id="143"/>
      </w:r>
      <w:r w:rsidR="00036FAA" w:rsidRPr="00121A6A">
        <w:rPr>
          <w:sz w:val="24"/>
          <w:szCs w:val="24"/>
        </w:rPr>
        <w:t xml:space="preserve"> Vanuit het oogpunt van artikel 11 EVRM is</w:t>
      </w:r>
      <w:r w:rsidR="00E14750" w:rsidRPr="00121A6A">
        <w:rPr>
          <w:sz w:val="24"/>
          <w:szCs w:val="24"/>
        </w:rPr>
        <w:t xml:space="preserve"> </w:t>
      </w:r>
      <w:r w:rsidR="00036FAA" w:rsidRPr="00121A6A">
        <w:rPr>
          <w:sz w:val="24"/>
          <w:szCs w:val="24"/>
        </w:rPr>
        <w:t>de vestigingsvrijheid</w:t>
      </w:r>
      <w:r w:rsidR="00E14750" w:rsidRPr="00121A6A">
        <w:rPr>
          <w:sz w:val="24"/>
          <w:szCs w:val="24"/>
        </w:rPr>
        <w:t>, aldus het Hof,</w:t>
      </w:r>
      <w:r w:rsidR="00036FAA" w:rsidRPr="00121A6A">
        <w:rPr>
          <w:sz w:val="24"/>
          <w:szCs w:val="24"/>
        </w:rPr>
        <w:t xml:space="preserve"> </w:t>
      </w:r>
      <w:r w:rsidR="00E14750" w:rsidRPr="00121A6A">
        <w:rPr>
          <w:sz w:val="24"/>
          <w:szCs w:val="24"/>
        </w:rPr>
        <w:t>‘</w:t>
      </w:r>
      <w:r w:rsidR="00036FAA" w:rsidRPr="00121A6A">
        <w:rPr>
          <w:i/>
          <w:iCs/>
          <w:sz w:val="24"/>
          <w:szCs w:val="24"/>
        </w:rPr>
        <w:t>geen</w:t>
      </w:r>
      <w:r w:rsidR="00AE2AE7" w:rsidRPr="00121A6A">
        <w:rPr>
          <w:i/>
          <w:iCs/>
          <w:sz w:val="24"/>
          <w:szCs w:val="24"/>
        </w:rPr>
        <w:t xml:space="preserve"> </w:t>
      </w:r>
      <w:r w:rsidR="00495824" w:rsidRPr="00121A6A">
        <w:rPr>
          <w:i/>
          <w:iCs/>
          <w:sz w:val="24"/>
          <w:szCs w:val="24"/>
        </w:rPr>
        <w:t xml:space="preserve">fundamenteel </w:t>
      </w:r>
      <w:r w:rsidR="00036FAA" w:rsidRPr="00121A6A">
        <w:rPr>
          <w:i/>
          <w:iCs/>
          <w:sz w:val="24"/>
          <w:szCs w:val="24"/>
        </w:rPr>
        <w:t xml:space="preserve">tegenwicht voor het grondrecht </w:t>
      </w:r>
      <w:r w:rsidR="00990D9B" w:rsidRPr="00121A6A">
        <w:rPr>
          <w:i/>
          <w:iCs/>
          <w:sz w:val="24"/>
          <w:szCs w:val="24"/>
        </w:rPr>
        <w:t>op</w:t>
      </w:r>
      <w:r w:rsidR="00036FAA" w:rsidRPr="00121A6A">
        <w:rPr>
          <w:i/>
          <w:iCs/>
          <w:sz w:val="24"/>
          <w:szCs w:val="24"/>
        </w:rPr>
        <w:t xml:space="preserve"> vrijheid van </w:t>
      </w:r>
      <w:r w:rsidR="00990D9B" w:rsidRPr="00121A6A">
        <w:rPr>
          <w:i/>
          <w:iCs/>
          <w:sz w:val="24"/>
          <w:szCs w:val="24"/>
        </w:rPr>
        <w:t>(vak)</w:t>
      </w:r>
      <w:r w:rsidR="00036FAA" w:rsidRPr="00121A6A">
        <w:rPr>
          <w:i/>
          <w:iCs/>
          <w:sz w:val="24"/>
          <w:szCs w:val="24"/>
        </w:rPr>
        <w:t xml:space="preserve">vereniging, maar veeleer een </w:t>
      </w:r>
      <w:r w:rsidR="00990D9B" w:rsidRPr="00121A6A">
        <w:rPr>
          <w:i/>
          <w:iCs/>
          <w:sz w:val="24"/>
          <w:szCs w:val="24"/>
        </w:rPr>
        <w:t>gezichtspunt</w:t>
      </w:r>
      <w:r w:rsidR="00036FAA" w:rsidRPr="00121A6A">
        <w:rPr>
          <w:i/>
          <w:iCs/>
          <w:sz w:val="24"/>
          <w:szCs w:val="24"/>
        </w:rPr>
        <w:t xml:space="preserve">, zij het </w:t>
      </w:r>
      <w:r w:rsidR="00990D9B" w:rsidRPr="00121A6A">
        <w:rPr>
          <w:i/>
          <w:iCs/>
          <w:sz w:val="24"/>
          <w:szCs w:val="24"/>
        </w:rPr>
        <w:t>belangrijk</w:t>
      </w:r>
      <w:r w:rsidR="00036FAA" w:rsidRPr="00121A6A">
        <w:rPr>
          <w:i/>
          <w:iCs/>
          <w:sz w:val="24"/>
          <w:szCs w:val="24"/>
        </w:rPr>
        <w:t xml:space="preserve">, </w:t>
      </w:r>
      <w:r w:rsidR="00990D9B" w:rsidRPr="00121A6A">
        <w:rPr>
          <w:i/>
          <w:iCs/>
          <w:sz w:val="24"/>
          <w:szCs w:val="24"/>
        </w:rPr>
        <w:t>dat in acht</w:t>
      </w:r>
      <w:r w:rsidR="00036FAA" w:rsidRPr="00121A6A">
        <w:rPr>
          <w:i/>
          <w:iCs/>
          <w:sz w:val="24"/>
          <w:szCs w:val="24"/>
        </w:rPr>
        <w:t xml:space="preserve"> moet worden </w:t>
      </w:r>
      <w:r w:rsidR="00990D9B" w:rsidRPr="00121A6A">
        <w:rPr>
          <w:i/>
          <w:iCs/>
          <w:sz w:val="24"/>
          <w:szCs w:val="24"/>
        </w:rPr>
        <w:t>genomen</w:t>
      </w:r>
      <w:r w:rsidR="00036FAA" w:rsidRPr="00121A6A">
        <w:rPr>
          <w:i/>
          <w:iCs/>
          <w:sz w:val="24"/>
          <w:szCs w:val="24"/>
        </w:rPr>
        <w:t xml:space="preserve"> bij de </w:t>
      </w:r>
      <w:r w:rsidR="00990D9B" w:rsidRPr="00121A6A">
        <w:rPr>
          <w:i/>
          <w:iCs/>
          <w:sz w:val="24"/>
          <w:szCs w:val="24"/>
        </w:rPr>
        <w:t>proportionaliteitstoets</w:t>
      </w:r>
      <w:r w:rsidR="00036FAA" w:rsidRPr="00121A6A">
        <w:rPr>
          <w:i/>
          <w:iCs/>
          <w:sz w:val="24"/>
          <w:szCs w:val="24"/>
        </w:rPr>
        <w:t>.</w:t>
      </w:r>
      <w:r w:rsidR="005422FC" w:rsidRPr="00121A6A">
        <w:rPr>
          <w:sz w:val="24"/>
          <w:szCs w:val="24"/>
        </w:rPr>
        <w:t>’</w:t>
      </w:r>
    </w:p>
    <w:p w14:paraId="6892519D" w14:textId="10680BE0" w:rsidR="006678D9" w:rsidRPr="00121A6A" w:rsidRDefault="00DF14A9" w:rsidP="009D7238">
      <w:pPr>
        <w:spacing w:after="0"/>
        <w:ind w:firstLine="708"/>
        <w:jc w:val="both"/>
        <w:rPr>
          <w:sz w:val="24"/>
          <w:szCs w:val="24"/>
        </w:rPr>
      </w:pPr>
      <w:r>
        <w:rPr>
          <w:sz w:val="24"/>
          <w:szCs w:val="24"/>
        </w:rPr>
        <w:t>Met d</w:t>
      </w:r>
      <w:r w:rsidR="006D213B">
        <w:rPr>
          <w:sz w:val="24"/>
          <w:szCs w:val="24"/>
        </w:rPr>
        <w:t xml:space="preserve">eze overweging </w:t>
      </w:r>
      <w:r>
        <w:rPr>
          <w:sz w:val="24"/>
          <w:szCs w:val="24"/>
        </w:rPr>
        <w:t xml:space="preserve">wordt </w:t>
      </w:r>
      <w:r w:rsidR="006D213B">
        <w:rPr>
          <w:sz w:val="24"/>
          <w:szCs w:val="24"/>
        </w:rPr>
        <w:t xml:space="preserve">een duidelijk contrast </w:t>
      </w:r>
      <w:r>
        <w:rPr>
          <w:sz w:val="24"/>
          <w:szCs w:val="24"/>
        </w:rPr>
        <w:t>zichtbaar</w:t>
      </w:r>
      <w:r w:rsidR="009742DE" w:rsidRPr="00121A6A">
        <w:rPr>
          <w:sz w:val="24"/>
          <w:szCs w:val="24"/>
        </w:rPr>
        <w:t xml:space="preserve"> tussen het stakingsrecht </w:t>
      </w:r>
      <w:r w:rsidR="00E35E31" w:rsidRPr="00121A6A">
        <w:rPr>
          <w:sz w:val="24"/>
          <w:szCs w:val="24"/>
        </w:rPr>
        <w:t>van artikel 28 Hv</w:t>
      </w:r>
      <w:r w:rsidR="003D3C3C">
        <w:rPr>
          <w:sz w:val="24"/>
          <w:szCs w:val="24"/>
        </w:rPr>
        <w:t xml:space="preserve"> en</w:t>
      </w:r>
      <w:r w:rsidR="003150EC">
        <w:rPr>
          <w:sz w:val="24"/>
          <w:szCs w:val="24"/>
        </w:rPr>
        <w:t xml:space="preserve"> van </w:t>
      </w:r>
      <w:r w:rsidR="003D3C3C">
        <w:rPr>
          <w:sz w:val="24"/>
          <w:szCs w:val="24"/>
        </w:rPr>
        <w:t>artikel 11 EVRM</w:t>
      </w:r>
      <w:r w:rsidR="00C20B4B">
        <w:rPr>
          <w:sz w:val="24"/>
          <w:szCs w:val="24"/>
        </w:rPr>
        <w:t>.</w:t>
      </w:r>
      <w:r w:rsidR="00650816" w:rsidRPr="00121A6A">
        <w:rPr>
          <w:sz w:val="24"/>
          <w:szCs w:val="24"/>
        </w:rPr>
        <w:t xml:space="preserve"> </w:t>
      </w:r>
      <w:r w:rsidR="00C20B4B">
        <w:rPr>
          <w:sz w:val="24"/>
          <w:szCs w:val="24"/>
        </w:rPr>
        <w:t>Z</w:t>
      </w:r>
      <w:r w:rsidR="0074542C" w:rsidRPr="00121A6A">
        <w:rPr>
          <w:sz w:val="24"/>
          <w:szCs w:val="24"/>
        </w:rPr>
        <w:t>elfs de door het</w:t>
      </w:r>
      <w:r w:rsidR="003D3C3C">
        <w:rPr>
          <w:sz w:val="24"/>
          <w:szCs w:val="24"/>
        </w:rPr>
        <w:t xml:space="preserve"> Noorse</w:t>
      </w:r>
      <w:r w:rsidR="0074542C" w:rsidRPr="00121A6A">
        <w:rPr>
          <w:sz w:val="24"/>
          <w:szCs w:val="24"/>
        </w:rPr>
        <w:t xml:space="preserve"> Hooggerechtshof aangelegde ‘dubbele proportionaliteitstoets’ (par. 2.2) is </w:t>
      </w:r>
      <w:r w:rsidR="003E6155" w:rsidRPr="00121A6A">
        <w:rPr>
          <w:sz w:val="24"/>
          <w:szCs w:val="24"/>
        </w:rPr>
        <w:t>volgens het</w:t>
      </w:r>
      <w:r w:rsidR="0074542C" w:rsidRPr="00121A6A">
        <w:rPr>
          <w:sz w:val="24"/>
          <w:szCs w:val="24"/>
        </w:rPr>
        <w:t xml:space="preserve"> </w:t>
      </w:r>
      <w:r w:rsidR="003E6155" w:rsidRPr="00121A6A">
        <w:rPr>
          <w:sz w:val="24"/>
          <w:szCs w:val="24"/>
        </w:rPr>
        <w:t xml:space="preserve">EHRM </w:t>
      </w:r>
      <w:r w:rsidR="0074542C" w:rsidRPr="00121A6A">
        <w:rPr>
          <w:sz w:val="24"/>
          <w:szCs w:val="24"/>
        </w:rPr>
        <w:t xml:space="preserve">in beginsel onvoldoende, omdat mensenrechten </w:t>
      </w:r>
      <w:r w:rsidR="003E6155" w:rsidRPr="00121A6A">
        <w:rPr>
          <w:sz w:val="24"/>
          <w:szCs w:val="24"/>
        </w:rPr>
        <w:t>onder het</w:t>
      </w:r>
      <w:r w:rsidR="0074542C" w:rsidRPr="00121A6A">
        <w:rPr>
          <w:sz w:val="24"/>
          <w:szCs w:val="24"/>
        </w:rPr>
        <w:t xml:space="preserve"> </w:t>
      </w:r>
      <w:r w:rsidR="003E6155" w:rsidRPr="00121A6A">
        <w:rPr>
          <w:sz w:val="24"/>
          <w:szCs w:val="24"/>
        </w:rPr>
        <w:t xml:space="preserve">EVRM </w:t>
      </w:r>
      <w:r w:rsidR="0074542C" w:rsidRPr="00121A6A">
        <w:rPr>
          <w:sz w:val="24"/>
          <w:szCs w:val="24"/>
        </w:rPr>
        <w:t xml:space="preserve">een hogere rang hebben dan verkeersvrijheden. Precies dat is, mede in het licht van de totstandkomingsgeschiedenis en </w:t>
      </w:r>
      <w:r w:rsidR="00C20B4B">
        <w:rPr>
          <w:sz w:val="24"/>
          <w:szCs w:val="24"/>
        </w:rPr>
        <w:t xml:space="preserve">de </w:t>
      </w:r>
      <w:r w:rsidR="0074542C" w:rsidRPr="00121A6A">
        <w:rPr>
          <w:sz w:val="24"/>
          <w:szCs w:val="24"/>
        </w:rPr>
        <w:t xml:space="preserve">economische grondslagen van de EU (par. 1.2), </w:t>
      </w:r>
      <w:r w:rsidR="003E6155" w:rsidRPr="00121A6A">
        <w:rPr>
          <w:sz w:val="24"/>
          <w:szCs w:val="24"/>
        </w:rPr>
        <w:t>een</w:t>
      </w:r>
      <w:r w:rsidR="0074542C" w:rsidRPr="00121A6A">
        <w:rPr>
          <w:sz w:val="24"/>
          <w:szCs w:val="24"/>
        </w:rPr>
        <w:t xml:space="preserve"> heikel</w:t>
      </w:r>
      <w:r w:rsidR="003E6155" w:rsidRPr="00121A6A">
        <w:rPr>
          <w:sz w:val="24"/>
          <w:szCs w:val="24"/>
        </w:rPr>
        <w:t xml:space="preserve"> </w:t>
      </w:r>
      <w:r w:rsidR="0074542C" w:rsidRPr="00121A6A">
        <w:rPr>
          <w:sz w:val="24"/>
          <w:szCs w:val="24"/>
        </w:rPr>
        <w:t>punt voor het HvJ</w:t>
      </w:r>
      <w:r w:rsidR="00C20B4B">
        <w:rPr>
          <w:sz w:val="24"/>
          <w:szCs w:val="24"/>
        </w:rPr>
        <w:t>.</w:t>
      </w:r>
      <w:r w:rsidR="0074542C" w:rsidRPr="00121A6A">
        <w:rPr>
          <w:sz w:val="24"/>
          <w:szCs w:val="24"/>
        </w:rPr>
        <w:t xml:space="preserve"> </w:t>
      </w:r>
      <w:r w:rsidR="00C20B4B">
        <w:rPr>
          <w:sz w:val="24"/>
          <w:szCs w:val="24"/>
        </w:rPr>
        <w:t>I</w:t>
      </w:r>
      <w:r w:rsidR="0074542C" w:rsidRPr="00121A6A">
        <w:rPr>
          <w:sz w:val="24"/>
          <w:szCs w:val="24"/>
        </w:rPr>
        <w:t>n het EU-recht</w:t>
      </w:r>
      <w:r w:rsidR="00993196" w:rsidRPr="00121A6A">
        <w:rPr>
          <w:sz w:val="24"/>
          <w:szCs w:val="24"/>
        </w:rPr>
        <w:t xml:space="preserve"> </w:t>
      </w:r>
      <w:r w:rsidR="00424AAA">
        <w:rPr>
          <w:sz w:val="24"/>
          <w:szCs w:val="24"/>
        </w:rPr>
        <w:t xml:space="preserve">wordt </w:t>
      </w:r>
      <w:r w:rsidR="00993196" w:rsidRPr="00121A6A">
        <w:rPr>
          <w:sz w:val="24"/>
          <w:szCs w:val="24"/>
        </w:rPr>
        <w:t>via</w:t>
      </w:r>
      <w:r w:rsidR="002F617A" w:rsidRPr="00121A6A">
        <w:rPr>
          <w:sz w:val="24"/>
          <w:szCs w:val="24"/>
        </w:rPr>
        <w:t xml:space="preserve"> het </w:t>
      </w:r>
      <w:r w:rsidR="006C71B8" w:rsidRPr="00121A6A">
        <w:rPr>
          <w:sz w:val="24"/>
          <w:szCs w:val="24"/>
        </w:rPr>
        <w:t xml:space="preserve">vrij verkeer </w:t>
      </w:r>
      <w:r w:rsidR="00993196" w:rsidRPr="00121A6A">
        <w:rPr>
          <w:sz w:val="24"/>
          <w:szCs w:val="24"/>
        </w:rPr>
        <w:t xml:space="preserve">uitgekomen bij </w:t>
      </w:r>
      <w:r w:rsidR="00893B1A" w:rsidRPr="00121A6A">
        <w:rPr>
          <w:sz w:val="24"/>
          <w:szCs w:val="24"/>
        </w:rPr>
        <w:t>artikel</w:t>
      </w:r>
      <w:r w:rsidR="00993196" w:rsidRPr="00121A6A">
        <w:rPr>
          <w:sz w:val="24"/>
          <w:szCs w:val="24"/>
        </w:rPr>
        <w:t xml:space="preserve"> </w:t>
      </w:r>
      <w:r w:rsidR="00893B1A" w:rsidRPr="00121A6A">
        <w:rPr>
          <w:sz w:val="24"/>
          <w:szCs w:val="24"/>
        </w:rPr>
        <w:t xml:space="preserve">28 Hv </w:t>
      </w:r>
      <w:r w:rsidR="00993196" w:rsidRPr="00121A6A">
        <w:rPr>
          <w:sz w:val="24"/>
          <w:szCs w:val="24"/>
        </w:rPr>
        <w:t xml:space="preserve">en </w:t>
      </w:r>
      <w:r w:rsidR="0074542C" w:rsidRPr="00121A6A">
        <w:rPr>
          <w:sz w:val="24"/>
          <w:szCs w:val="24"/>
        </w:rPr>
        <w:t>dien</w:t>
      </w:r>
      <w:r w:rsidR="003E6155" w:rsidRPr="00121A6A">
        <w:rPr>
          <w:sz w:val="24"/>
          <w:szCs w:val="24"/>
        </w:rPr>
        <w:t xml:space="preserve">en </w:t>
      </w:r>
      <w:r w:rsidR="00C20B4B">
        <w:rPr>
          <w:sz w:val="24"/>
          <w:szCs w:val="24"/>
        </w:rPr>
        <w:t xml:space="preserve">de </w:t>
      </w:r>
      <w:r w:rsidR="006D5677">
        <w:rPr>
          <w:sz w:val="24"/>
          <w:szCs w:val="24"/>
        </w:rPr>
        <w:t>markt</w:t>
      </w:r>
      <w:r w:rsidR="003E6155" w:rsidRPr="00121A6A">
        <w:rPr>
          <w:sz w:val="24"/>
          <w:szCs w:val="24"/>
        </w:rPr>
        <w:t>vrijheden</w:t>
      </w:r>
      <w:r w:rsidR="00993196" w:rsidRPr="00121A6A">
        <w:rPr>
          <w:sz w:val="24"/>
          <w:szCs w:val="24"/>
        </w:rPr>
        <w:t xml:space="preserve"> (derhalve) </w:t>
      </w:r>
      <w:r w:rsidR="002F617A" w:rsidRPr="00121A6A">
        <w:rPr>
          <w:sz w:val="24"/>
          <w:szCs w:val="24"/>
        </w:rPr>
        <w:t>als</w:t>
      </w:r>
      <w:r w:rsidR="006C71B8" w:rsidRPr="00121A6A">
        <w:rPr>
          <w:sz w:val="24"/>
          <w:szCs w:val="24"/>
        </w:rPr>
        <w:t xml:space="preserve"> uitgangspunt van toetsing</w:t>
      </w:r>
      <w:r w:rsidR="0074542C" w:rsidRPr="00121A6A">
        <w:rPr>
          <w:sz w:val="24"/>
          <w:szCs w:val="24"/>
        </w:rPr>
        <w:t>.</w:t>
      </w:r>
      <w:r w:rsidR="00650816" w:rsidRPr="00121A6A">
        <w:rPr>
          <w:sz w:val="24"/>
          <w:szCs w:val="24"/>
        </w:rPr>
        <w:t xml:space="preserve"> </w:t>
      </w:r>
      <w:r w:rsidR="00664ACE">
        <w:rPr>
          <w:sz w:val="24"/>
          <w:szCs w:val="24"/>
        </w:rPr>
        <w:t>Hierdoor</w:t>
      </w:r>
      <w:r w:rsidR="006D5677">
        <w:rPr>
          <w:sz w:val="24"/>
          <w:szCs w:val="24"/>
        </w:rPr>
        <w:t xml:space="preserve"> genieten verkeers</w:t>
      </w:r>
      <w:r w:rsidR="006C71B8" w:rsidRPr="00121A6A">
        <w:rPr>
          <w:sz w:val="24"/>
          <w:szCs w:val="24"/>
        </w:rPr>
        <w:t xml:space="preserve">vrijheden ten opzichte van collectieve arbeidsrechten </w:t>
      </w:r>
      <w:r w:rsidR="00650816" w:rsidRPr="00121A6A">
        <w:rPr>
          <w:sz w:val="24"/>
          <w:szCs w:val="24"/>
        </w:rPr>
        <w:t>een voorkeurspositie</w:t>
      </w:r>
      <w:r w:rsidR="006C71B8" w:rsidRPr="00121A6A">
        <w:rPr>
          <w:sz w:val="24"/>
          <w:szCs w:val="24"/>
        </w:rPr>
        <w:t>.</w:t>
      </w:r>
      <w:r w:rsidR="00CF567F" w:rsidRPr="00121A6A">
        <w:rPr>
          <w:rStyle w:val="FootnoteReference"/>
          <w:sz w:val="24"/>
          <w:szCs w:val="24"/>
        </w:rPr>
        <w:footnoteReference w:id="144"/>
      </w:r>
      <w:r w:rsidR="003F7FAC" w:rsidRPr="00121A6A">
        <w:rPr>
          <w:sz w:val="24"/>
          <w:szCs w:val="24"/>
        </w:rPr>
        <w:t xml:space="preserve"> </w:t>
      </w:r>
      <w:r w:rsidR="002F617A" w:rsidRPr="00121A6A">
        <w:rPr>
          <w:sz w:val="24"/>
          <w:szCs w:val="24"/>
        </w:rPr>
        <w:t>Niet alleen voor het EHRM, maar ook voor</w:t>
      </w:r>
      <w:r w:rsidR="008B68AC" w:rsidRPr="00121A6A">
        <w:rPr>
          <w:sz w:val="24"/>
          <w:szCs w:val="24"/>
        </w:rPr>
        <w:t xml:space="preserve"> </w:t>
      </w:r>
      <w:r w:rsidR="00736390" w:rsidRPr="00121A6A">
        <w:rPr>
          <w:sz w:val="24"/>
          <w:szCs w:val="24"/>
        </w:rPr>
        <w:t xml:space="preserve">de </w:t>
      </w:r>
      <w:proofErr w:type="spellStart"/>
      <w:r w:rsidR="00736390" w:rsidRPr="00121A6A">
        <w:rPr>
          <w:sz w:val="24"/>
          <w:szCs w:val="24"/>
        </w:rPr>
        <w:t>CoE</w:t>
      </w:r>
      <w:proofErr w:type="spellEnd"/>
      <w:r w:rsidR="002F617A" w:rsidRPr="00121A6A">
        <w:rPr>
          <w:sz w:val="24"/>
          <w:szCs w:val="24"/>
        </w:rPr>
        <w:t xml:space="preserve"> </w:t>
      </w:r>
      <w:r w:rsidR="00D1504E" w:rsidRPr="00121A6A">
        <w:rPr>
          <w:sz w:val="24"/>
          <w:szCs w:val="24"/>
        </w:rPr>
        <w:t xml:space="preserve">en het ECSR </w:t>
      </w:r>
      <w:r w:rsidR="002F617A" w:rsidRPr="00121A6A">
        <w:rPr>
          <w:sz w:val="24"/>
          <w:szCs w:val="24"/>
        </w:rPr>
        <w:t>is dit onaanvaardbaar.</w:t>
      </w:r>
      <w:r w:rsidR="00846C2A" w:rsidRPr="00121A6A">
        <w:rPr>
          <w:sz w:val="24"/>
          <w:szCs w:val="24"/>
        </w:rPr>
        <w:t xml:space="preserve"> </w:t>
      </w:r>
      <w:r w:rsidR="002F617A" w:rsidRPr="00121A6A">
        <w:rPr>
          <w:sz w:val="24"/>
          <w:szCs w:val="24"/>
        </w:rPr>
        <w:t>B</w:t>
      </w:r>
      <w:r w:rsidR="001F2E15" w:rsidRPr="00121A6A">
        <w:rPr>
          <w:sz w:val="24"/>
          <w:szCs w:val="24"/>
        </w:rPr>
        <w:t xml:space="preserve">lijkens </w:t>
      </w:r>
      <w:r w:rsidR="001F2E15" w:rsidRPr="00121A6A">
        <w:rPr>
          <w:sz w:val="24"/>
          <w:szCs w:val="24"/>
        </w:rPr>
        <w:lastRenderedPageBreak/>
        <w:t xml:space="preserve">het navolgende </w:t>
      </w:r>
      <w:r w:rsidR="00846C2A" w:rsidRPr="00121A6A">
        <w:rPr>
          <w:sz w:val="24"/>
          <w:szCs w:val="24"/>
        </w:rPr>
        <w:t xml:space="preserve">zijn </w:t>
      </w:r>
      <w:r w:rsidR="002F617A" w:rsidRPr="00121A6A">
        <w:rPr>
          <w:sz w:val="24"/>
          <w:szCs w:val="24"/>
        </w:rPr>
        <w:t xml:space="preserve">beide Comités (nog) uitgesprokener </w:t>
      </w:r>
      <w:r w:rsidR="00846C2A" w:rsidRPr="00121A6A">
        <w:rPr>
          <w:sz w:val="24"/>
          <w:szCs w:val="24"/>
        </w:rPr>
        <w:t xml:space="preserve">over de onverenigbaarheid van </w:t>
      </w:r>
      <w:r w:rsidR="00F670FD" w:rsidRPr="00121A6A">
        <w:rPr>
          <w:sz w:val="24"/>
          <w:szCs w:val="24"/>
        </w:rPr>
        <w:t>het</w:t>
      </w:r>
      <w:r w:rsidR="007C35F4" w:rsidRPr="00121A6A">
        <w:rPr>
          <w:sz w:val="24"/>
          <w:szCs w:val="24"/>
        </w:rPr>
        <w:t xml:space="preserve"> </w:t>
      </w:r>
      <w:r w:rsidR="00846C2A" w:rsidRPr="00121A6A">
        <w:rPr>
          <w:i/>
          <w:iCs/>
          <w:sz w:val="24"/>
          <w:szCs w:val="24"/>
        </w:rPr>
        <w:t>Viking</w:t>
      </w:r>
      <w:r w:rsidR="00D1504E" w:rsidRPr="00121A6A">
        <w:rPr>
          <w:sz w:val="24"/>
          <w:szCs w:val="24"/>
        </w:rPr>
        <w:t>-</w:t>
      </w:r>
      <w:r w:rsidR="00846C2A" w:rsidRPr="00121A6A">
        <w:rPr>
          <w:sz w:val="24"/>
          <w:szCs w:val="24"/>
        </w:rPr>
        <w:t xml:space="preserve"> en </w:t>
      </w:r>
      <w:r w:rsidR="00846C2A" w:rsidRPr="00121A6A">
        <w:rPr>
          <w:i/>
          <w:iCs/>
          <w:sz w:val="24"/>
          <w:szCs w:val="24"/>
        </w:rPr>
        <w:t>Laval</w:t>
      </w:r>
      <w:r w:rsidR="00D1504E" w:rsidRPr="00121A6A">
        <w:rPr>
          <w:sz w:val="24"/>
          <w:szCs w:val="24"/>
        </w:rPr>
        <w:t>-kader</w:t>
      </w:r>
      <w:r w:rsidR="00846C2A" w:rsidRPr="00121A6A">
        <w:rPr>
          <w:sz w:val="24"/>
          <w:szCs w:val="24"/>
        </w:rPr>
        <w:t xml:space="preserve"> met</w:t>
      </w:r>
      <w:r w:rsidR="009D7238" w:rsidRPr="00121A6A">
        <w:rPr>
          <w:sz w:val="24"/>
          <w:szCs w:val="24"/>
        </w:rPr>
        <w:t xml:space="preserve"> </w:t>
      </w:r>
      <w:r w:rsidR="003A5278" w:rsidRPr="00121A6A">
        <w:rPr>
          <w:sz w:val="24"/>
          <w:szCs w:val="24"/>
        </w:rPr>
        <w:t>ILO-Verdrag 87</w:t>
      </w:r>
      <w:r w:rsidR="00847FA4" w:rsidRPr="00121A6A">
        <w:rPr>
          <w:sz w:val="24"/>
          <w:szCs w:val="24"/>
        </w:rPr>
        <w:t xml:space="preserve"> respectievelijk het ESH</w:t>
      </w:r>
      <w:r w:rsidR="00846C2A" w:rsidRPr="00121A6A">
        <w:rPr>
          <w:sz w:val="24"/>
          <w:szCs w:val="24"/>
        </w:rPr>
        <w:t xml:space="preserve">. </w:t>
      </w:r>
    </w:p>
    <w:p w14:paraId="67E2F916" w14:textId="77777777" w:rsidR="00BF0AC0" w:rsidRPr="00121A6A" w:rsidRDefault="00BF0AC0" w:rsidP="00D20B15">
      <w:pPr>
        <w:spacing w:after="0"/>
        <w:ind w:firstLine="708"/>
        <w:jc w:val="both"/>
        <w:rPr>
          <w:sz w:val="24"/>
          <w:szCs w:val="24"/>
        </w:rPr>
      </w:pPr>
    </w:p>
    <w:p w14:paraId="5590F81D" w14:textId="657C93CF" w:rsidR="004D3AF5" w:rsidRPr="00121A6A" w:rsidRDefault="004D3AF5" w:rsidP="008E29A0">
      <w:pPr>
        <w:pStyle w:val="Heading3"/>
        <w:jc w:val="both"/>
        <w:rPr>
          <w:sz w:val="24"/>
          <w:szCs w:val="24"/>
        </w:rPr>
      </w:pPr>
      <w:bookmarkStart w:id="58" w:name="_Toc169963067"/>
      <w:r w:rsidRPr="00121A6A">
        <w:rPr>
          <w:sz w:val="24"/>
          <w:szCs w:val="24"/>
        </w:rPr>
        <w:t>Overwegingen</w:t>
      </w:r>
      <w:r w:rsidR="00833192">
        <w:rPr>
          <w:sz w:val="24"/>
          <w:szCs w:val="24"/>
        </w:rPr>
        <w:t xml:space="preserve"> van de</w:t>
      </w:r>
      <w:r w:rsidR="00045ABC" w:rsidRPr="00121A6A">
        <w:rPr>
          <w:sz w:val="24"/>
          <w:szCs w:val="24"/>
        </w:rPr>
        <w:t xml:space="preserve"> </w:t>
      </w:r>
      <w:proofErr w:type="spellStart"/>
      <w:r w:rsidR="00736390" w:rsidRPr="00121A6A">
        <w:rPr>
          <w:sz w:val="24"/>
          <w:szCs w:val="24"/>
        </w:rPr>
        <w:t>CoE</w:t>
      </w:r>
      <w:proofErr w:type="spellEnd"/>
      <w:r w:rsidR="00736390" w:rsidRPr="00121A6A">
        <w:rPr>
          <w:sz w:val="24"/>
          <w:szCs w:val="24"/>
        </w:rPr>
        <w:t xml:space="preserve"> en </w:t>
      </w:r>
      <w:r w:rsidR="00833192">
        <w:rPr>
          <w:sz w:val="24"/>
          <w:szCs w:val="24"/>
        </w:rPr>
        <w:t xml:space="preserve">het </w:t>
      </w:r>
      <w:r w:rsidR="00736390" w:rsidRPr="00121A6A">
        <w:rPr>
          <w:sz w:val="24"/>
          <w:szCs w:val="24"/>
        </w:rPr>
        <w:t>ECSR:</w:t>
      </w:r>
      <w:r w:rsidR="00045ABC" w:rsidRPr="00121A6A">
        <w:rPr>
          <w:sz w:val="24"/>
          <w:szCs w:val="24"/>
        </w:rPr>
        <w:t xml:space="preserve"> </w:t>
      </w:r>
      <w:r w:rsidR="009F39E2" w:rsidRPr="00121A6A">
        <w:rPr>
          <w:sz w:val="24"/>
          <w:szCs w:val="24"/>
        </w:rPr>
        <w:t xml:space="preserve">forse kritiek op </w:t>
      </w:r>
      <w:r w:rsidR="00276913" w:rsidRPr="00121A6A">
        <w:rPr>
          <w:sz w:val="24"/>
          <w:szCs w:val="24"/>
        </w:rPr>
        <w:t xml:space="preserve">de </w:t>
      </w:r>
      <w:r w:rsidR="009F39E2" w:rsidRPr="00121A6A">
        <w:rPr>
          <w:sz w:val="24"/>
          <w:szCs w:val="24"/>
        </w:rPr>
        <w:t>Viking</w:t>
      </w:r>
      <w:r w:rsidR="007C35F4" w:rsidRPr="00121A6A">
        <w:rPr>
          <w:sz w:val="24"/>
          <w:szCs w:val="24"/>
        </w:rPr>
        <w:t>-</w:t>
      </w:r>
      <w:r w:rsidR="009F39E2" w:rsidRPr="00121A6A">
        <w:rPr>
          <w:sz w:val="24"/>
          <w:szCs w:val="24"/>
        </w:rPr>
        <w:t xml:space="preserve"> en Laval</w:t>
      </w:r>
      <w:r w:rsidR="007C35F4" w:rsidRPr="00121A6A">
        <w:rPr>
          <w:sz w:val="24"/>
          <w:szCs w:val="24"/>
        </w:rPr>
        <w:t>-doctrine</w:t>
      </w:r>
      <w:bookmarkEnd w:id="58"/>
    </w:p>
    <w:p w14:paraId="4D39CDAD" w14:textId="7948C73E" w:rsidR="00697706" w:rsidRPr="00121A6A" w:rsidRDefault="00BC79DD" w:rsidP="00697706">
      <w:pPr>
        <w:spacing w:after="0"/>
        <w:jc w:val="both"/>
        <w:rPr>
          <w:sz w:val="24"/>
          <w:szCs w:val="24"/>
        </w:rPr>
      </w:pPr>
      <w:r w:rsidRPr="00121A6A">
        <w:rPr>
          <w:sz w:val="24"/>
          <w:szCs w:val="24"/>
        </w:rPr>
        <w:t xml:space="preserve">Naast kritiek </w:t>
      </w:r>
      <w:r w:rsidR="00A43445">
        <w:rPr>
          <w:sz w:val="24"/>
          <w:szCs w:val="24"/>
        </w:rPr>
        <w:t>op</w:t>
      </w:r>
      <w:r w:rsidRPr="00121A6A">
        <w:rPr>
          <w:sz w:val="24"/>
          <w:szCs w:val="24"/>
        </w:rPr>
        <w:t xml:space="preserve"> de </w:t>
      </w:r>
      <w:r w:rsidRPr="00121A6A">
        <w:rPr>
          <w:i/>
          <w:iCs/>
          <w:sz w:val="24"/>
          <w:szCs w:val="24"/>
        </w:rPr>
        <w:t>ultimum remedium</w:t>
      </w:r>
      <w:r w:rsidRPr="00121A6A">
        <w:rPr>
          <w:sz w:val="24"/>
          <w:szCs w:val="24"/>
        </w:rPr>
        <w:t>-eis</w:t>
      </w:r>
      <w:r w:rsidR="00A43445">
        <w:rPr>
          <w:sz w:val="24"/>
          <w:szCs w:val="24"/>
        </w:rPr>
        <w:t xml:space="preserve"> uit </w:t>
      </w:r>
      <w:r w:rsidR="00A43445">
        <w:rPr>
          <w:i/>
          <w:iCs/>
          <w:sz w:val="24"/>
          <w:szCs w:val="24"/>
        </w:rPr>
        <w:t>Viking</w:t>
      </w:r>
      <w:r w:rsidRPr="00121A6A">
        <w:rPr>
          <w:sz w:val="24"/>
          <w:szCs w:val="24"/>
        </w:rPr>
        <w:t>,</w:t>
      </w:r>
      <w:r w:rsidR="00D62D21" w:rsidRPr="00121A6A">
        <w:rPr>
          <w:rStyle w:val="FootnoteReference"/>
          <w:sz w:val="24"/>
          <w:szCs w:val="24"/>
        </w:rPr>
        <w:footnoteReference w:id="145"/>
      </w:r>
      <w:r w:rsidRPr="00121A6A">
        <w:rPr>
          <w:sz w:val="24"/>
          <w:szCs w:val="24"/>
        </w:rPr>
        <w:t xml:space="preserve"> heeft het </w:t>
      </w:r>
      <w:r w:rsidR="003A5278" w:rsidRPr="00121A6A">
        <w:rPr>
          <w:sz w:val="24"/>
          <w:szCs w:val="24"/>
        </w:rPr>
        <w:t>ECSR</w:t>
      </w:r>
      <w:r w:rsidR="006E1E4B" w:rsidRPr="00121A6A">
        <w:rPr>
          <w:sz w:val="24"/>
          <w:szCs w:val="24"/>
        </w:rPr>
        <w:t>,</w:t>
      </w:r>
      <w:r w:rsidR="00736390" w:rsidRPr="00121A6A">
        <w:rPr>
          <w:sz w:val="24"/>
          <w:szCs w:val="24"/>
        </w:rPr>
        <w:t xml:space="preserve"> en in soortgelijke zin de </w:t>
      </w:r>
      <w:proofErr w:type="spellStart"/>
      <w:r w:rsidR="00736390" w:rsidRPr="00121A6A">
        <w:rPr>
          <w:sz w:val="24"/>
          <w:szCs w:val="24"/>
        </w:rPr>
        <w:t>CoE</w:t>
      </w:r>
      <w:proofErr w:type="spellEnd"/>
      <w:r w:rsidR="006E1E4B" w:rsidRPr="00121A6A">
        <w:rPr>
          <w:sz w:val="24"/>
          <w:szCs w:val="24"/>
        </w:rPr>
        <w:t>,</w:t>
      </w:r>
      <w:r w:rsidR="00736390" w:rsidRPr="00121A6A">
        <w:rPr>
          <w:sz w:val="24"/>
          <w:szCs w:val="24"/>
        </w:rPr>
        <w:t xml:space="preserve"> </w:t>
      </w:r>
      <w:r w:rsidR="003A5278" w:rsidRPr="00121A6A">
        <w:rPr>
          <w:sz w:val="24"/>
          <w:szCs w:val="24"/>
        </w:rPr>
        <w:t xml:space="preserve">een </w:t>
      </w:r>
      <w:r w:rsidR="00215077" w:rsidRPr="00121A6A">
        <w:rPr>
          <w:sz w:val="24"/>
          <w:szCs w:val="24"/>
        </w:rPr>
        <w:t xml:space="preserve">Zweedse </w:t>
      </w:r>
      <w:r w:rsidR="003A5278" w:rsidRPr="00121A6A">
        <w:rPr>
          <w:sz w:val="24"/>
          <w:szCs w:val="24"/>
        </w:rPr>
        <w:t xml:space="preserve">wetswijziging naar aanleiding van het </w:t>
      </w:r>
      <w:r w:rsidR="003A5278" w:rsidRPr="00121A6A">
        <w:rPr>
          <w:i/>
          <w:iCs/>
          <w:sz w:val="24"/>
          <w:szCs w:val="24"/>
        </w:rPr>
        <w:t>Laval</w:t>
      </w:r>
      <w:r w:rsidR="003A5278" w:rsidRPr="00121A6A">
        <w:rPr>
          <w:sz w:val="24"/>
          <w:szCs w:val="24"/>
        </w:rPr>
        <w:t>-arrest</w:t>
      </w:r>
      <w:r w:rsidRPr="00121A6A">
        <w:rPr>
          <w:sz w:val="24"/>
          <w:szCs w:val="24"/>
        </w:rPr>
        <w:t xml:space="preserve"> </w:t>
      </w:r>
      <w:r w:rsidR="00F91167" w:rsidRPr="00121A6A">
        <w:rPr>
          <w:sz w:val="24"/>
          <w:szCs w:val="24"/>
        </w:rPr>
        <w:t xml:space="preserve">expliciet </w:t>
      </w:r>
      <w:r w:rsidRPr="00121A6A">
        <w:rPr>
          <w:sz w:val="24"/>
          <w:szCs w:val="24"/>
        </w:rPr>
        <w:t>bekritiseerd</w:t>
      </w:r>
      <w:r w:rsidR="003A5278" w:rsidRPr="00121A6A">
        <w:rPr>
          <w:sz w:val="24"/>
          <w:szCs w:val="24"/>
        </w:rPr>
        <w:t>.</w:t>
      </w:r>
      <w:r w:rsidR="00037EA8" w:rsidRPr="00121A6A">
        <w:rPr>
          <w:rStyle w:val="FootnoteReference"/>
          <w:sz w:val="24"/>
          <w:szCs w:val="24"/>
        </w:rPr>
        <w:footnoteReference w:id="146"/>
      </w:r>
      <w:r w:rsidR="003A5278" w:rsidRPr="00121A6A">
        <w:rPr>
          <w:sz w:val="24"/>
          <w:szCs w:val="24"/>
        </w:rPr>
        <w:t xml:space="preserve"> </w:t>
      </w:r>
      <w:r w:rsidR="00C20B4B">
        <w:rPr>
          <w:sz w:val="24"/>
          <w:szCs w:val="24"/>
        </w:rPr>
        <w:t>Op grond van d</w:t>
      </w:r>
      <w:r w:rsidR="003A5278" w:rsidRPr="00121A6A">
        <w:rPr>
          <w:sz w:val="24"/>
          <w:szCs w:val="24"/>
        </w:rPr>
        <w:t>e</w:t>
      </w:r>
      <w:r w:rsidR="006E1E4B" w:rsidRPr="00121A6A">
        <w:rPr>
          <w:sz w:val="24"/>
          <w:szCs w:val="24"/>
        </w:rPr>
        <w:t xml:space="preserve"> </w:t>
      </w:r>
      <w:r w:rsidR="00894799" w:rsidRPr="00121A6A">
        <w:rPr>
          <w:sz w:val="24"/>
          <w:szCs w:val="24"/>
        </w:rPr>
        <w:t xml:space="preserve">Zweedse </w:t>
      </w:r>
      <w:r w:rsidR="006E1E4B" w:rsidRPr="00121A6A">
        <w:rPr>
          <w:i/>
          <w:iCs/>
          <w:sz w:val="24"/>
          <w:szCs w:val="24"/>
        </w:rPr>
        <w:t>Lex Laval</w:t>
      </w:r>
      <w:r w:rsidR="003A5278" w:rsidRPr="00121A6A">
        <w:rPr>
          <w:sz w:val="24"/>
          <w:szCs w:val="24"/>
        </w:rPr>
        <w:t xml:space="preserve"> </w:t>
      </w:r>
      <w:r w:rsidR="00C20B4B">
        <w:rPr>
          <w:sz w:val="24"/>
          <w:szCs w:val="24"/>
        </w:rPr>
        <w:t>is</w:t>
      </w:r>
      <w:r w:rsidR="00AF2F5E" w:rsidRPr="00121A6A">
        <w:rPr>
          <w:sz w:val="24"/>
          <w:szCs w:val="24"/>
        </w:rPr>
        <w:t xml:space="preserve"> </w:t>
      </w:r>
      <w:r w:rsidR="003A5278" w:rsidRPr="00121A6A">
        <w:rPr>
          <w:sz w:val="24"/>
          <w:szCs w:val="24"/>
        </w:rPr>
        <w:t xml:space="preserve">de uitoefening van het stakingsrecht bij grensoverschrijdende detachering </w:t>
      </w:r>
      <w:r w:rsidR="00C20B4B">
        <w:rPr>
          <w:sz w:val="24"/>
          <w:szCs w:val="24"/>
        </w:rPr>
        <w:t xml:space="preserve">beperkt </w:t>
      </w:r>
      <w:r w:rsidR="003A5278" w:rsidRPr="00121A6A">
        <w:rPr>
          <w:sz w:val="24"/>
          <w:szCs w:val="24"/>
        </w:rPr>
        <w:t xml:space="preserve">tot de minimumarbeidsvoorwaarden uit </w:t>
      </w:r>
      <w:r w:rsidR="00A43445">
        <w:rPr>
          <w:sz w:val="24"/>
          <w:szCs w:val="24"/>
        </w:rPr>
        <w:t xml:space="preserve">artikel 3 lid 1 </w:t>
      </w:r>
      <w:r w:rsidR="003A5278" w:rsidRPr="00121A6A">
        <w:rPr>
          <w:sz w:val="24"/>
          <w:szCs w:val="24"/>
        </w:rPr>
        <w:t xml:space="preserve">Detacheringsrichtlijn. </w:t>
      </w:r>
      <w:r w:rsidR="003B2AD8" w:rsidRPr="00121A6A">
        <w:rPr>
          <w:sz w:val="24"/>
          <w:szCs w:val="24"/>
        </w:rPr>
        <w:t>H</w:t>
      </w:r>
      <w:r w:rsidR="00B41ECB" w:rsidRPr="00121A6A">
        <w:rPr>
          <w:sz w:val="24"/>
          <w:szCs w:val="24"/>
        </w:rPr>
        <w:t xml:space="preserve">et ECSR </w:t>
      </w:r>
      <w:r w:rsidR="00C20B4B">
        <w:rPr>
          <w:sz w:val="24"/>
          <w:szCs w:val="24"/>
        </w:rPr>
        <w:t>heeft</w:t>
      </w:r>
      <w:r w:rsidR="003B2AD8" w:rsidRPr="00121A6A">
        <w:rPr>
          <w:sz w:val="24"/>
          <w:szCs w:val="24"/>
        </w:rPr>
        <w:t xml:space="preserve"> </w:t>
      </w:r>
      <w:r w:rsidR="006E1E4B" w:rsidRPr="00121A6A">
        <w:rPr>
          <w:sz w:val="24"/>
          <w:szCs w:val="24"/>
        </w:rPr>
        <w:t>d</w:t>
      </w:r>
      <w:r w:rsidR="00C20B4B">
        <w:rPr>
          <w:sz w:val="24"/>
          <w:szCs w:val="24"/>
        </w:rPr>
        <w:t>eze wet</w:t>
      </w:r>
      <w:r w:rsidR="007E141A" w:rsidRPr="00121A6A">
        <w:rPr>
          <w:sz w:val="24"/>
          <w:szCs w:val="24"/>
        </w:rPr>
        <w:t xml:space="preserve"> in strijd met artikel 6 lid 4 ESH</w:t>
      </w:r>
      <w:r w:rsidR="00203B78" w:rsidRPr="00121A6A">
        <w:rPr>
          <w:sz w:val="24"/>
          <w:szCs w:val="24"/>
        </w:rPr>
        <w:t xml:space="preserve"> en de </w:t>
      </w:r>
      <w:r w:rsidR="007E141A" w:rsidRPr="00121A6A">
        <w:rPr>
          <w:sz w:val="24"/>
          <w:szCs w:val="24"/>
        </w:rPr>
        <w:t>autonomie van vakverenigingen</w:t>
      </w:r>
      <w:r w:rsidR="00C20B4B">
        <w:rPr>
          <w:sz w:val="24"/>
          <w:szCs w:val="24"/>
        </w:rPr>
        <w:t xml:space="preserve"> bevonden</w:t>
      </w:r>
      <w:r w:rsidR="00203B78" w:rsidRPr="00121A6A">
        <w:rPr>
          <w:sz w:val="24"/>
          <w:szCs w:val="24"/>
        </w:rPr>
        <w:t xml:space="preserve">, daar het </w:t>
      </w:r>
      <w:r w:rsidR="007E141A" w:rsidRPr="00121A6A">
        <w:rPr>
          <w:sz w:val="24"/>
          <w:szCs w:val="24"/>
        </w:rPr>
        <w:t xml:space="preserve">vakverenigingen </w:t>
      </w:r>
      <w:r w:rsidR="00203B78" w:rsidRPr="00121A6A">
        <w:rPr>
          <w:sz w:val="24"/>
          <w:szCs w:val="24"/>
        </w:rPr>
        <w:t xml:space="preserve">moet </w:t>
      </w:r>
      <w:r w:rsidR="007E141A" w:rsidRPr="00121A6A">
        <w:rPr>
          <w:sz w:val="24"/>
          <w:szCs w:val="24"/>
        </w:rPr>
        <w:t>zijn toegestaan te streven naar</w:t>
      </w:r>
      <w:r w:rsidR="003150EC">
        <w:rPr>
          <w:sz w:val="24"/>
          <w:szCs w:val="24"/>
        </w:rPr>
        <w:t xml:space="preserve"> </w:t>
      </w:r>
      <w:r w:rsidR="007E141A" w:rsidRPr="00121A6A">
        <w:rPr>
          <w:sz w:val="24"/>
          <w:szCs w:val="24"/>
        </w:rPr>
        <w:t>verbetering van bestaande arbeidsomstandigheden en niet slechts naar het bereiken van minimale condities.</w:t>
      </w:r>
      <w:r w:rsidR="003B2AD8" w:rsidRPr="00121A6A">
        <w:rPr>
          <w:sz w:val="24"/>
          <w:szCs w:val="24"/>
        </w:rPr>
        <w:t xml:space="preserve"> </w:t>
      </w:r>
      <w:r w:rsidR="005700B7">
        <w:rPr>
          <w:sz w:val="24"/>
          <w:szCs w:val="24"/>
        </w:rPr>
        <w:t>Aangaande</w:t>
      </w:r>
      <w:r w:rsidR="007E141A" w:rsidRPr="00121A6A">
        <w:rPr>
          <w:sz w:val="24"/>
          <w:szCs w:val="24"/>
        </w:rPr>
        <w:t xml:space="preserve"> de vraag hoe deze visie zich verhoudt tot de verplichting van Zweden</w:t>
      </w:r>
      <w:r w:rsidR="00C20B4B">
        <w:rPr>
          <w:sz w:val="24"/>
          <w:szCs w:val="24"/>
        </w:rPr>
        <w:t xml:space="preserve"> om</w:t>
      </w:r>
      <w:r w:rsidR="007E141A" w:rsidRPr="00121A6A">
        <w:rPr>
          <w:sz w:val="24"/>
          <w:szCs w:val="24"/>
        </w:rPr>
        <w:t xml:space="preserve"> het EU-recht te respecteren,</w:t>
      </w:r>
      <w:r w:rsidR="007E141A" w:rsidRPr="00121A6A">
        <w:rPr>
          <w:rStyle w:val="FootnoteReference"/>
          <w:sz w:val="24"/>
          <w:szCs w:val="24"/>
        </w:rPr>
        <w:footnoteReference w:id="147"/>
      </w:r>
      <w:r w:rsidR="007E141A" w:rsidRPr="00121A6A">
        <w:rPr>
          <w:sz w:val="24"/>
          <w:szCs w:val="24"/>
        </w:rPr>
        <w:t xml:space="preserve"> </w:t>
      </w:r>
      <w:r w:rsidR="00203B78" w:rsidRPr="00121A6A">
        <w:rPr>
          <w:sz w:val="24"/>
          <w:szCs w:val="24"/>
        </w:rPr>
        <w:t>merkte</w:t>
      </w:r>
      <w:r w:rsidR="007E141A" w:rsidRPr="00121A6A">
        <w:rPr>
          <w:sz w:val="24"/>
          <w:szCs w:val="24"/>
        </w:rPr>
        <w:t xml:space="preserve"> het ECSR </w:t>
      </w:r>
      <w:r w:rsidR="00203B78" w:rsidRPr="00121A6A">
        <w:rPr>
          <w:sz w:val="24"/>
          <w:szCs w:val="24"/>
        </w:rPr>
        <w:t xml:space="preserve">op </w:t>
      </w:r>
      <w:r w:rsidR="00736390" w:rsidRPr="00121A6A">
        <w:rPr>
          <w:sz w:val="24"/>
          <w:szCs w:val="24"/>
        </w:rPr>
        <w:t>‘</w:t>
      </w:r>
      <w:r w:rsidR="007E141A" w:rsidRPr="00121A6A">
        <w:rPr>
          <w:i/>
          <w:iCs/>
          <w:sz w:val="24"/>
          <w:szCs w:val="24"/>
        </w:rPr>
        <w:t xml:space="preserve">dat rechtsregels inzake economische vrijheden op zodanige wijze geïnterpreteerd moeten worden dat </w:t>
      </w:r>
      <w:r w:rsidR="00C20B4B">
        <w:rPr>
          <w:i/>
          <w:iCs/>
          <w:sz w:val="24"/>
          <w:szCs w:val="24"/>
        </w:rPr>
        <w:t xml:space="preserve">de </w:t>
      </w:r>
      <w:r w:rsidR="007E141A" w:rsidRPr="00121A6A">
        <w:rPr>
          <w:i/>
          <w:iCs/>
          <w:sz w:val="24"/>
          <w:szCs w:val="24"/>
        </w:rPr>
        <w:t>uitoefening van (collectieve) werknemersrechten niet disproportioneel word</w:t>
      </w:r>
      <w:r w:rsidR="00C20B4B">
        <w:rPr>
          <w:i/>
          <w:iCs/>
          <w:sz w:val="24"/>
          <w:szCs w:val="24"/>
        </w:rPr>
        <w:t>t</w:t>
      </w:r>
      <w:r w:rsidR="007E141A" w:rsidRPr="00121A6A">
        <w:rPr>
          <w:i/>
          <w:iCs/>
          <w:sz w:val="24"/>
          <w:szCs w:val="24"/>
        </w:rPr>
        <w:t xml:space="preserve"> beperkt. </w:t>
      </w:r>
      <w:r w:rsidR="00736390" w:rsidRPr="00121A6A">
        <w:rPr>
          <w:i/>
          <w:iCs/>
          <w:sz w:val="24"/>
          <w:szCs w:val="24"/>
        </w:rPr>
        <w:t>V</w:t>
      </w:r>
      <w:r w:rsidR="007E141A" w:rsidRPr="00121A6A">
        <w:rPr>
          <w:i/>
          <w:iCs/>
          <w:sz w:val="24"/>
          <w:szCs w:val="24"/>
        </w:rPr>
        <w:t xml:space="preserve">anuit het </w:t>
      </w:r>
      <w:r w:rsidR="00736390" w:rsidRPr="00121A6A">
        <w:rPr>
          <w:i/>
          <w:iCs/>
          <w:sz w:val="24"/>
          <w:szCs w:val="24"/>
        </w:rPr>
        <w:t>oogpunt</w:t>
      </w:r>
      <w:r w:rsidR="007E141A" w:rsidRPr="00121A6A">
        <w:rPr>
          <w:i/>
          <w:iCs/>
          <w:sz w:val="24"/>
          <w:szCs w:val="24"/>
        </w:rPr>
        <w:t xml:space="preserve"> van het systeem van waarden, </w:t>
      </w:r>
      <w:r w:rsidR="00894799" w:rsidRPr="00121A6A">
        <w:rPr>
          <w:i/>
          <w:iCs/>
          <w:sz w:val="24"/>
          <w:szCs w:val="24"/>
        </w:rPr>
        <w:t>beginselen</w:t>
      </w:r>
      <w:r w:rsidR="007E141A" w:rsidRPr="00121A6A">
        <w:rPr>
          <w:i/>
          <w:iCs/>
          <w:sz w:val="24"/>
          <w:szCs w:val="24"/>
        </w:rPr>
        <w:t xml:space="preserve"> en </w:t>
      </w:r>
      <w:r w:rsidR="007507F9" w:rsidRPr="00121A6A">
        <w:rPr>
          <w:i/>
          <w:iCs/>
          <w:sz w:val="24"/>
          <w:szCs w:val="24"/>
        </w:rPr>
        <w:t>grondrechten</w:t>
      </w:r>
      <w:r w:rsidR="007E141A" w:rsidRPr="00121A6A">
        <w:rPr>
          <w:i/>
          <w:iCs/>
          <w:sz w:val="24"/>
          <w:szCs w:val="24"/>
        </w:rPr>
        <w:t xml:space="preserve"> belichaamd in het ESH</w:t>
      </w:r>
      <w:r w:rsidR="00736390" w:rsidRPr="00121A6A">
        <w:rPr>
          <w:i/>
          <w:iCs/>
          <w:sz w:val="24"/>
          <w:szCs w:val="24"/>
        </w:rPr>
        <w:t xml:space="preserve"> kan het faciliteren van de interne markt</w:t>
      </w:r>
      <w:r w:rsidR="007E141A" w:rsidRPr="00121A6A">
        <w:rPr>
          <w:i/>
          <w:iCs/>
          <w:sz w:val="24"/>
          <w:szCs w:val="24"/>
        </w:rPr>
        <w:t xml:space="preserve"> geen grotere a priori waarde hebben dan fundamentele </w:t>
      </w:r>
      <w:r w:rsidR="00894799" w:rsidRPr="00121A6A">
        <w:rPr>
          <w:i/>
          <w:iCs/>
          <w:sz w:val="24"/>
          <w:szCs w:val="24"/>
        </w:rPr>
        <w:t>arbeids</w:t>
      </w:r>
      <w:r w:rsidR="007E141A" w:rsidRPr="00121A6A">
        <w:rPr>
          <w:i/>
          <w:iCs/>
          <w:sz w:val="24"/>
          <w:szCs w:val="24"/>
        </w:rPr>
        <w:t>rechten</w:t>
      </w:r>
      <w:r w:rsidR="006E1E4B" w:rsidRPr="00121A6A">
        <w:rPr>
          <w:i/>
          <w:iCs/>
          <w:sz w:val="24"/>
          <w:szCs w:val="24"/>
        </w:rPr>
        <w:t>, met inbegrip van het recht om door middel van collectieve actie een verdere en betere bescherming van economische en sociale rechten van werknemers te eisen</w:t>
      </w:r>
      <w:r w:rsidR="007E141A" w:rsidRPr="00121A6A">
        <w:rPr>
          <w:i/>
          <w:iCs/>
          <w:sz w:val="24"/>
          <w:szCs w:val="24"/>
        </w:rPr>
        <w:t>.</w:t>
      </w:r>
      <w:r w:rsidR="00736390" w:rsidRPr="00121A6A">
        <w:rPr>
          <w:sz w:val="24"/>
          <w:szCs w:val="24"/>
        </w:rPr>
        <w:t>’</w:t>
      </w:r>
      <w:r w:rsidR="007E141A" w:rsidRPr="00121A6A">
        <w:rPr>
          <w:sz w:val="24"/>
          <w:szCs w:val="24"/>
        </w:rPr>
        <w:t xml:space="preserve"> </w:t>
      </w:r>
      <w:r w:rsidR="00224835" w:rsidRPr="00121A6A">
        <w:rPr>
          <w:sz w:val="24"/>
          <w:szCs w:val="24"/>
        </w:rPr>
        <w:t>Hieruit</w:t>
      </w:r>
      <w:r w:rsidR="00F20201" w:rsidRPr="00121A6A">
        <w:rPr>
          <w:sz w:val="24"/>
          <w:szCs w:val="24"/>
        </w:rPr>
        <w:t xml:space="preserve"> </w:t>
      </w:r>
      <w:r w:rsidR="007E141A" w:rsidRPr="00121A6A">
        <w:rPr>
          <w:sz w:val="24"/>
          <w:szCs w:val="24"/>
        </w:rPr>
        <w:t xml:space="preserve">kan mijns inziens worden afgeleid dat, net zoals </w:t>
      </w:r>
      <w:r w:rsidR="002A02B7" w:rsidRPr="00121A6A">
        <w:rPr>
          <w:sz w:val="24"/>
          <w:szCs w:val="24"/>
        </w:rPr>
        <w:t>onder</w:t>
      </w:r>
      <w:r w:rsidR="007E141A" w:rsidRPr="00121A6A">
        <w:rPr>
          <w:sz w:val="24"/>
          <w:szCs w:val="24"/>
        </w:rPr>
        <w:t xml:space="preserve"> het E</w:t>
      </w:r>
      <w:r w:rsidR="002A02B7" w:rsidRPr="00121A6A">
        <w:rPr>
          <w:sz w:val="24"/>
          <w:szCs w:val="24"/>
        </w:rPr>
        <w:t>V</w:t>
      </w:r>
      <w:r w:rsidR="007E141A" w:rsidRPr="00121A6A">
        <w:rPr>
          <w:sz w:val="24"/>
          <w:szCs w:val="24"/>
        </w:rPr>
        <w:t xml:space="preserve">RM, de verkeersvrijheden </w:t>
      </w:r>
      <w:r w:rsidR="006E1E4B" w:rsidRPr="00121A6A">
        <w:rPr>
          <w:sz w:val="24"/>
          <w:szCs w:val="24"/>
        </w:rPr>
        <w:t xml:space="preserve">onder het ESH </w:t>
      </w:r>
      <w:r w:rsidR="007E141A" w:rsidRPr="00121A6A">
        <w:rPr>
          <w:i/>
          <w:iCs/>
          <w:sz w:val="24"/>
          <w:szCs w:val="24"/>
        </w:rPr>
        <w:t>een</w:t>
      </w:r>
      <w:r w:rsidR="007E141A" w:rsidRPr="00121A6A">
        <w:rPr>
          <w:sz w:val="24"/>
          <w:szCs w:val="24"/>
        </w:rPr>
        <w:t xml:space="preserve"> (maar geen doorslaggevende) rol kunnen spelen bij de beoordeling van de (on)rechtmatigheid van een staking.</w:t>
      </w:r>
      <w:r w:rsidR="007E141A" w:rsidRPr="00121A6A">
        <w:rPr>
          <w:rStyle w:val="FootnoteReference"/>
          <w:sz w:val="24"/>
          <w:szCs w:val="24"/>
        </w:rPr>
        <w:footnoteReference w:id="148"/>
      </w:r>
      <w:r w:rsidR="007E141A" w:rsidRPr="00121A6A">
        <w:rPr>
          <w:sz w:val="24"/>
          <w:szCs w:val="24"/>
        </w:rPr>
        <w:t xml:space="preserve"> Ik zou echter niet zo ver willen gaan als </w:t>
      </w:r>
      <w:proofErr w:type="spellStart"/>
      <w:r w:rsidR="007E141A" w:rsidRPr="00121A6A">
        <w:rPr>
          <w:sz w:val="24"/>
          <w:szCs w:val="24"/>
        </w:rPr>
        <w:t>Velyvyte</w:t>
      </w:r>
      <w:proofErr w:type="spellEnd"/>
      <w:r w:rsidR="007E141A" w:rsidRPr="00121A6A">
        <w:rPr>
          <w:sz w:val="24"/>
          <w:szCs w:val="24"/>
        </w:rPr>
        <w:t>,</w:t>
      </w:r>
      <w:r w:rsidR="007E141A" w:rsidRPr="00121A6A">
        <w:rPr>
          <w:rStyle w:val="FootnoteReference"/>
          <w:sz w:val="24"/>
          <w:szCs w:val="24"/>
        </w:rPr>
        <w:footnoteReference w:id="149"/>
      </w:r>
      <w:r w:rsidR="007E141A" w:rsidRPr="00121A6A">
        <w:rPr>
          <w:sz w:val="24"/>
          <w:szCs w:val="24"/>
        </w:rPr>
        <w:t xml:space="preserve"> die schrijft dat een ‘dubbele proportionaliteitstoets’ mogelijk ESH-conform </w:t>
      </w:r>
      <w:r w:rsidR="00224835" w:rsidRPr="00121A6A">
        <w:rPr>
          <w:sz w:val="24"/>
          <w:szCs w:val="24"/>
        </w:rPr>
        <w:t>is</w:t>
      </w:r>
      <w:r w:rsidR="007E141A" w:rsidRPr="00121A6A">
        <w:rPr>
          <w:sz w:val="24"/>
          <w:szCs w:val="24"/>
        </w:rPr>
        <w:t>.</w:t>
      </w:r>
      <w:r w:rsidR="009F39E2" w:rsidRPr="00121A6A">
        <w:rPr>
          <w:sz w:val="24"/>
          <w:szCs w:val="24"/>
        </w:rPr>
        <w:t xml:space="preserve"> Dat zou </w:t>
      </w:r>
      <w:r w:rsidR="00D56858" w:rsidRPr="00121A6A">
        <w:rPr>
          <w:sz w:val="24"/>
          <w:szCs w:val="24"/>
        </w:rPr>
        <w:t>in mijn optiek</w:t>
      </w:r>
      <w:r w:rsidR="009F39E2" w:rsidRPr="00121A6A">
        <w:rPr>
          <w:sz w:val="24"/>
          <w:szCs w:val="24"/>
        </w:rPr>
        <w:t xml:space="preserve"> </w:t>
      </w:r>
      <w:r w:rsidR="000621A5" w:rsidRPr="00121A6A">
        <w:rPr>
          <w:sz w:val="24"/>
          <w:szCs w:val="24"/>
        </w:rPr>
        <w:t xml:space="preserve">in </w:t>
      </w:r>
      <w:r w:rsidR="009F39E2" w:rsidRPr="00121A6A">
        <w:rPr>
          <w:sz w:val="24"/>
          <w:szCs w:val="24"/>
        </w:rPr>
        <w:t xml:space="preserve">strijd komen met de structuur van </w:t>
      </w:r>
      <w:r w:rsidR="00224835" w:rsidRPr="00121A6A">
        <w:rPr>
          <w:sz w:val="24"/>
          <w:szCs w:val="24"/>
        </w:rPr>
        <w:t xml:space="preserve">artikel 6 lid 4 </w:t>
      </w:r>
      <w:r w:rsidR="009F39E2" w:rsidRPr="00121A6A">
        <w:rPr>
          <w:sz w:val="24"/>
          <w:szCs w:val="24"/>
        </w:rPr>
        <w:t>ESH, d</w:t>
      </w:r>
      <w:r w:rsidR="00A04755" w:rsidRPr="00121A6A">
        <w:rPr>
          <w:sz w:val="24"/>
          <w:szCs w:val="24"/>
        </w:rPr>
        <w:t>ie</w:t>
      </w:r>
      <w:r w:rsidR="009F39E2" w:rsidRPr="00121A6A">
        <w:rPr>
          <w:sz w:val="24"/>
          <w:szCs w:val="24"/>
        </w:rPr>
        <w:t xml:space="preserve"> ertoe dwingt </w:t>
      </w:r>
      <w:r w:rsidR="00A04755" w:rsidRPr="00121A6A">
        <w:rPr>
          <w:sz w:val="24"/>
          <w:szCs w:val="24"/>
        </w:rPr>
        <w:t xml:space="preserve">het bestaan en </w:t>
      </w:r>
      <w:r w:rsidR="00EB4986" w:rsidRPr="00121A6A">
        <w:rPr>
          <w:sz w:val="24"/>
          <w:szCs w:val="24"/>
        </w:rPr>
        <w:t xml:space="preserve">de rechtmatigheid van het </w:t>
      </w:r>
      <w:r w:rsidR="009F39E2" w:rsidRPr="00121A6A">
        <w:rPr>
          <w:sz w:val="24"/>
          <w:szCs w:val="24"/>
        </w:rPr>
        <w:t xml:space="preserve">stakingsrecht </w:t>
      </w:r>
      <w:r w:rsidR="00A04755" w:rsidRPr="00121A6A">
        <w:rPr>
          <w:sz w:val="24"/>
          <w:szCs w:val="24"/>
        </w:rPr>
        <w:t>tot</w:t>
      </w:r>
      <w:r w:rsidR="009F39E2" w:rsidRPr="00121A6A">
        <w:rPr>
          <w:sz w:val="24"/>
          <w:szCs w:val="24"/>
        </w:rPr>
        <w:t xml:space="preserve"> uitgangspunt te nemen</w:t>
      </w:r>
      <w:r w:rsidR="00224835" w:rsidRPr="00121A6A">
        <w:rPr>
          <w:sz w:val="24"/>
          <w:szCs w:val="24"/>
        </w:rPr>
        <w:t xml:space="preserve"> en</w:t>
      </w:r>
      <w:r w:rsidR="00C20B4B">
        <w:rPr>
          <w:sz w:val="24"/>
          <w:szCs w:val="24"/>
        </w:rPr>
        <w:t xml:space="preserve"> de</w:t>
      </w:r>
      <w:r w:rsidR="00224835" w:rsidRPr="00121A6A">
        <w:rPr>
          <w:sz w:val="24"/>
          <w:szCs w:val="24"/>
        </w:rPr>
        <w:t xml:space="preserve"> marktvrijheden als een daarop te rechtvaardigen uitzondering te beschouwen</w:t>
      </w:r>
      <w:r w:rsidR="00697706" w:rsidRPr="00121A6A">
        <w:rPr>
          <w:sz w:val="24"/>
          <w:szCs w:val="24"/>
        </w:rPr>
        <w:t xml:space="preserve">. </w:t>
      </w:r>
      <w:r w:rsidR="009F39E2" w:rsidRPr="00121A6A">
        <w:rPr>
          <w:sz w:val="24"/>
          <w:szCs w:val="24"/>
        </w:rPr>
        <w:t>Bovendien ligt het</w:t>
      </w:r>
      <w:r w:rsidR="00736390" w:rsidRPr="00121A6A">
        <w:rPr>
          <w:sz w:val="24"/>
          <w:szCs w:val="24"/>
        </w:rPr>
        <w:t xml:space="preserve"> voor de hand dat het ECSR en de </w:t>
      </w:r>
      <w:proofErr w:type="spellStart"/>
      <w:r w:rsidR="00736390" w:rsidRPr="00121A6A">
        <w:rPr>
          <w:sz w:val="24"/>
          <w:szCs w:val="24"/>
        </w:rPr>
        <w:t>CoE</w:t>
      </w:r>
      <w:proofErr w:type="spellEnd"/>
      <w:r w:rsidR="00736390" w:rsidRPr="00121A6A">
        <w:rPr>
          <w:sz w:val="24"/>
          <w:szCs w:val="24"/>
        </w:rPr>
        <w:t xml:space="preserve"> zoveel mogelijk één lijn trekken</w:t>
      </w:r>
      <w:r w:rsidR="00697706" w:rsidRPr="00121A6A">
        <w:rPr>
          <w:sz w:val="24"/>
          <w:szCs w:val="24"/>
        </w:rPr>
        <w:t>.</w:t>
      </w:r>
      <w:r w:rsidR="00736390" w:rsidRPr="00121A6A">
        <w:rPr>
          <w:sz w:val="24"/>
          <w:szCs w:val="24"/>
        </w:rPr>
        <w:t xml:space="preserve"> </w:t>
      </w:r>
      <w:r w:rsidR="00697706" w:rsidRPr="00121A6A">
        <w:rPr>
          <w:sz w:val="24"/>
          <w:szCs w:val="24"/>
        </w:rPr>
        <w:t>I</w:t>
      </w:r>
      <w:r w:rsidR="00736390" w:rsidRPr="00121A6A">
        <w:rPr>
          <w:sz w:val="24"/>
          <w:szCs w:val="24"/>
        </w:rPr>
        <w:t xml:space="preserve">n dit verband is van belang dat de </w:t>
      </w:r>
      <w:proofErr w:type="spellStart"/>
      <w:r w:rsidR="00736390" w:rsidRPr="00121A6A">
        <w:rPr>
          <w:sz w:val="24"/>
          <w:szCs w:val="24"/>
        </w:rPr>
        <w:t>CoE</w:t>
      </w:r>
      <w:proofErr w:type="spellEnd"/>
      <w:r w:rsidR="00736390" w:rsidRPr="00121A6A">
        <w:rPr>
          <w:sz w:val="24"/>
          <w:szCs w:val="24"/>
        </w:rPr>
        <w:t xml:space="preserve"> </w:t>
      </w:r>
      <w:r w:rsidR="007507F9" w:rsidRPr="00121A6A">
        <w:rPr>
          <w:sz w:val="24"/>
          <w:szCs w:val="24"/>
        </w:rPr>
        <w:t xml:space="preserve">naar aanleiding van de Britse </w:t>
      </w:r>
      <w:r w:rsidR="007507F9" w:rsidRPr="00121A6A">
        <w:rPr>
          <w:i/>
          <w:iCs/>
          <w:sz w:val="24"/>
          <w:szCs w:val="24"/>
        </w:rPr>
        <w:t>BALPA</w:t>
      </w:r>
      <w:r w:rsidR="007507F9" w:rsidRPr="00121A6A">
        <w:rPr>
          <w:sz w:val="24"/>
          <w:szCs w:val="24"/>
        </w:rPr>
        <w:t xml:space="preserve">-zaak </w:t>
      </w:r>
      <w:r w:rsidR="00C20B4B">
        <w:rPr>
          <w:sz w:val="24"/>
          <w:szCs w:val="24"/>
        </w:rPr>
        <w:t xml:space="preserve">(nog) </w:t>
      </w:r>
      <w:r w:rsidR="007507F9" w:rsidRPr="00121A6A">
        <w:rPr>
          <w:sz w:val="24"/>
          <w:szCs w:val="24"/>
        </w:rPr>
        <w:t xml:space="preserve">verstrekkender kritiek heeft geuit op (de implicaties van) </w:t>
      </w:r>
      <w:r w:rsidR="00F670FD" w:rsidRPr="00121A6A">
        <w:rPr>
          <w:i/>
          <w:iCs/>
          <w:sz w:val="24"/>
          <w:szCs w:val="24"/>
        </w:rPr>
        <w:t>Viking</w:t>
      </w:r>
      <w:r w:rsidR="00F670FD" w:rsidRPr="00121A6A">
        <w:rPr>
          <w:sz w:val="24"/>
          <w:szCs w:val="24"/>
        </w:rPr>
        <w:t xml:space="preserve"> en </w:t>
      </w:r>
      <w:r w:rsidR="00F670FD" w:rsidRPr="00121A6A">
        <w:rPr>
          <w:i/>
          <w:iCs/>
          <w:sz w:val="24"/>
          <w:szCs w:val="24"/>
        </w:rPr>
        <w:t>Laval</w:t>
      </w:r>
      <w:r w:rsidR="007507F9" w:rsidRPr="00121A6A">
        <w:rPr>
          <w:sz w:val="24"/>
          <w:szCs w:val="24"/>
        </w:rPr>
        <w:t>.</w:t>
      </w:r>
      <w:r w:rsidR="00736390" w:rsidRPr="00121A6A">
        <w:rPr>
          <w:rStyle w:val="FootnoteReference"/>
          <w:sz w:val="24"/>
          <w:szCs w:val="24"/>
        </w:rPr>
        <w:footnoteReference w:id="150"/>
      </w:r>
    </w:p>
    <w:p w14:paraId="31CE3CDA" w14:textId="1AC8B9F7" w:rsidR="004914D1" w:rsidRPr="00121A6A" w:rsidRDefault="005975A3" w:rsidP="00B41ECB">
      <w:pPr>
        <w:spacing w:after="0"/>
        <w:ind w:firstLine="708"/>
        <w:jc w:val="both"/>
        <w:rPr>
          <w:sz w:val="24"/>
          <w:szCs w:val="24"/>
        </w:rPr>
      </w:pPr>
      <w:r w:rsidRPr="00121A6A">
        <w:rPr>
          <w:sz w:val="24"/>
          <w:szCs w:val="24"/>
        </w:rPr>
        <w:t xml:space="preserve">De </w:t>
      </w:r>
      <w:r w:rsidRPr="00121A6A">
        <w:rPr>
          <w:i/>
          <w:iCs/>
          <w:sz w:val="24"/>
          <w:szCs w:val="24"/>
        </w:rPr>
        <w:t>BALPA</w:t>
      </w:r>
      <w:r w:rsidRPr="00121A6A">
        <w:rPr>
          <w:sz w:val="24"/>
          <w:szCs w:val="24"/>
        </w:rPr>
        <w:t>-zaak draaide om een geschil tussen</w:t>
      </w:r>
      <w:r w:rsidR="00736390" w:rsidRPr="00121A6A">
        <w:rPr>
          <w:sz w:val="24"/>
          <w:szCs w:val="24"/>
        </w:rPr>
        <w:t xml:space="preserve"> werkgever </w:t>
      </w:r>
      <w:r w:rsidR="00736390" w:rsidRPr="00121A6A">
        <w:rPr>
          <w:i/>
          <w:iCs/>
          <w:sz w:val="24"/>
          <w:szCs w:val="24"/>
        </w:rPr>
        <w:t>British Airways</w:t>
      </w:r>
      <w:r w:rsidR="00736390" w:rsidRPr="00121A6A">
        <w:rPr>
          <w:sz w:val="24"/>
          <w:szCs w:val="24"/>
        </w:rPr>
        <w:t xml:space="preserve"> (</w:t>
      </w:r>
      <w:r w:rsidR="00736390" w:rsidRPr="00121A6A">
        <w:rPr>
          <w:i/>
          <w:iCs/>
          <w:sz w:val="24"/>
          <w:szCs w:val="24"/>
        </w:rPr>
        <w:t>BA</w:t>
      </w:r>
      <w:r w:rsidR="00736390" w:rsidRPr="00121A6A">
        <w:rPr>
          <w:sz w:val="24"/>
          <w:szCs w:val="24"/>
        </w:rPr>
        <w:t>)</w:t>
      </w:r>
      <w:r w:rsidRPr="00121A6A">
        <w:rPr>
          <w:sz w:val="24"/>
          <w:szCs w:val="24"/>
        </w:rPr>
        <w:t xml:space="preserve"> en vakbond </w:t>
      </w:r>
      <w:r w:rsidRPr="00121A6A">
        <w:rPr>
          <w:i/>
          <w:iCs/>
          <w:sz w:val="24"/>
          <w:szCs w:val="24"/>
        </w:rPr>
        <w:t xml:space="preserve">British </w:t>
      </w:r>
      <w:proofErr w:type="spellStart"/>
      <w:r w:rsidRPr="00121A6A">
        <w:rPr>
          <w:i/>
          <w:iCs/>
          <w:sz w:val="24"/>
          <w:szCs w:val="24"/>
        </w:rPr>
        <w:t>Airline</w:t>
      </w:r>
      <w:proofErr w:type="spellEnd"/>
      <w:r w:rsidRPr="00121A6A">
        <w:rPr>
          <w:i/>
          <w:iCs/>
          <w:sz w:val="24"/>
          <w:szCs w:val="24"/>
        </w:rPr>
        <w:t xml:space="preserve"> Pilots’</w:t>
      </w:r>
      <w:r w:rsidR="00B7584F">
        <w:rPr>
          <w:i/>
          <w:iCs/>
          <w:sz w:val="24"/>
          <w:szCs w:val="24"/>
        </w:rPr>
        <w:t xml:space="preserve"> </w:t>
      </w:r>
      <w:r w:rsidRPr="00121A6A">
        <w:rPr>
          <w:i/>
          <w:iCs/>
          <w:sz w:val="24"/>
          <w:szCs w:val="24"/>
        </w:rPr>
        <w:t>Association</w:t>
      </w:r>
      <w:r w:rsidRPr="00121A6A">
        <w:rPr>
          <w:sz w:val="24"/>
          <w:szCs w:val="24"/>
        </w:rPr>
        <w:t xml:space="preserve"> (</w:t>
      </w:r>
      <w:r w:rsidRPr="00121A6A">
        <w:rPr>
          <w:i/>
          <w:iCs/>
          <w:sz w:val="24"/>
          <w:szCs w:val="24"/>
        </w:rPr>
        <w:t>BALPA</w:t>
      </w:r>
      <w:r w:rsidRPr="00121A6A">
        <w:rPr>
          <w:sz w:val="24"/>
          <w:szCs w:val="24"/>
        </w:rPr>
        <w:t>).</w:t>
      </w:r>
      <w:r w:rsidR="009616B2" w:rsidRPr="00121A6A">
        <w:rPr>
          <w:sz w:val="24"/>
          <w:szCs w:val="24"/>
        </w:rPr>
        <w:t xml:space="preserve"> </w:t>
      </w:r>
      <w:r w:rsidRPr="00121A6A">
        <w:rPr>
          <w:i/>
          <w:iCs/>
          <w:sz w:val="24"/>
          <w:szCs w:val="24"/>
        </w:rPr>
        <w:t xml:space="preserve">BA </w:t>
      </w:r>
      <w:r w:rsidRPr="00121A6A">
        <w:rPr>
          <w:sz w:val="24"/>
          <w:szCs w:val="24"/>
        </w:rPr>
        <w:t>wilde</w:t>
      </w:r>
      <w:r w:rsidR="002C3F9F" w:rsidRPr="00121A6A">
        <w:rPr>
          <w:sz w:val="24"/>
          <w:szCs w:val="24"/>
        </w:rPr>
        <w:t xml:space="preserve"> </w:t>
      </w:r>
      <w:r w:rsidR="00736390" w:rsidRPr="00121A6A">
        <w:rPr>
          <w:sz w:val="24"/>
          <w:szCs w:val="24"/>
        </w:rPr>
        <w:t>dochterondernemingen vestigingen in andere EU-lidstaten</w:t>
      </w:r>
      <w:r w:rsidR="002C3F9F" w:rsidRPr="00121A6A">
        <w:rPr>
          <w:sz w:val="24"/>
          <w:szCs w:val="24"/>
        </w:rPr>
        <w:t>.</w:t>
      </w:r>
      <w:r w:rsidRPr="00121A6A">
        <w:rPr>
          <w:sz w:val="24"/>
          <w:szCs w:val="24"/>
        </w:rPr>
        <w:t xml:space="preserve"> </w:t>
      </w:r>
      <w:r w:rsidR="002C3F9F" w:rsidRPr="00121A6A">
        <w:rPr>
          <w:sz w:val="24"/>
          <w:szCs w:val="24"/>
        </w:rPr>
        <w:t>M</w:t>
      </w:r>
      <w:r w:rsidRPr="00121A6A">
        <w:rPr>
          <w:sz w:val="24"/>
          <w:szCs w:val="24"/>
        </w:rPr>
        <w:t xml:space="preserve">et </w:t>
      </w:r>
      <w:r w:rsidR="00736390" w:rsidRPr="00121A6A">
        <w:rPr>
          <w:sz w:val="24"/>
          <w:szCs w:val="24"/>
        </w:rPr>
        <w:t xml:space="preserve">het oog op de potentiële </w:t>
      </w:r>
      <w:r w:rsidR="00894799" w:rsidRPr="00121A6A">
        <w:rPr>
          <w:sz w:val="24"/>
          <w:szCs w:val="24"/>
        </w:rPr>
        <w:t xml:space="preserve">negatieve </w:t>
      </w:r>
      <w:r w:rsidR="00736390" w:rsidRPr="00121A6A">
        <w:rPr>
          <w:sz w:val="24"/>
          <w:szCs w:val="24"/>
        </w:rPr>
        <w:t xml:space="preserve">gevolgen hiervan voor de </w:t>
      </w:r>
      <w:r w:rsidR="00736390" w:rsidRPr="00121A6A">
        <w:rPr>
          <w:sz w:val="24"/>
          <w:szCs w:val="24"/>
        </w:rPr>
        <w:lastRenderedPageBreak/>
        <w:t xml:space="preserve">arbeidsvoorwaarden van </w:t>
      </w:r>
      <w:r w:rsidR="00697706" w:rsidRPr="00121A6A">
        <w:rPr>
          <w:sz w:val="24"/>
          <w:szCs w:val="24"/>
        </w:rPr>
        <w:t xml:space="preserve">Britse </w:t>
      </w:r>
      <w:r w:rsidR="00736390" w:rsidRPr="00121A6A">
        <w:rPr>
          <w:sz w:val="24"/>
          <w:szCs w:val="24"/>
        </w:rPr>
        <w:t>piloten</w:t>
      </w:r>
      <w:r w:rsidR="00894799" w:rsidRPr="00121A6A">
        <w:rPr>
          <w:sz w:val="24"/>
          <w:szCs w:val="24"/>
        </w:rPr>
        <w:t>,</w:t>
      </w:r>
      <w:r w:rsidR="00736390" w:rsidRPr="00121A6A">
        <w:rPr>
          <w:sz w:val="24"/>
          <w:szCs w:val="24"/>
        </w:rPr>
        <w:t xml:space="preserve"> besloot</w:t>
      </w:r>
      <w:r w:rsidRPr="00121A6A">
        <w:rPr>
          <w:sz w:val="24"/>
          <w:szCs w:val="24"/>
        </w:rPr>
        <w:t xml:space="preserve"> </w:t>
      </w:r>
      <w:r w:rsidRPr="00121A6A">
        <w:rPr>
          <w:i/>
          <w:iCs/>
          <w:sz w:val="24"/>
          <w:szCs w:val="24"/>
        </w:rPr>
        <w:t>BALPA</w:t>
      </w:r>
      <w:r w:rsidR="00736390" w:rsidRPr="00121A6A">
        <w:rPr>
          <w:sz w:val="24"/>
          <w:szCs w:val="24"/>
        </w:rPr>
        <w:t xml:space="preserve"> over te gaan tot een stakingsaanzegging. In reactie hierop vorderde </w:t>
      </w:r>
      <w:r w:rsidR="00736390" w:rsidRPr="00121A6A">
        <w:rPr>
          <w:i/>
          <w:iCs/>
          <w:sz w:val="24"/>
          <w:szCs w:val="24"/>
        </w:rPr>
        <w:t>BA</w:t>
      </w:r>
      <w:r w:rsidR="00736390" w:rsidRPr="00121A6A">
        <w:rPr>
          <w:sz w:val="24"/>
          <w:szCs w:val="24"/>
        </w:rPr>
        <w:t xml:space="preserve"> een rechterlijk stakingsverbod op de grond dat de staking onrechtmatig </w:t>
      </w:r>
      <w:r w:rsidR="00697706" w:rsidRPr="00121A6A">
        <w:rPr>
          <w:sz w:val="24"/>
          <w:szCs w:val="24"/>
        </w:rPr>
        <w:t>was</w:t>
      </w:r>
      <w:r w:rsidR="00736390" w:rsidRPr="00121A6A">
        <w:rPr>
          <w:sz w:val="24"/>
          <w:szCs w:val="24"/>
        </w:rPr>
        <w:t xml:space="preserve"> in het licht van</w:t>
      </w:r>
      <w:r w:rsidR="00A659C1" w:rsidRPr="00121A6A">
        <w:rPr>
          <w:sz w:val="24"/>
          <w:szCs w:val="24"/>
        </w:rPr>
        <w:t xml:space="preserve"> (met name)</w:t>
      </w:r>
      <w:r w:rsidR="00736390" w:rsidRPr="00121A6A">
        <w:rPr>
          <w:sz w:val="24"/>
          <w:szCs w:val="24"/>
        </w:rPr>
        <w:t xml:space="preserve"> </w:t>
      </w:r>
      <w:r w:rsidR="00A659C1" w:rsidRPr="00121A6A">
        <w:rPr>
          <w:sz w:val="24"/>
          <w:szCs w:val="24"/>
        </w:rPr>
        <w:t xml:space="preserve">het </w:t>
      </w:r>
      <w:r w:rsidR="00736390" w:rsidRPr="00121A6A">
        <w:rPr>
          <w:i/>
          <w:iCs/>
          <w:sz w:val="24"/>
          <w:szCs w:val="24"/>
        </w:rPr>
        <w:t>Viking</w:t>
      </w:r>
      <w:r w:rsidR="00A659C1" w:rsidRPr="00121A6A">
        <w:rPr>
          <w:sz w:val="24"/>
          <w:szCs w:val="24"/>
        </w:rPr>
        <w:t>-arrest</w:t>
      </w:r>
      <w:r w:rsidR="00736390" w:rsidRPr="00121A6A">
        <w:rPr>
          <w:sz w:val="24"/>
          <w:szCs w:val="24"/>
        </w:rPr>
        <w:t xml:space="preserve">. Gedreigd werd bovendien met hoge schadeclaims indien tóch zou worden gestaakt. Dit weerhield </w:t>
      </w:r>
      <w:r w:rsidR="00736390" w:rsidRPr="00121A6A">
        <w:rPr>
          <w:i/>
          <w:iCs/>
          <w:sz w:val="24"/>
          <w:szCs w:val="24"/>
        </w:rPr>
        <w:t>BALPA</w:t>
      </w:r>
      <w:r w:rsidR="00736390" w:rsidRPr="00121A6A">
        <w:rPr>
          <w:sz w:val="24"/>
          <w:szCs w:val="24"/>
        </w:rPr>
        <w:t xml:space="preserve"> ervan de staking door te zetten, wat resulteerde in een klacht bij de </w:t>
      </w:r>
      <w:proofErr w:type="spellStart"/>
      <w:r w:rsidR="00736390" w:rsidRPr="00121A6A">
        <w:rPr>
          <w:sz w:val="24"/>
          <w:szCs w:val="24"/>
        </w:rPr>
        <w:t>CoE</w:t>
      </w:r>
      <w:proofErr w:type="spellEnd"/>
      <w:r w:rsidR="00736390" w:rsidRPr="00121A6A">
        <w:rPr>
          <w:sz w:val="24"/>
          <w:szCs w:val="24"/>
        </w:rPr>
        <w:t>.</w:t>
      </w:r>
      <w:r w:rsidR="00697706" w:rsidRPr="00121A6A">
        <w:rPr>
          <w:sz w:val="24"/>
          <w:szCs w:val="24"/>
        </w:rPr>
        <w:t xml:space="preserve"> </w:t>
      </w:r>
      <w:r w:rsidR="000621A5" w:rsidRPr="00121A6A">
        <w:rPr>
          <w:sz w:val="24"/>
          <w:szCs w:val="24"/>
        </w:rPr>
        <w:t>Het</w:t>
      </w:r>
      <w:r w:rsidR="00736390" w:rsidRPr="00121A6A">
        <w:rPr>
          <w:sz w:val="24"/>
          <w:szCs w:val="24"/>
        </w:rPr>
        <w:t xml:space="preserve"> </w:t>
      </w:r>
      <w:r w:rsidR="000621A5" w:rsidRPr="00121A6A">
        <w:rPr>
          <w:sz w:val="24"/>
          <w:szCs w:val="24"/>
        </w:rPr>
        <w:t>Comité</w:t>
      </w:r>
      <w:r w:rsidR="002C3F9F" w:rsidRPr="00121A6A">
        <w:rPr>
          <w:sz w:val="24"/>
          <w:szCs w:val="24"/>
        </w:rPr>
        <w:t xml:space="preserve"> overwoog ‘</w:t>
      </w:r>
      <w:r w:rsidR="002C3F9F" w:rsidRPr="00121A6A">
        <w:rPr>
          <w:i/>
          <w:iCs/>
          <w:sz w:val="24"/>
          <w:szCs w:val="24"/>
        </w:rPr>
        <w:t>[dat]</w:t>
      </w:r>
      <w:r w:rsidR="002C3F9F" w:rsidRPr="00121A6A">
        <w:rPr>
          <w:sz w:val="24"/>
          <w:szCs w:val="24"/>
        </w:rPr>
        <w:t xml:space="preserve"> </w:t>
      </w:r>
      <w:r w:rsidR="002C3F9F" w:rsidRPr="00121A6A">
        <w:rPr>
          <w:i/>
          <w:iCs/>
          <w:sz w:val="24"/>
          <w:szCs w:val="24"/>
        </w:rPr>
        <w:t>het bij de uiteenzetting van zijn standpunt met betrekking tot toelaatbare beperkingen die kunnen worden gesteld aan het stakingsrecht, nooit de noodzaak heeft genoemd om de evenredigheid van de belangen te beoordelen rekening houdend met een notie van vrijheid van vestiging of vrijheid van dienstverrichting. […] Het Comité is van mening dat er geen grond is om zijn standpunt in dit opzicht te herzien.</w:t>
      </w:r>
      <w:r w:rsidR="002C3F9F" w:rsidRPr="00121A6A">
        <w:rPr>
          <w:sz w:val="24"/>
          <w:szCs w:val="24"/>
        </w:rPr>
        <w:t xml:space="preserve">’ Met deze overweging bestrijdt de </w:t>
      </w:r>
      <w:proofErr w:type="spellStart"/>
      <w:r w:rsidR="00E772C7" w:rsidRPr="00121A6A">
        <w:rPr>
          <w:sz w:val="24"/>
          <w:szCs w:val="24"/>
        </w:rPr>
        <w:t>CoE</w:t>
      </w:r>
      <w:proofErr w:type="spellEnd"/>
      <w:r w:rsidR="002C3F9F" w:rsidRPr="00121A6A">
        <w:rPr>
          <w:sz w:val="24"/>
          <w:szCs w:val="24"/>
        </w:rPr>
        <w:t xml:space="preserve"> in feite het hele idee dat het recht op collectieve actie </w:t>
      </w:r>
      <w:r w:rsidR="008D1A99" w:rsidRPr="00121A6A">
        <w:rPr>
          <w:sz w:val="24"/>
          <w:szCs w:val="24"/>
        </w:rPr>
        <w:t xml:space="preserve">kan </w:t>
      </w:r>
      <w:r w:rsidR="002C3F9F" w:rsidRPr="00121A6A">
        <w:rPr>
          <w:sz w:val="24"/>
          <w:szCs w:val="24"/>
        </w:rPr>
        <w:t>worden afgewogen tegen</w:t>
      </w:r>
      <w:r w:rsidR="003A6A1B">
        <w:rPr>
          <w:sz w:val="24"/>
          <w:szCs w:val="24"/>
        </w:rPr>
        <w:t xml:space="preserve"> de</w:t>
      </w:r>
      <w:r w:rsidR="002C3F9F" w:rsidRPr="00121A6A">
        <w:rPr>
          <w:sz w:val="24"/>
          <w:szCs w:val="24"/>
        </w:rPr>
        <w:t xml:space="preserve"> </w:t>
      </w:r>
      <w:r w:rsidR="000621A5" w:rsidRPr="00121A6A">
        <w:rPr>
          <w:sz w:val="24"/>
          <w:szCs w:val="24"/>
        </w:rPr>
        <w:t>markt</w:t>
      </w:r>
      <w:r w:rsidR="002C3F9F" w:rsidRPr="00121A6A">
        <w:rPr>
          <w:sz w:val="24"/>
          <w:szCs w:val="24"/>
        </w:rPr>
        <w:t>vrijheden.</w:t>
      </w:r>
      <w:r w:rsidR="002C3F9F" w:rsidRPr="00121A6A">
        <w:rPr>
          <w:rStyle w:val="FootnoteReference"/>
          <w:sz w:val="24"/>
          <w:szCs w:val="24"/>
        </w:rPr>
        <w:footnoteReference w:id="151"/>
      </w:r>
      <w:r w:rsidR="000621A5" w:rsidRPr="00121A6A">
        <w:rPr>
          <w:sz w:val="24"/>
          <w:szCs w:val="24"/>
        </w:rPr>
        <w:t xml:space="preserve"> E</w:t>
      </w:r>
      <w:r w:rsidR="00736390" w:rsidRPr="00121A6A">
        <w:rPr>
          <w:sz w:val="24"/>
          <w:szCs w:val="24"/>
        </w:rPr>
        <w:t xml:space="preserve">en andersluidende opvatting </w:t>
      </w:r>
      <w:r w:rsidR="00DC0EBC" w:rsidRPr="00121A6A">
        <w:rPr>
          <w:sz w:val="24"/>
          <w:szCs w:val="24"/>
        </w:rPr>
        <w:t>‘</w:t>
      </w:r>
      <w:r w:rsidR="00DC0EBC" w:rsidRPr="00121A6A">
        <w:rPr>
          <w:i/>
          <w:iCs/>
          <w:sz w:val="24"/>
          <w:szCs w:val="24"/>
        </w:rPr>
        <w:t>zou</w:t>
      </w:r>
      <w:r w:rsidR="00736390" w:rsidRPr="00121A6A">
        <w:rPr>
          <w:i/>
          <w:iCs/>
          <w:sz w:val="24"/>
          <w:szCs w:val="24"/>
        </w:rPr>
        <w:t xml:space="preserve"> immers de deur open</w:t>
      </w:r>
      <w:r w:rsidR="00DC0EBC" w:rsidRPr="00121A6A">
        <w:rPr>
          <w:i/>
          <w:iCs/>
          <w:sz w:val="24"/>
          <w:szCs w:val="24"/>
        </w:rPr>
        <w:t>zetten</w:t>
      </w:r>
      <w:r w:rsidR="00736390" w:rsidRPr="00121A6A">
        <w:rPr>
          <w:i/>
          <w:iCs/>
          <w:sz w:val="24"/>
          <w:szCs w:val="24"/>
        </w:rPr>
        <w:t xml:space="preserve"> voor gerechtelijke verbodsacties en de vertraging die daar noodzakelijkerwij</w:t>
      </w:r>
      <w:r w:rsidR="00DC0EBC" w:rsidRPr="00121A6A">
        <w:rPr>
          <w:i/>
          <w:iCs/>
          <w:sz w:val="24"/>
          <w:szCs w:val="24"/>
        </w:rPr>
        <w:t>s</w:t>
      </w:r>
      <w:r w:rsidR="00736390" w:rsidRPr="00121A6A">
        <w:rPr>
          <w:i/>
          <w:iCs/>
          <w:sz w:val="24"/>
          <w:szCs w:val="24"/>
        </w:rPr>
        <w:t xml:space="preserve"> mee gepaard gaat, in combinatie met de dreiging van hoge schadeclaims,</w:t>
      </w:r>
      <w:r w:rsidR="00524691" w:rsidRPr="00121A6A">
        <w:rPr>
          <w:rStyle w:val="FootnoteReference"/>
          <w:sz w:val="24"/>
          <w:szCs w:val="24"/>
        </w:rPr>
        <w:footnoteReference w:id="152"/>
      </w:r>
      <w:r w:rsidR="00736390" w:rsidRPr="00121A6A">
        <w:rPr>
          <w:i/>
          <w:iCs/>
          <w:sz w:val="24"/>
          <w:szCs w:val="24"/>
        </w:rPr>
        <w:t xml:space="preserve"> maakt dat de rechten uit hoofde van ILO-Verdrag 87</w:t>
      </w:r>
      <w:r w:rsidR="00240F97" w:rsidRPr="00121A6A">
        <w:rPr>
          <w:i/>
          <w:iCs/>
          <w:sz w:val="24"/>
          <w:szCs w:val="24"/>
        </w:rPr>
        <w:t xml:space="preserve"> </w:t>
      </w:r>
      <w:r w:rsidR="00AE0106" w:rsidRPr="00121A6A">
        <w:rPr>
          <w:i/>
          <w:iCs/>
          <w:sz w:val="24"/>
          <w:szCs w:val="24"/>
        </w:rPr>
        <w:t>[</w:t>
      </w:r>
      <w:r w:rsidR="00240F97" w:rsidRPr="00121A6A">
        <w:rPr>
          <w:i/>
          <w:iCs/>
          <w:sz w:val="24"/>
          <w:szCs w:val="24"/>
        </w:rPr>
        <w:t>feitelijk</w:t>
      </w:r>
      <w:r w:rsidR="00AE0106" w:rsidRPr="00121A6A">
        <w:rPr>
          <w:i/>
          <w:iCs/>
          <w:sz w:val="24"/>
          <w:szCs w:val="24"/>
        </w:rPr>
        <w:t>]</w:t>
      </w:r>
      <w:r w:rsidR="00736390" w:rsidRPr="00121A6A">
        <w:rPr>
          <w:i/>
          <w:iCs/>
          <w:sz w:val="24"/>
          <w:szCs w:val="24"/>
        </w:rPr>
        <w:t xml:space="preserve"> niet </w:t>
      </w:r>
      <w:r w:rsidR="00AE0106" w:rsidRPr="00121A6A">
        <w:rPr>
          <w:i/>
          <w:iCs/>
          <w:sz w:val="24"/>
          <w:szCs w:val="24"/>
        </w:rPr>
        <w:t xml:space="preserve">[effectief] </w:t>
      </w:r>
      <w:r w:rsidR="00736390" w:rsidRPr="00121A6A">
        <w:rPr>
          <w:i/>
          <w:iCs/>
          <w:sz w:val="24"/>
          <w:szCs w:val="24"/>
        </w:rPr>
        <w:t>kunnen worden uitgeoefend</w:t>
      </w:r>
      <w:r w:rsidR="00736390" w:rsidRPr="00121A6A">
        <w:rPr>
          <w:sz w:val="24"/>
          <w:szCs w:val="24"/>
        </w:rPr>
        <w:t>.</w:t>
      </w:r>
      <w:r w:rsidR="009757A6" w:rsidRPr="00121A6A">
        <w:rPr>
          <w:sz w:val="24"/>
          <w:szCs w:val="24"/>
        </w:rPr>
        <w:t>’</w:t>
      </w:r>
      <w:r w:rsidR="00736390" w:rsidRPr="00121A6A">
        <w:rPr>
          <w:sz w:val="24"/>
          <w:szCs w:val="24"/>
        </w:rPr>
        <w:t xml:space="preserve"> De </w:t>
      </w:r>
      <w:proofErr w:type="spellStart"/>
      <w:r w:rsidR="00736390" w:rsidRPr="00121A6A">
        <w:rPr>
          <w:sz w:val="24"/>
          <w:szCs w:val="24"/>
        </w:rPr>
        <w:t>CoE</w:t>
      </w:r>
      <w:proofErr w:type="spellEnd"/>
      <w:r w:rsidR="00736390" w:rsidRPr="00121A6A">
        <w:rPr>
          <w:sz w:val="24"/>
          <w:szCs w:val="24"/>
        </w:rPr>
        <w:t xml:space="preserve"> concludeerde</w:t>
      </w:r>
      <w:r w:rsidR="009757A6" w:rsidRPr="00121A6A">
        <w:rPr>
          <w:sz w:val="24"/>
          <w:szCs w:val="24"/>
        </w:rPr>
        <w:t xml:space="preserve"> </w:t>
      </w:r>
      <w:r w:rsidR="00736390" w:rsidRPr="00121A6A">
        <w:rPr>
          <w:sz w:val="24"/>
          <w:szCs w:val="24"/>
        </w:rPr>
        <w:t xml:space="preserve">dat </w:t>
      </w:r>
      <w:r w:rsidR="00736390" w:rsidRPr="00121A6A">
        <w:rPr>
          <w:i/>
          <w:iCs/>
          <w:sz w:val="24"/>
          <w:szCs w:val="24"/>
        </w:rPr>
        <w:t xml:space="preserve">Viking </w:t>
      </w:r>
      <w:r w:rsidR="00736390" w:rsidRPr="00121A6A">
        <w:rPr>
          <w:sz w:val="24"/>
          <w:szCs w:val="24"/>
        </w:rPr>
        <w:t>en</w:t>
      </w:r>
      <w:r w:rsidR="00736390" w:rsidRPr="00121A6A">
        <w:rPr>
          <w:i/>
          <w:iCs/>
          <w:sz w:val="24"/>
          <w:szCs w:val="24"/>
        </w:rPr>
        <w:t xml:space="preserve"> Laval</w:t>
      </w:r>
      <w:r w:rsidR="00736390" w:rsidRPr="00121A6A">
        <w:rPr>
          <w:sz w:val="24"/>
          <w:szCs w:val="24"/>
        </w:rPr>
        <w:t xml:space="preserve"> </w:t>
      </w:r>
      <w:r w:rsidR="009757A6" w:rsidRPr="00121A6A">
        <w:rPr>
          <w:sz w:val="24"/>
          <w:szCs w:val="24"/>
        </w:rPr>
        <w:t>‘</w:t>
      </w:r>
      <w:r w:rsidR="00736390" w:rsidRPr="00121A6A">
        <w:rPr>
          <w:i/>
          <w:iCs/>
          <w:sz w:val="24"/>
          <w:szCs w:val="24"/>
        </w:rPr>
        <w:t xml:space="preserve">waarschijnlijk een aanzienlijk beperkend effect hebben op </w:t>
      </w:r>
      <w:r w:rsidR="003A6A1B">
        <w:rPr>
          <w:i/>
          <w:iCs/>
          <w:sz w:val="24"/>
          <w:szCs w:val="24"/>
        </w:rPr>
        <w:t xml:space="preserve">de </w:t>
      </w:r>
      <w:r w:rsidR="00736390" w:rsidRPr="00121A6A">
        <w:rPr>
          <w:i/>
          <w:iCs/>
          <w:sz w:val="24"/>
          <w:szCs w:val="24"/>
        </w:rPr>
        <w:t>effectieve uitoefening van het stakingsrecht in de praktijk, op een manier die strijdig is met ILO-Verdrag 87</w:t>
      </w:r>
      <w:r w:rsidR="00736390" w:rsidRPr="00121A6A">
        <w:rPr>
          <w:sz w:val="24"/>
          <w:szCs w:val="24"/>
        </w:rPr>
        <w:t>.</w:t>
      </w:r>
      <w:r w:rsidR="009757A6" w:rsidRPr="00121A6A">
        <w:rPr>
          <w:sz w:val="24"/>
          <w:szCs w:val="24"/>
        </w:rPr>
        <w:t>’</w:t>
      </w:r>
      <w:r w:rsidR="00117ED4" w:rsidRPr="00121A6A">
        <w:rPr>
          <w:sz w:val="24"/>
          <w:szCs w:val="24"/>
        </w:rPr>
        <w:t xml:space="preserve"> Met deze stellige bewoordingen </w:t>
      </w:r>
      <w:r w:rsidR="00FE5D2C" w:rsidRPr="00121A6A">
        <w:rPr>
          <w:sz w:val="24"/>
          <w:szCs w:val="24"/>
        </w:rPr>
        <w:t xml:space="preserve">zet de </w:t>
      </w:r>
      <w:proofErr w:type="spellStart"/>
      <w:r w:rsidR="00FE5D2C" w:rsidRPr="00121A6A">
        <w:rPr>
          <w:sz w:val="24"/>
          <w:szCs w:val="24"/>
        </w:rPr>
        <w:t>CoE</w:t>
      </w:r>
      <w:proofErr w:type="spellEnd"/>
      <w:r w:rsidR="00FE5D2C" w:rsidRPr="00121A6A">
        <w:rPr>
          <w:sz w:val="24"/>
          <w:szCs w:val="24"/>
        </w:rPr>
        <w:t xml:space="preserve"> zich niet alleen af tegen de rechtspraak van het HvJ, maar ook (deels) tegen die van het EHRM en het ECSR. </w:t>
      </w:r>
      <w:r w:rsidR="00341965" w:rsidRPr="00121A6A">
        <w:rPr>
          <w:sz w:val="24"/>
          <w:szCs w:val="24"/>
        </w:rPr>
        <w:t>Voor zover het stakingsmiddel wordt aangewend met het oog op het beschermen of verbeteren van arbeidsvoorwaarden of -omstandigheden,</w:t>
      </w:r>
      <w:r w:rsidR="00341965" w:rsidRPr="00121A6A">
        <w:rPr>
          <w:rStyle w:val="FootnoteReference"/>
          <w:sz w:val="24"/>
          <w:szCs w:val="24"/>
        </w:rPr>
        <w:footnoteReference w:id="153"/>
      </w:r>
      <w:r w:rsidR="00341965" w:rsidRPr="00121A6A">
        <w:rPr>
          <w:sz w:val="24"/>
          <w:szCs w:val="24"/>
        </w:rPr>
        <w:t xml:space="preserve"> is inperking </w:t>
      </w:r>
      <w:r w:rsidR="00156C0D" w:rsidRPr="00121A6A">
        <w:rPr>
          <w:sz w:val="24"/>
          <w:szCs w:val="24"/>
        </w:rPr>
        <w:t>hiervan</w:t>
      </w:r>
      <w:r w:rsidR="00341965" w:rsidRPr="00121A6A">
        <w:rPr>
          <w:sz w:val="24"/>
          <w:szCs w:val="24"/>
        </w:rPr>
        <w:t xml:space="preserve"> omwille van het economisch werkgeversbelang in de ogen van de </w:t>
      </w:r>
      <w:proofErr w:type="spellStart"/>
      <w:r w:rsidR="00341965" w:rsidRPr="00121A6A">
        <w:rPr>
          <w:sz w:val="24"/>
          <w:szCs w:val="24"/>
        </w:rPr>
        <w:t>CoE</w:t>
      </w:r>
      <w:proofErr w:type="spellEnd"/>
      <w:r w:rsidR="00341965" w:rsidRPr="00121A6A">
        <w:rPr>
          <w:sz w:val="24"/>
          <w:szCs w:val="24"/>
        </w:rPr>
        <w:t xml:space="preserve"> in principe </w:t>
      </w:r>
      <w:r w:rsidR="00FE13D3">
        <w:rPr>
          <w:sz w:val="24"/>
          <w:szCs w:val="24"/>
        </w:rPr>
        <w:t>ontoelaatbaar</w:t>
      </w:r>
      <w:r w:rsidR="00341965" w:rsidRPr="00121A6A">
        <w:rPr>
          <w:sz w:val="24"/>
          <w:szCs w:val="24"/>
        </w:rPr>
        <w:t>.</w:t>
      </w:r>
      <w:r w:rsidR="008D1A99" w:rsidRPr="00121A6A">
        <w:rPr>
          <w:rStyle w:val="FootnoteReference"/>
          <w:sz w:val="24"/>
          <w:szCs w:val="24"/>
        </w:rPr>
        <w:footnoteReference w:id="154"/>
      </w:r>
    </w:p>
    <w:p w14:paraId="22E91130" w14:textId="77777777" w:rsidR="00806E94" w:rsidRPr="00121A6A" w:rsidRDefault="00806E94" w:rsidP="00D20B15">
      <w:pPr>
        <w:spacing w:after="0"/>
        <w:rPr>
          <w:sz w:val="24"/>
          <w:szCs w:val="24"/>
        </w:rPr>
      </w:pPr>
    </w:p>
    <w:p w14:paraId="0EA4D17E" w14:textId="7B327C47" w:rsidR="00806E94" w:rsidRPr="00121A6A" w:rsidRDefault="00806E94" w:rsidP="00B55B14">
      <w:pPr>
        <w:pStyle w:val="Heading2"/>
        <w:rPr>
          <w:sz w:val="24"/>
          <w:szCs w:val="24"/>
        </w:rPr>
      </w:pPr>
      <w:bookmarkStart w:id="60" w:name="_Toc169963068"/>
      <w:r w:rsidRPr="00121A6A">
        <w:rPr>
          <w:sz w:val="24"/>
          <w:szCs w:val="24"/>
        </w:rPr>
        <w:t>3.</w:t>
      </w:r>
      <w:r w:rsidR="000B7083" w:rsidRPr="00121A6A">
        <w:rPr>
          <w:sz w:val="24"/>
          <w:szCs w:val="24"/>
        </w:rPr>
        <w:t>4</w:t>
      </w:r>
      <w:r w:rsidRPr="00121A6A">
        <w:rPr>
          <w:sz w:val="24"/>
          <w:szCs w:val="24"/>
        </w:rPr>
        <w:t xml:space="preserve"> </w:t>
      </w:r>
      <w:r w:rsidR="00E86F32">
        <w:rPr>
          <w:sz w:val="24"/>
          <w:szCs w:val="24"/>
        </w:rPr>
        <w:t>De m</w:t>
      </w:r>
      <w:r w:rsidR="009F28EE" w:rsidRPr="00121A6A">
        <w:rPr>
          <w:sz w:val="24"/>
          <w:szCs w:val="24"/>
        </w:rPr>
        <w:t>ate van b</w:t>
      </w:r>
      <w:r w:rsidRPr="00121A6A">
        <w:rPr>
          <w:sz w:val="24"/>
          <w:szCs w:val="24"/>
        </w:rPr>
        <w:t xml:space="preserve">inding van </w:t>
      </w:r>
      <w:r w:rsidR="003A6A1B">
        <w:rPr>
          <w:sz w:val="24"/>
          <w:szCs w:val="24"/>
        </w:rPr>
        <w:t>de EU</w:t>
      </w:r>
      <w:r w:rsidRPr="00121A6A">
        <w:rPr>
          <w:sz w:val="24"/>
          <w:szCs w:val="24"/>
        </w:rPr>
        <w:t xml:space="preserve"> aan </w:t>
      </w:r>
      <w:r w:rsidR="00E86F32">
        <w:rPr>
          <w:sz w:val="24"/>
          <w:szCs w:val="24"/>
        </w:rPr>
        <w:t xml:space="preserve">het </w:t>
      </w:r>
      <w:r w:rsidRPr="00121A6A">
        <w:rPr>
          <w:sz w:val="24"/>
          <w:szCs w:val="24"/>
        </w:rPr>
        <w:t>internationa</w:t>
      </w:r>
      <w:r w:rsidR="00E86F32">
        <w:rPr>
          <w:sz w:val="24"/>
          <w:szCs w:val="24"/>
        </w:rPr>
        <w:t>le</w:t>
      </w:r>
      <w:r w:rsidRPr="00121A6A">
        <w:rPr>
          <w:sz w:val="24"/>
          <w:szCs w:val="24"/>
        </w:rPr>
        <w:t xml:space="preserve"> stakingsrecht</w:t>
      </w:r>
      <w:bookmarkEnd w:id="60"/>
    </w:p>
    <w:p w14:paraId="78780F1B" w14:textId="578AB0EC" w:rsidR="009347C7" w:rsidRPr="00121A6A" w:rsidRDefault="00441D1B" w:rsidP="00952EB6">
      <w:pPr>
        <w:spacing w:after="0"/>
        <w:jc w:val="both"/>
        <w:rPr>
          <w:sz w:val="24"/>
          <w:szCs w:val="24"/>
        </w:rPr>
      </w:pPr>
      <w:r>
        <w:rPr>
          <w:sz w:val="24"/>
          <w:szCs w:val="24"/>
        </w:rPr>
        <w:t>D</w:t>
      </w:r>
      <w:r w:rsidR="009347C7" w:rsidRPr="00121A6A">
        <w:rPr>
          <w:sz w:val="24"/>
          <w:szCs w:val="24"/>
        </w:rPr>
        <w:t xml:space="preserve">e stakingsrechtspraak van het HvJ </w:t>
      </w:r>
      <w:r>
        <w:rPr>
          <w:sz w:val="24"/>
          <w:szCs w:val="24"/>
        </w:rPr>
        <w:t xml:space="preserve">staat dus </w:t>
      </w:r>
      <w:r w:rsidR="009347C7" w:rsidRPr="00121A6A">
        <w:rPr>
          <w:sz w:val="24"/>
          <w:szCs w:val="24"/>
        </w:rPr>
        <w:t xml:space="preserve">in meer of mindere mate op gespannen voet met die van het EHRM, de </w:t>
      </w:r>
      <w:proofErr w:type="spellStart"/>
      <w:r w:rsidR="009347C7" w:rsidRPr="00121A6A">
        <w:rPr>
          <w:sz w:val="24"/>
          <w:szCs w:val="24"/>
        </w:rPr>
        <w:t>CoE</w:t>
      </w:r>
      <w:proofErr w:type="spellEnd"/>
      <w:r w:rsidR="009347C7" w:rsidRPr="00121A6A">
        <w:rPr>
          <w:sz w:val="24"/>
          <w:szCs w:val="24"/>
        </w:rPr>
        <w:t>/CFA en het ECSR. Gelet op noties van rechtseenheid</w:t>
      </w:r>
      <w:r w:rsidR="000F1B03" w:rsidRPr="00121A6A">
        <w:rPr>
          <w:sz w:val="24"/>
          <w:szCs w:val="24"/>
        </w:rPr>
        <w:t xml:space="preserve"> en rechtszekerheid </w:t>
      </w:r>
      <w:r w:rsidR="009347C7" w:rsidRPr="00121A6A">
        <w:rPr>
          <w:sz w:val="24"/>
          <w:szCs w:val="24"/>
        </w:rPr>
        <w:t>is een dergelijke spanning onwenselijk</w:t>
      </w:r>
      <w:r w:rsidR="009805AE" w:rsidRPr="00121A6A">
        <w:rPr>
          <w:sz w:val="24"/>
          <w:szCs w:val="24"/>
        </w:rPr>
        <w:t xml:space="preserve"> (par. 1.2)</w:t>
      </w:r>
      <w:r w:rsidR="009347C7" w:rsidRPr="00121A6A">
        <w:rPr>
          <w:sz w:val="24"/>
          <w:szCs w:val="24"/>
        </w:rPr>
        <w:t xml:space="preserve">. Het Unierecht kent dan ook diverse bepalingen die zien op de verhouding en samenhang met internationale (mensenrechten)verdragen. In deze paragraaf wordt uiteengezet in hoeverre de EU (en daarmee het HvJ) gebonden is aan </w:t>
      </w:r>
      <w:r w:rsidR="0044245A" w:rsidRPr="00121A6A">
        <w:rPr>
          <w:sz w:val="24"/>
          <w:szCs w:val="24"/>
        </w:rPr>
        <w:t xml:space="preserve">(de rechtspraak voortvloeiend uit) </w:t>
      </w:r>
      <w:r w:rsidR="009347C7" w:rsidRPr="00121A6A">
        <w:rPr>
          <w:sz w:val="24"/>
          <w:szCs w:val="24"/>
        </w:rPr>
        <w:t>het EVRM, ILO</w:t>
      </w:r>
      <w:r w:rsidR="009805AE" w:rsidRPr="00121A6A">
        <w:rPr>
          <w:sz w:val="24"/>
          <w:szCs w:val="24"/>
        </w:rPr>
        <w:t>-Verdrag 87 en het ESH</w:t>
      </w:r>
      <w:r w:rsidR="0044245A" w:rsidRPr="00121A6A">
        <w:rPr>
          <w:sz w:val="24"/>
          <w:szCs w:val="24"/>
        </w:rPr>
        <w:t>.</w:t>
      </w:r>
    </w:p>
    <w:p w14:paraId="5ED04F1E" w14:textId="77777777" w:rsidR="009347C7" w:rsidRPr="00121A6A" w:rsidRDefault="009347C7" w:rsidP="009347C7">
      <w:pPr>
        <w:spacing w:after="0"/>
        <w:rPr>
          <w:sz w:val="24"/>
          <w:szCs w:val="24"/>
        </w:rPr>
      </w:pPr>
    </w:p>
    <w:p w14:paraId="4C4FC398" w14:textId="7B191C10" w:rsidR="00E718C9" w:rsidRPr="00121A6A" w:rsidRDefault="00351560" w:rsidP="00E718C9">
      <w:pPr>
        <w:pStyle w:val="Heading3"/>
        <w:jc w:val="both"/>
        <w:rPr>
          <w:sz w:val="24"/>
          <w:szCs w:val="24"/>
        </w:rPr>
      </w:pPr>
      <w:bookmarkStart w:id="61" w:name="_Toc169963069"/>
      <w:r>
        <w:rPr>
          <w:sz w:val="24"/>
          <w:szCs w:val="24"/>
        </w:rPr>
        <w:t>De v</w:t>
      </w:r>
      <w:r w:rsidR="00E718C9" w:rsidRPr="00121A6A">
        <w:rPr>
          <w:sz w:val="24"/>
          <w:szCs w:val="24"/>
        </w:rPr>
        <w:t xml:space="preserve">erhouding </w:t>
      </w:r>
      <w:r>
        <w:rPr>
          <w:sz w:val="24"/>
          <w:szCs w:val="24"/>
        </w:rPr>
        <w:t xml:space="preserve">tussen </w:t>
      </w:r>
      <w:r w:rsidR="00282406" w:rsidRPr="00121A6A">
        <w:rPr>
          <w:sz w:val="24"/>
          <w:szCs w:val="24"/>
        </w:rPr>
        <w:t>EU</w:t>
      </w:r>
      <w:r>
        <w:rPr>
          <w:sz w:val="24"/>
          <w:szCs w:val="24"/>
        </w:rPr>
        <w:t>-recht</w:t>
      </w:r>
      <w:r w:rsidR="00282406" w:rsidRPr="00121A6A">
        <w:rPr>
          <w:sz w:val="24"/>
          <w:szCs w:val="24"/>
        </w:rPr>
        <w:t xml:space="preserve"> en EVRM</w:t>
      </w:r>
      <w:r>
        <w:rPr>
          <w:sz w:val="24"/>
          <w:szCs w:val="24"/>
        </w:rPr>
        <w:t>-recht</w:t>
      </w:r>
      <w:bookmarkEnd w:id="61"/>
    </w:p>
    <w:p w14:paraId="1F31323E" w14:textId="60F3BE45" w:rsidR="0097530E" w:rsidRPr="00121A6A" w:rsidRDefault="00E960CE" w:rsidP="00952EB6">
      <w:pPr>
        <w:spacing w:after="0"/>
        <w:jc w:val="both"/>
        <w:rPr>
          <w:sz w:val="24"/>
          <w:szCs w:val="24"/>
        </w:rPr>
      </w:pPr>
      <w:r w:rsidRPr="00121A6A">
        <w:rPr>
          <w:sz w:val="24"/>
          <w:szCs w:val="24"/>
        </w:rPr>
        <w:t>V</w:t>
      </w:r>
      <w:r w:rsidR="001D631C" w:rsidRPr="00121A6A">
        <w:rPr>
          <w:sz w:val="24"/>
          <w:szCs w:val="24"/>
        </w:rPr>
        <w:t xml:space="preserve">ooropgesteld </w:t>
      </w:r>
      <w:r w:rsidRPr="00121A6A">
        <w:rPr>
          <w:sz w:val="24"/>
          <w:szCs w:val="24"/>
        </w:rPr>
        <w:t xml:space="preserve">moet worden </w:t>
      </w:r>
      <w:r w:rsidR="001D631C" w:rsidRPr="00121A6A">
        <w:rPr>
          <w:sz w:val="24"/>
          <w:szCs w:val="24"/>
        </w:rPr>
        <w:t xml:space="preserve">dat de </w:t>
      </w:r>
      <w:r w:rsidRPr="00121A6A">
        <w:rPr>
          <w:sz w:val="24"/>
          <w:szCs w:val="24"/>
        </w:rPr>
        <w:t>EU</w:t>
      </w:r>
      <w:r w:rsidR="001D631C" w:rsidRPr="00121A6A">
        <w:rPr>
          <w:sz w:val="24"/>
          <w:szCs w:val="24"/>
        </w:rPr>
        <w:t xml:space="preserve"> (vooralsnog) geen partij is bij het EVRM</w:t>
      </w:r>
      <w:r w:rsidR="00DD228F">
        <w:rPr>
          <w:sz w:val="24"/>
          <w:szCs w:val="24"/>
        </w:rPr>
        <w:t>.</w:t>
      </w:r>
      <w:r w:rsidR="006A7285" w:rsidRPr="00121A6A">
        <w:rPr>
          <w:sz w:val="24"/>
          <w:szCs w:val="24"/>
        </w:rPr>
        <w:t xml:space="preserve"> </w:t>
      </w:r>
      <w:r w:rsidR="00DD228F">
        <w:rPr>
          <w:sz w:val="24"/>
          <w:szCs w:val="24"/>
        </w:rPr>
        <w:t xml:space="preserve">Hierdoor is de Unie </w:t>
      </w:r>
      <w:r w:rsidR="009805AE" w:rsidRPr="00121A6A">
        <w:rPr>
          <w:sz w:val="24"/>
          <w:szCs w:val="24"/>
        </w:rPr>
        <w:t xml:space="preserve">op grond van internationaal recht </w:t>
      </w:r>
      <w:r w:rsidR="006A7285" w:rsidRPr="00121A6A">
        <w:rPr>
          <w:sz w:val="24"/>
          <w:szCs w:val="24"/>
        </w:rPr>
        <w:t>(nog)</w:t>
      </w:r>
      <w:r w:rsidRPr="00121A6A">
        <w:rPr>
          <w:sz w:val="24"/>
          <w:szCs w:val="24"/>
        </w:rPr>
        <w:t xml:space="preserve"> </w:t>
      </w:r>
      <w:r w:rsidR="00DD228F">
        <w:rPr>
          <w:sz w:val="24"/>
          <w:szCs w:val="24"/>
        </w:rPr>
        <w:t>niet gebonden</w:t>
      </w:r>
      <w:r w:rsidRPr="00121A6A">
        <w:rPr>
          <w:sz w:val="24"/>
          <w:szCs w:val="24"/>
        </w:rPr>
        <w:t xml:space="preserve"> aan het EVRM.</w:t>
      </w:r>
      <w:r w:rsidR="001D631C" w:rsidRPr="00121A6A">
        <w:rPr>
          <w:sz w:val="24"/>
          <w:szCs w:val="24"/>
        </w:rPr>
        <w:t xml:space="preserve"> Niettemin </w:t>
      </w:r>
      <w:r w:rsidR="007B7DE3" w:rsidRPr="00121A6A">
        <w:rPr>
          <w:sz w:val="24"/>
          <w:szCs w:val="24"/>
        </w:rPr>
        <w:t>regelt</w:t>
      </w:r>
      <w:r w:rsidR="006A7285" w:rsidRPr="00121A6A">
        <w:rPr>
          <w:sz w:val="24"/>
          <w:szCs w:val="24"/>
        </w:rPr>
        <w:t xml:space="preserve"> </w:t>
      </w:r>
      <w:r w:rsidR="00A42D6D" w:rsidRPr="00121A6A">
        <w:rPr>
          <w:sz w:val="24"/>
          <w:szCs w:val="24"/>
        </w:rPr>
        <w:t>a</w:t>
      </w:r>
      <w:r w:rsidR="00A9252E" w:rsidRPr="00121A6A">
        <w:rPr>
          <w:sz w:val="24"/>
          <w:szCs w:val="24"/>
        </w:rPr>
        <w:t>rtikel 6 lid 3 VEU dat</w:t>
      </w:r>
      <w:r w:rsidR="00737890" w:rsidRPr="00121A6A">
        <w:rPr>
          <w:sz w:val="24"/>
          <w:szCs w:val="24"/>
        </w:rPr>
        <w:t xml:space="preserve"> de grondrechten zoals gewaarborgd door het EVRM</w:t>
      </w:r>
      <w:r w:rsidR="00A9252E" w:rsidRPr="00121A6A">
        <w:rPr>
          <w:sz w:val="24"/>
          <w:szCs w:val="24"/>
        </w:rPr>
        <w:t xml:space="preserve"> </w:t>
      </w:r>
      <w:r w:rsidR="00737890" w:rsidRPr="00121A6A">
        <w:rPr>
          <w:sz w:val="24"/>
          <w:szCs w:val="24"/>
        </w:rPr>
        <w:t xml:space="preserve">als algemene beginselen deel </w:t>
      </w:r>
      <w:r w:rsidR="00737890" w:rsidRPr="00121A6A">
        <w:rPr>
          <w:sz w:val="24"/>
          <w:szCs w:val="24"/>
        </w:rPr>
        <w:lastRenderedPageBreak/>
        <w:t xml:space="preserve">uitmaken van </w:t>
      </w:r>
      <w:r w:rsidR="00D127DA" w:rsidRPr="00121A6A">
        <w:rPr>
          <w:sz w:val="24"/>
          <w:szCs w:val="24"/>
        </w:rPr>
        <w:t>het EU-recht</w:t>
      </w:r>
      <w:r w:rsidR="00737890" w:rsidRPr="00121A6A">
        <w:rPr>
          <w:sz w:val="24"/>
          <w:szCs w:val="24"/>
        </w:rPr>
        <w:t>.</w:t>
      </w:r>
      <w:r w:rsidR="00A9252E" w:rsidRPr="00121A6A">
        <w:rPr>
          <w:sz w:val="24"/>
          <w:szCs w:val="24"/>
        </w:rPr>
        <w:t xml:space="preserve"> </w:t>
      </w:r>
      <w:r w:rsidR="00047434" w:rsidRPr="00121A6A">
        <w:rPr>
          <w:sz w:val="24"/>
          <w:szCs w:val="24"/>
        </w:rPr>
        <w:t>Hieruit</w:t>
      </w:r>
      <w:r w:rsidR="00593B3F" w:rsidRPr="00121A6A">
        <w:rPr>
          <w:sz w:val="24"/>
          <w:szCs w:val="24"/>
        </w:rPr>
        <w:t xml:space="preserve"> leidt</w:t>
      </w:r>
      <w:r w:rsidR="001D631C" w:rsidRPr="00121A6A">
        <w:rPr>
          <w:sz w:val="24"/>
          <w:szCs w:val="24"/>
        </w:rPr>
        <w:t xml:space="preserve"> De Witte</w:t>
      </w:r>
      <w:r w:rsidR="00593B3F" w:rsidRPr="00121A6A">
        <w:rPr>
          <w:sz w:val="24"/>
          <w:szCs w:val="24"/>
        </w:rPr>
        <w:t xml:space="preserve"> </w:t>
      </w:r>
      <w:r w:rsidR="001D631C" w:rsidRPr="00121A6A">
        <w:rPr>
          <w:sz w:val="24"/>
          <w:szCs w:val="24"/>
        </w:rPr>
        <w:t>af dat de Unie vanuit het perspectief van</w:t>
      </w:r>
      <w:r w:rsidR="008D3401" w:rsidRPr="00121A6A">
        <w:rPr>
          <w:sz w:val="24"/>
          <w:szCs w:val="24"/>
        </w:rPr>
        <w:t xml:space="preserve"> het</w:t>
      </w:r>
      <w:r w:rsidR="001D631C" w:rsidRPr="00121A6A">
        <w:rPr>
          <w:sz w:val="24"/>
          <w:szCs w:val="24"/>
        </w:rPr>
        <w:t xml:space="preserve"> </w:t>
      </w:r>
      <w:r w:rsidR="00DD228F">
        <w:rPr>
          <w:sz w:val="24"/>
          <w:szCs w:val="24"/>
        </w:rPr>
        <w:t>Unie</w:t>
      </w:r>
      <w:r w:rsidR="001D631C" w:rsidRPr="00121A6A">
        <w:rPr>
          <w:sz w:val="24"/>
          <w:szCs w:val="24"/>
        </w:rPr>
        <w:t>recht</w:t>
      </w:r>
      <w:r w:rsidR="009114A9" w:rsidRPr="00121A6A">
        <w:rPr>
          <w:sz w:val="24"/>
          <w:szCs w:val="24"/>
        </w:rPr>
        <w:t xml:space="preserve"> </w:t>
      </w:r>
      <w:r w:rsidR="0012463D">
        <w:rPr>
          <w:sz w:val="24"/>
          <w:szCs w:val="24"/>
        </w:rPr>
        <w:t xml:space="preserve">wél </w:t>
      </w:r>
      <w:r w:rsidR="00D127DA" w:rsidRPr="00121A6A">
        <w:rPr>
          <w:sz w:val="24"/>
          <w:szCs w:val="24"/>
        </w:rPr>
        <w:t>aan</w:t>
      </w:r>
      <w:r w:rsidR="001D631C" w:rsidRPr="00121A6A">
        <w:rPr>
          <w:sz w:val="24"/>
          <w:szCs w:val="24"/>
        </w:rPr>
        <w:t xml:space="preserve"> </w:t>
      </w:r>
      <w:r w:rsidR="00D127DA" w:rsidRPr="00121A6A">
        <w:rPr>
          <w:sz w:val="24"/>
          <w:szCs w:val="24"/>
        </w:rPr>
        <w:t xml:space="preserve">het EVRM </w:t>
      </w:r>
      <w:r w:rsidR="001D631C" w:rsidRPr="00121A6A">
        <w:rPr>
          <w:sz w:val="24"/>
          <w:szCs w:val="24"/>
        </w:rPr>
        <w:t>is</w:t>
      </w:r>
      <w:r w:rsidR="00D127DA" w:rsidRPr="00121A6A">
        <w:rPr>
          <w:sz w:val="24"/>
          <w:szCs w:val="24"/>
        </w:rPr>
        <w:t xml:space="preserve"> gebonden</w:t>
      </w:r>
      <w:r w:rsidR="001D631C" w:rsidRPr="00121A6A">
        <w:rPr>
          <w:sz w:val="24"/>
          <w:szCs w:val="24"/>
        </w:rPr>
        <w:t>.</w:t>
      </w:r>
      <w:r w:rsidR="001D631C" w:rsidRPr="00121A6A">
        <w:rPr>
          <w:rStyle w:val="FootnoteReference"/>
          <w:sz w:val="24"/>
          <w:szCs w:val="24"/>
        </w:rPr>
        <w:footnoteReference w:id="155"/>
      </w:r>
      <w:r w:rsidR="008B442F" w:rsidRPr="00121A6A">
        <w:rPr>
          <w:sz w:val="24"/>
          <w:szCs w:val="24"/>
        </w:rPr>
        <w:t xml:space="preserve"> </w:t>
      </w:r>
      <w:r w:rsidR="0097530E" w:rsidRPr="00121A6A">
        <w:rPr>
          <w:sz w:val="24"/>
          <w:szCs w:val="24"/>
        </w:rPr>
        <w:t>Artikel 52 lid 3 Hv</w:t>
      </w:r>
      <w:r w:rsidR="00FC05F4" w:rsidRPr="00121A6A">
        <w:rPr>
          <w:sz w:val="24"/>
          <w:szCs w:val="24"/>
        </w:rPr>
        <w:t>,</w:t>
      </w:r>
      <w:r w:rsidR="00C86A40" w:rsidRPr="00121A6A">
        <w:rPr>
          <w:sz w:val="24"/>
          <w:szCs w:val="24"/>
        </w:rPr>
        <w:t xml:space="preserve"> </w:t>
      </w:r>
      <w:r w:rsidR="006A7285" w:rsidRPr="00121A6A">
        <w:rPr>
          <w:sz w:val="24"/>
          <w:szCs w:val="24"/>
        </w:rPr>
        <w:t xml:space="preserve">sinds </w:t>
      </w:r>
      <w:r w:rsidR="007B7DE3" w:rsidRPr="00121A6A">
        <w:rPr>
          <w:sz w:val="24"/>
          <w:szCs w:val="24"/>
        </w:rPr>
        <w:t xml:space="preserve">het </w:t>
      </w:r>
      <w:r w:rsidR="006A7285" w:rsidRPr="00121A6A">
        <w:rPr>
          <w:sz w:val="24"/>
          <w:szCs w:val="24"/>
        </w:rPr>
        <w:t>Lissabon</w:t>
      </w:r>
      <w:r w:rsidR="007B7DE3" w:rsidRPr="00121A6A">
        <w:rPr>
          <w:sz w:val="24"/>
          <w:szCs w:val="24"/>
        </w:rPr>
        <w:t>verdrag</w:t>
      </w:r>
      <w:r w:rsidR="006A7285" w:rsidRPr="00121A6A">
        <w:rPr>
          <w:sz w:val="24"/>
          <w:szCs w:val="24"/>
        </w:rPr>
        <w:t xml:space="preserve"> juridisch bindend en behorend </w:t>
      </w:r>
      <w:r w:rsidR="00C86A40" w:rsidRPr="00121A6A">
        <w:rPr>
          <w:sz w:val="24"/>
          <w:szCs w:val="24"/>
        </w:rPr>
        <w:t xml:space="preserve">tot </w:t>
      </w:r>
      <w:r w:rsidR="00DD228F">
        <w:rPr>
          <w:sz w:val="24"/>
          <w:szCs w:val="24"/>
        </w:rPr>
        <w:t xml:space="preserve">het </w:t>
      </w:r>
      <w:r w:rsidR="00C86A40" w:rsidRPr="00121A6A">
        <w:rPr>
          <w:sz w:val="24"/>
          <w:szCs w:val="24"/>
        </w:rPr>
        <w:t>primair</w:t>
      </w:r>
      <w:r w:rsidR="00DD228F">
        <w:rPr>
          <w:sz w:val="24"/>
          <w:szCs w:val="24"/>
        </w:rPr>
        <w:t>e</w:t>
      </w:r>
      <w:r w:rsidR="00C86A40" w:rsidRPr="00121A6A">
        <w:rPr>
          <w:sz w:val="24"/>
          <w:szCs w:val="24"/>
        </w:rPr>
        <w:t xml:space="preserve"> Unierecht</w:t>
      </w:r>
      <w:r w:rsidR="00FC05F4" w:rsidRPr="00121A6A">
        <w:rPr>
          <w:sz w:val="24"/>
          <w:szCs w:val="24"/>
        </w:rPr>
        <w:t>,</w:t>
      </w:r>
      <w:r w:rsidR="0097530E" w:rsidRPr="00121A6A">
        <w:rPr>
          <w:sz w:val="24"/>
          <w:szCs w:val="24"/>
        </w:rPr>
        <w:t xml:space="preserve"> </w:t>
      </w:r>
      <w:r w:rsidR="009D604D" w:rsidRPr="00121A6A">
        <w:rPr>
          <w:sz w:val="24"/>
          <w:szCs w:val="24"/>
        </w:rPr>
        <w:t xml:space="preserve">versterkt </w:t>
      </w:r>
      <w:r w:rsidR="0097530E" w:rsidRPr="00121A6A">
        <w:rPr>
          <w:sz w:val="24"/>
          <w:szCs w:val="24"/>
        </w:rPr>
        <w:t xml:space="preserve">die opvatting door te regelen dat voor zover rechten uit het Handvest corresponderen met rechten </w:t>
      </w:r>
      <w:r w:rsidR="006A7285" w:rsidRPr="00121A6A">
        <w:rPr>
          <w:sz w:val="24"/>
          <w:szCs w:val="24"/>
        </w:rPr>
        <w:t>uit</w:t>
      </w:r>
      <w:r w:rsidR="0097530E" w:rsidRPr="00121A6A">
        <w:rPr>
          <w:sz w:val="24"/>
          <w:szCs w:val="24"/>
        </w:rPr>
        <w:t xml:space="preserve"> het EVRM</w:t>
      </w:r>
      <w:r w:rsidR="009D604D" w:rsidRPr="00121A6A">
        <w:rPr>
          <w:sz w:val="24"/>
          <w:szCs w:val="24"/>
        </w:rPr>
        <w:t xml:space="preserve"> – zoals de artikelen 12 en 28 Hv corresponderen met artikel 11 EVRM</w:t>
      </w:r>
      <w:r w:rsidR="00D127DA" w:rsidRPr="00121A6A">
        <w:rPr>
          <w:rStyle w:val="FootnoteReference"/>
          <w:sz w:val="24"/>
          <w:szCs w:val="24"/>
        </w:rPr>
        <w:footnoteReference w:id="156"/>
      </w:r>
      <w:r w:rsidR="009D604D" w:rsidRPr="00121A6A">
        <w:rPr>
          <w:sz w:val="24"/>
          <w:szCs w:val="24"/>
        </w:rPr>
        <w:t xml:space="preserve"> –</w:t>
      </w:r>
      <w:r w:rsidR="00D127DA" w:rsidRPr="00121A6A">
        <w:rPr>
          <w:sz w:val="24"/>
          <w:szCs w:val="24"/>
        </w:rPr>
        <w:t xml:space="preserve"> </w:t>
      </w:r>
      <w:r w:rsidR="0097530E" w:rsidRPr="00121A6A">
        <w:rPr>
          <w:sz w:val="24"/>
          <w:szCs w:val="24"/>
        </w:rPr>
        <w:t xml:space="preserve">de inhoud en reikwijdte </w:t>
      </w:r>
      <w:r w:rsidR="00B27191" w:rsidRPr="00121A6A">
        <w:rPr>
          <w:sz w:val="24"/>
          <w:szCs w:val="24"/>
        </w:rPr>
        <w:t>daarvan</w:t>
      </w:r>
      <w:r w:rsidR="0097530E" w:rsidRPr="00121A6A">
        <w:rPr>
          <w:sz w:val="24"/>
          <w:szCs w:val="24"/>
        </w:rPr>
        <w:t xml:space="preserve"> minimaal </w:t>
      </w:r>
      <w:r w:rsidR="00B27191" w:rsidRPr="00121A6A">
        <w:rPr>
          <w:sz w:val="24"/>
          <w:szCs w:val="24"/>
        </w:rPr>
        <w:t>het</w:t>
      </w:r>
      <w:r w:rsidR="0097530E" w:rsidRPr="00121A6A">
        <w:rPr>
          <w:sz w:val="24"/>
          <w:szCs w:val="24"/>
        </w:rPr>
        <w:t>zelfde moet zijn. Voorts staat in artikel 53 Hv</w:t>
      </w:r>
      <w:r w:rsidR="00DD228F">
        <w:rPr>
          <w:sz w:val="24"/>
          <w:szCs w:val="24"/>
        </w:rPr>
        <w:t xml:space="preserve">: </w:t>
      </w:r>
      <w:r w:rsidR="00D127DA" w:rsidRPr="00DD228F">
        <w:rPr>
          <w:sz w:val="24"/>
          <w:szCs w:val="24"/>
        </w:rPr>
        <w:t>‘</w:t>
      </w:r>
      <w:r w:rsidR="00DD228F">
        <w:rPr>
          <w:i/>
          <w:iCs/>
          <w:sz w:val="24"/>
          <w:szCs w:val="24"/>
        </w:rPr>
        <w:t>G</w:t>
      </w:r>
      <w:r w:rsidR="00D127DA" w:rsidRPr="00121A6A">
        <w:rPr>
          <w:i/>
          <w:iCs/>
          <w:sz w:val="24"/>
          <w:szCs w:val="24"/>
        </w:rPr>
        <w:t xml:space="preserve">een van de bepalingen van </w:t>
      </w:r>
      <w:r w:rsidR="00DD228F">
        <w:rPr>
          <w:i/>
          <w:iCs/>
          <w:sz w:val="24"/>
          <w:szCs w:val="24"/>
        </w:rPr>
        <w:t xml:space="preserve">dit </w:t>
      </w:r>
      <w:r w:rsidR="00D127DA" w:rsidRPr="00121A6A">
        <w:rPr>
          <w:i/>
          <w:iCs/>
          <w:sz w:val="24"/>
          <w:szCs w:val="24"/>
        </w:rPr>
        <w:t>Handvest mag worden uitgelegd als zou zij een beperking vormen van of afbreuk doen aan de rechten van de mens en de fundamentele vrijheden welke […] worden erkend door het recht van de Unie, het internationaal recht en de internationale overeenkomsten waarbij de Unie of alle lidstaten partij zijn, met name het [EVRM]</w:t>
      </w:r>
      <w:r w:rsidR="00DD228F">
        <w:rPr>
          <w:i/>
          <w:iCs/>
          <w:sz w:val="24"/>
          <w:szCs w:val="24"/>
        </w:rPr>
        <w:t>.</w:t>
      </w:r>
      <w:r w:rsidR="00D127DA" w:rsidRPr="00121A6A">
        <w:rPr>
          <w:sz w:val="24"/>
          <w:szCs w:val="24"/>
        </w:rPr>
        <w:t>’</w:t>
      </w:r>
    </w:p>
    <w:p w14:paraId="58FA5EDC" w14:textId="38EB18EF" w:rsidR="008B442F" w:rsidRPr="00121A6A" w:rsidRDefault="00053631" w:rsidP="00952EB6">
      <w:pPr>
        <w:spacing w:after="0"/>
        <w:ind w:firstLine="709"/>
        <w:jc w:val="both"/>
        <w:rPr>
          <w:sz w:val="24"/>
          <w:szCs w:val="24"/>
        </w:rPr>
      </w:pPr>
      <w:r w:rsidRPr="00121A6A">
        <w:rPr>
          <w:sz w:val="24"/>
          <w:szCs w:val="24"/>
        </w:rPr>
        <w:t xml:space="preserve">Voor zover het EVRM </w:t>
      </w:r>
      <w:r w:rsidR="00566214" w:rsidRPr="00121A6A">
        <w:rPr>
          <w:sz w:val="24"/>
          <w:szCs w:val="24"/>
        </w:rPr>
        <w:t xml:space="preserve">op grond van deze bepalingen </w:t>
      </w:r>
      <w:r w:rsidRPr="00121A6A">
        <w:rPr>
          <w:sz w:val="24"/>
          <w:szCs w:val="24"/>
        </w:rPr>
        <w:t>onderdeel uitmaakt van</w:t>
      </w:r>
      <w:r w:rsidR="0012463D">
        <w:rPr>
          <w:sz w:val="24"/>
          <w:szCs w:val="24"/>
        </w:rPr>
        <w:t xml:space="preserve"> het</w:t>
      </w:r>
      <w:r w:rsidRPr="00121A6A">
        <w:rPr>
          <w:sz w:val="24"/>
          <w:szCs w:val="24"/>
        </w:rPr>
        <w:t xml:space="preserve"> primair</w:t>
      </w:r>
      <w:r w:rsidR="0012463D">
        <w:rPr>
          <w:sz w:val="24"/>
          <w:szCs w:val="24"/>
        </w:rPr>
        <w:t>e</w:t>
      </w:r>
      <w:r w:rsidRPr="00121A6A">
        <w:rPr>
          <w:sz w:val="24"/>
          <w:szCs w:val="24"/>
        </w:rPr>
        <w:t xml:space="preserve"> Unierecht en </w:t>
      </w:r>
      <w:r w:rsidR="007B5143" w:rsidRPr="00121A6A">
        <w:rPr>
          <w:sz w:val="24"/>
          <w:szCs w:val="24"/>
        </w:rPr>
        <w:t xml:space="preserve">op die grond </w:t>
      </w:r>
      <w:r w:rsidRPr="00121A6A">
        <w:rPr>
          <w:sz w:val="24"/>
          <w:szCs w:val="24"/>
        </w:rPr>
        <w:t xml:space="preserve">bindend is voor het HvJ, is een logische consequentie </w:t>
      </w:r>
      <w:r w:rsidR="008071DE">
        <w:rPr>
          <w:sz w:val="24"/>
          <w:szCs w:val="24"/>
        </w:rPr>
        <w:t>daar</w:t>
      </w:r>
      <w:r w:rsidR="00CF7CAA">
        <w:rPr>
          <w:sz w:val="24"/>
          <w:szCs w:val="24"/>
        </w:rPr>
        <w:t xml:space="preserve">van </w:t>
      </w:r>
      <w:r w:rsidRPr="00121A6A">
        <w:rPr>
          <w:sz w:val="24"/>
          <w:szCs w:val="24"/>
        </w:rPr>
        <w:t>dat hetzelfde geldt voor</w:t>
      </w:r>
      <w:r w:rsidR="0097530E" w:rsidRPr="00121A6A">
        <w:rPr>
          <w:sz w:val="24"/>
          <w:szCs w:val="24"/>
        </w:rPr>
        <w:t xml:space="preserve"> </w:t>
      </w:r>
      <w:r w:rsidR="00566214" w:rsidRPr="00121A6A">
        <w:rPr>
          <w:sz w:val="24"/>
          <w:szCs w:val="24"/>
        </w:rPr>
        <w:t>de</w:t>
      </w:r>
      <w:r w:rsidR="0097530E" w:rsidRPr="00121A6A">
        <w:rPr>
          <w:sz w:val="24"/>
          <w:szCs w:val="24"/>
        </w:rPr>
        <w:t xml:space="preserve"> rechtspraak van het EHRM.</w:t>
      </w:r>
      <w:r w:rsidRPr="00121A6A">
        <w:rPr>
          <w:rStyle w:val="FootnoteReference"/>
          <w:sz w:val="24"/>
          <w:szCs w:val="24"/>
        </w:rPr>
        <w:footnoteReference w:id="157"/>
      </w:r>
      <w:r w:rsidR="0097530E" w:rsidRPr="00121A6A">
        <w:rPr>
          <w:sz w:val="24"/>
          <w:szCs w:val="24"/>
        </w:rPr>
        <w:t xml:space="preserve"> </w:t>
      </w:r>
      <w:r w:rsidRPr="00121A6A">
        <w:rPr>
          <w:sz w:val="24"/>
          <w:szCs w:val="24"/>
        </w:rPr>
        <w:t xml:space="preserve">Dat geldt </w:t>
      </w:r>
      <w:r w:rsidR="00837911">
        <w:rPr>
          <w:sz w:val="24"/>
          <w:szCs w:val="24"/>
        </w:rPr>
        <w:t>te meer</w:t>
      </w:r>
      <w:r w:rsidRPr="00121A6A">
        <w:rPr>
          <w:sz w:val="24"/>
          <w:szCs w:val="24"/>
        </w:rPr>
        <w:t xml:space="preserve"> nu in de vijfde alinea van de preambule van het Handvest is opgenomen dat het Handvest de EVRM-rechten </w:t>
      </w:r>
      <w:r w:rsidRPr="00121A6A">
        <w:rPr>
          <w:i/>
          <w:iCs/>
          <w:sz w:val="24"/>
          <w:szCs w:val="24"/>
        </w:rPr>
        <w:t>alsook</w:t>
      </w:r>
      <w:r w:rsidRPr="00121A6A">
        <w:rPr>
          <w:sz w:val="24"/>
          <w:szCs w:val="24"/>
        </w:rPr>
        <w:t xml:space="preserve"> de jurisprudentie van het EHRM bevestigt. Daarenboven staat in de Toelichting op artikel 52 lid 3 Hv dat de inhoud en reikwijdte van EVRM-rechten niet alleen wordt bepaald door de tekst, maar ook door de jurisprudentie van het EHRM.</w:t>
      </w:r>
      <w:r w:rsidRPr="00121A6A">
        <w:rPr>
          <w:rStyle w:val="FootnoteReference"/>
          <w:sz w:val="24"/>
          <w:szCs w:val="24"/>
        </w:rPr>
        <w:footnoteReference w:id="158"/>
      </w:r>
      <w:r w:rsidR="008B442F" w:rsidRPr="00121A6A">
        <w:rPr>
          <w:sz w:val="24"/>
          <w:szCs w:val="24"/>
        </w:rPr>
        <w:t xml:space="preserve"> </w:t>
      </w:r>
      <w:r w:rsidR="00C01F91" w:rsidRPr="00121A6A">
        <w:rPr>
          <w:sz w:val="24"/>
          <w:szCs w:val="24"/>
        </w:rPr>
        <w:t xml:space="preserve">Hoewel </w:t>
      </w:r>
      <w:proofErr w:type="spellStart"/>
      <w:r w:rsidR="00C01F91" w:rsidRPr="00121A6A">
        <w:rPr>
          <w:sz w:val="24"/>
          <w:szCs w:val="24"/>
        </w:rPr>
        <w:t>Ellingsen</w:t>
      </w:r>
      <w:proofErr w:type="spellEnd"/>
      <w:r w:rsidR="00C01F91" w:rsidRPr="00121A6A">
        <w:rPr>
          <w:sz w:val="24"/>
          <w:szCs w:val="24"/>
        </w:rPr>
        <w:t xml:space="preserve"> schrijft dat het </w:t>
      </w:r>
      <w:r w:rsidR="00837911">
        <w:rPr>
          <w:sz w:val="24"/>
          <w:szCs w:val="24"/>
        </w:rPr>
        <w:t xml:space="preserve">HvJ op basis van het </w:t>
      </w:r>
      <w:r w:rsidR="00B65122" w:rsidRPr="00121A6A">
        <w:rPr>
          <w:sz w:val="24"/>
          <w:szCs w:val="24"/>
        </w:rPr>
        <w:t xml:space="preserve">huidige </w:t>
      </w:r>
      <w:r w:rsidR="00C01F91" w:rsidRPr="00121A6A">
        <w:rPr>
          <w:sz w:val="24"/>
          <w:szCs w:val="24"/>
        </w:rPr>
        <w:t>constitutionele kader niet</w:t>
      </w:r>
      <w:r w:rsidR="00837911">
        <w:rPr>
          <w:sz w:val="24"/>
          <w:szCs w:val="24"/>
        </w:rPr>
        <w:t xml:space="preserve"> verplicht is</w:t>
      </w:r>
      <w:r w:rsidR="00C01F91" w:rsidRPr="00121A6A">
        <w:rPr>
          <w:sz w:val="24"/>
          <w:szCs w:val="24"/>
        </w:rPr>
        <w:t xml:space="preserve"> </w:t>
      </w:r>
      <w:r w:rsidR="00837911">
        <w:rPr>
          <w:sz w:val="24"/>
          <w:szCs w:val="24"/>
        </w:rPr>
        <w:t xml:space="preserve">om </w:t>
      </w:r>
      <w:r w:rsidR="00C01F91" w:rsidRPr="00121A6A">
        <w:rPr>
          <w:sz w:val="24"/>
          <w:szCs w:val="24"/>
        </w:rPr>
        <w:t>de benadering van het EHRM te volgen,</w:t>
      </w:r>
      <w:r w:rsidR="00C01F91" w:rsidRPr="00121A6A">
        <w:rPr>
          <w:rStyle w:val="FootnoteReference"/>
          <w:sz w:val="24"/>
          <w:szCs w:val="24"/>
        </w:rPr>
        <w:footnoteReference w:id="159"/>
      </w:r>
      <w:r w:rsidR="00C01F91" w:rsidRPr="00121A6A">
        <w:rPr>
          <w:sz w:val="24"/>
          <w:szCs w:val="24"/>
        </w:rPr>
        <w:t xml:space="preserve"> meen ik dat </w:t>
      </w:r>
      <w:r w:rsidR="00FE4E8E">
        <w:rPr>
          <w:sz w:val="24"/>
          <w:szCs w:val="24"/>
        </w:rPr>
        <w:t xml:space="preserve">de </w:t>
      </w:r>
      <w:r w:rsidR="00C01F91" w:rsidRPr="00121A6A">
        <w:rPr>
          <w:sz w:val="24"/>
          <w:szCs w:val="24"/>
        </w:rPr>
        <w:t xml:space="preserve">genoemde argumenten </w:t>
      </w:r>
      <w:r w:rsidR="005C6088" w:rsidRPr="00121A6A">
        <w:rPr>
          <w:sz w:val="24"/>
          <w:szCs w:val="24"/>
        </w:rPr>
        <w:t xml:space="preserve">afdoende zijn om te stellen </w:t>
      </w:r>
      <w:r w:rsidR="00C01F91" w:rsidRPr="00121A6A">
        <w:rPr>
          <w:sz w:val="24"/>
          <w:szCs w:val="24"/>
        </w:rPr>
        <w:t xml:space="preserve">dat </w:t>
      </w:r>
      <w:r w:rsidR="009D604D" w:rsidRPr="00121A6A">
        <w:rPr>
          <w:sz w:val="24"/>
          <w:szCs w:val="24"/>
        </w:rPr>
        <w:t xml:space="preserve">het Luxemburgse Hof zich </w:t>
      </w:r>
      <w:r w:rsidR="00C218A6" w:rsidRPr="00121A6A">
        <w:rPr>
          <w:sz w:val="24"/>
          <w:szCs w:val="24"/>
        </w:rPr>
        <w:t xml:space="preserve">naar huidig recht reeds </w:t>
      </w:r>
      <w:r w:rsidR="009D604D" w:rsidRPr="00121A6A">
        <w:rPr>
          <w:sz w:val="24"/>
          <w:szCs w:val="24"/>
        </w:rPr>
        <w:t xml:space="preserve">moet conformeren aan </w:t>
      </w:r>
      <w:r w:rsidR="00A8705D" w:rsidRPr="00121A6A">
        <w:rPr>
          <w:sz w:val="24"/>
          <w:szCs w:val="24"/>
        </w:rPr>
        <w:t xml:space="preserve">de </w:t>
      </w:r>
      <w:r w:rsidR="009D604D" w:rsidRPr="00121A6A">
        <w:rPr>
          <w:sz w:val="24"/>
          <w:szCs w:val="24"/>
        </w:rPr>
        <w:t>(</w:t>
      </w:r>
      <w:proofErr w:type="spellStart"/>
      <w:r w:rsidR="009D604D" w:rsidRPr="00121A6A">
        <w:rPr>
          <w:sz w:val="24"/>
          <w:szCs w:val="24"/>
        </w:rPr>
        <w:t>stakings</w:t>
      </w:r>
      <w:proofErr w:type="spellEnd"/>
      <w:r w:rsidR="009D604D" w:rsidRPr="00121A6A">
        <w:rPr>
          <w:sz w:val="24"/>
          <w:szCs w:val="24"/>
        </w:rPr>
        <w:t>)rechtspraak uit Straatsburg.</w:t>
      </w:r>
      <w:r w:rsidR="009D604D" w:rsidRPr="00121A6A">
        <w:rPr>
          <w:rStyle w:val="FootnoteReference"/>
          <w:sz w:val="24"/>
          <w:szCs w:val="24"/>
        </w:rPr>
        <w:footnoteReference w:id="160"/>
      </w:r>
    </w:p>
    <w:p w14:paraId="40DD2652" w14:textId="04A6728B" w:rsidR="00E53AC3" w:rsidRPr="00121A6A" w:rsidRDefault="001B3DBC" w:rsidP="0030276C">
      <w:pPr>
        <w:spacing w:after="0"/>
        <w:ind w:firstLine="709"/>
        <w:jc w:val="both"/>
        <w:rPr>
          <w:sz w:val="24"/>
          <w:szCs w:val="24"/>
        </w:rPr>
      </w:pPr>
      <w:r w:rsidRPr="00121A6A">
        <w:rPr>
          <w:sz w:val="24"/>
          <w:szCs w:val="24"/>
        </w:rPr>
        <w:t>Aan dit standpunt kan</w:t>
      </w:r>
      <w:r w:rsidR="00CE2D55" w:rsidRPr="00121A6A">
        <w:rPr>
          <w:sz w:val="24"/>
          <w:szCs w:val="24"/>
        </w:rPr>
        <w:t xml:space="preserve"> mijns inziens</w:t>
      </w:r>
      <w:r w:rsidRPr="00121A6A">
        <w:rPr>
          <w:sz w:val="24"/>
          <w:szCs w:val="24"/>
        </w:rPr>
        <w:t xml:space="preserve"> niet afdoen dat in de Toelichting op</w:t>
      </w:r>
      <w:r w:rsidR="00A83C5E" w:rsidRPr="00121A6A">
        <w:rPr>
          <w:sz w:val="24"/>
          <w:szCs w:val="24"/>
        </w:rPr>
        <w:t xml:space="preserve"> artikel </w:t>
      </w:r>
      <w:r w:rsidR="000E0026" w:rsidRPr="00121A6A">
        <w:rPr>
          <w:sz w:val="24"/>
          <w:szCs w:val="24"/>
        </w:rPr>
        <w:t xml:space="preserve">52 lid 3 Hv </w:t>
      </w:r>
      <w:r w:rsidRPr="00121A6A">
        <w:rPr>
          <w:sz w:val="24"/>
          <w:szCs w:val="24"/>
        </w:rPr>
        <w:t>staat dat de</w:t>
      </w:r>
      <w:r w:rsidR="00837911">
        <w:rPr>
          <w:sz w:val="24"/>
          <w:szCs w:val="24"/>
        </w:rPr>
        <w:t>ze</w:t>
      </w:r>
      <w:r w:rsidRPr="00121A6A">
        <w:rPr>
          <w:sz w:val="24"/>
          <w:szCs w:val="24"/>
        </w:rPr>
        <w:t xml:space="preserve"> bepaling </w:t>
      </w:r>
      <w:r w:rsidR="00A83C5E" w:rsidRPr="00121A6A">
        <w:rPr>
          <w:i/>
          <w:iCs/>
          <w:sz w:val="24"/>
          <w:szCs w:val="24"/>
        </w:rPr>
        <w:t>met name</w:t>
      </w:r>
      <w:r w:rsidR="00A83C5E" w:rsidRPr="00121A6A">
        <w:rPr>
          <w:sz w:val="24"/>
          <w:szCs w:val="24"/>
        </w:rPr>
        <w:t xml:space="preserve"> tot gevolg heeft dat de (Unie)wetgever bij de vaststelling van beperkingen van grondrechten rekening moet houden met het EVRM</w:t>
      </w:r>
      <w:r w:rsidR="0030276C" w:rsidRPr="00121A6A">
        <w:rPr>
          <w:sz w:val="24"/>
          <w:szCs w:val="24"/>
        </w:rPr>
        <w:t>.</w:t>
      </w:r>
      <w:r w:rsidRPr="00121A6A">
        <w:rPr>
          <w:sz w:val="24"/>
          <w:szCs w:val="24"/>
        </w:rPr>
        <w:t xml:space="preserve"> </w:t>
      </w:r>
      <w:r w:rsidR="0030276C" w:rsidRPr="00121A6A">
        <w:rPr>
          <w:sz w:val="24"/>
          <w:szCs w:val="24"/>
        </w:rPr>
        <w:t>Hoewel</w:t>
      </w:r>
      <w:r w:rsidRPr="00121A6A">
        <w:rPr>
          <w:sz w:val="24"/>
          <w:szCs w:val="24"/>
        </w:rPr>
        <w:t xml:space="preserve"> </w:t>
      </w:r>
      <w:r w:rsidR="0030276C" w:rsidRPr="00121A6A">
        <w:rPr>
          <w:sz w:val="24"/>
          <w:szCs w:val="24"/>
        </w:rPr>
        <w:t xml:space="preserve">daarbij </w:t>
      </w:r>
      <w:r w:rsidRPr="00121A6A">
        <w:rPr>
          <w:sz w:val="24"/>
          <w:szCs w:val="24"/>
        </w:rPr>
        <w:t>uitdrukkelijk</w:t>
      </w:r>
      <w:r w:rsidR="00A83C5E" w:rsidRPr="00121A6A">
        <w:rPr>
          <w:sz w:val="24"/>
          <w:szCs w:val="24"/>
        </w:rPr>
        <w:t xml:space="preserve"> is vermeld dat het artikel de autonomie van het EU-recht </w:t>
      </w:r>
      <w:r w:rsidR="009706F9" w:rsidRPr="00121A6A">
        <w:rPr>
          <w:sz w:val="24"/>
          <w:szCs w:val="24"/>
        </w:rPr>
        <w:t>en</w:t>
      </w:r>
      <w:r w:rsidR="00A83C5E" w:rsidRPr="00121A6A">
        <w:rPr>
          <w:sz w:val="24"/>
          <w:szCs w:val="24"/>
        </w:rPr>
        <w:t xml:space="preserve"> </w:t>
      </w:r>
      <w:r w:rsidRPr="00121A6A">
        <w:rPr>
          <w:sz w:val="24"/>
          <w:szCs w:val="24"/>
        </w:rPr>
        <w:t xml:space="preserve">die </w:t>
      </w:r>
      <w:r w:rsidR="00A83C5E" w:rsidRPr="00121A6A">
        <w:rPr>
          <w:sz w:val="24"/>
          <w:szCs w:val="24"/>
        </w:rPr>
        <w:t xml:space="preserve">van het </w:t>
      </w:r>
      <w:r w:rsidR="008940FA" w:rsidRPr="00121A6A">
        <w:rPr>
          <w:sz w:val="24"/>
          <w:szCs w:val="24"/>
        </w:rPr>
        <w:t>HvJ</w:t>
      </w:r>
      <w:r w:rsidR="00A83C5E" w:rsidRPr="00121A6A">
        <w:rPr>
          <w:sz w:val="24"/>
          <w:szCs w:val="24"/>
        </w:rPr>
        <w:t xml:space="preserve"> </w:t>
      </w:r>
      <w:r w:rsidRPr="00121A6A">
        <w:rPr>
          <w:sz w:val="24"/>
          <w:szCs w:val="24"/>
        </w:rPr>
        <w:t xml:space="preserve">niet </w:t>
      </w:r>
      <w:r w:rsidR="00A83C5E" w:rsidRPr="00121A6A">
        <w:rPr>
          <w:sz w:val="24"/>
          <w:szCs w:val="24"/>
        </w:rPr>
        <w:t>aantast</w:t>
      </w:r>
      <w:r w:rsidR="0030276C" w:rsidRPr="00121A6A">
        <w:rPr>
          <w:sz w:val="24"/>
          <w:szCs w:val="24"/>
        </w:rPr>
        <w:t>,</w:t>
      </w:r>
      <w:r w:rsidR="00A83C5E" w:rsidRPr="00121A6A">
        <w:rPr>
          <w:sz w:val="24"/>
          <w:szCs w:val="24"/>
        </w:rPr>
        <w:t xml:space="preserve"> </w:t>
      </w:r>
      <w:r w:rsidR="0030276C" w:rsidRPr="00121A6A">
        <w:rPr>
          <w:sz w:val="24"/>
          <w:szCs w:val="24"/>
        </w:rPr>
        <w:t xml:space="preserve">stellen </w:t>
      </w:r>
      <w:r w:rsidR="00A83C5E" w:rsidRPr="00121A6A">
        <w:rPr>
          <w:sz w:val="24"/>
          <w:szCs w:val="24"/>
        </w:rPr>
        <w:t>Lennaerts</w:t>
      </w:r>
      <w:r w:rsidR="003751D4" w:rsidRPr="00121A6A">
        <w:rPr>
          <w:sz w:val="24"/>
          <w:szCs w:val="24"/>
        </w:rPr>
        <w:t xml:space="preserve"> en </w:t>
      </w:r>
      <w:proofErr w:type="spellStart"/>
      <w:r w:rsidR="003751D4" w:rsidRPr="00121A6A">
        <w:rPr>
          <w:sz w:val="24"/>
          <w:szCs w:val="24"/>
        </w:rPr>
        <w:t>Teklè</w:t>
      </w:r>
      <w:proofErr w:type="spellEnd"/>
      <w:r w:rsidR="00A83C5E" w:rsidRPr="00121A6A">
        <w:rPr>
          <w:sz w:val="24"/>
          <w:szCs w:val="24"/>
        </w:rPr>
        <w:t xml:space="preserve"> </w:t>
      </w:r>
      <w:r w:rsidR="00CE2D55" w:rsidRPr="00121A6A">
        <w:rPr>
          <w:sz w:val="24"/>
          <w:szCs w:val="24"/>
        </w:rPr>
        <w:t xml:space="preserve">naar ik meen terecht dat </w:t>
      </w:r>
      <w:r w:rsidR="00A83C5E" w:rsidRPr="00121A6A">
        <w:rPr>
          <w:sz w:val="24"/>
          <w:szCs w:val="24"/>
        </w:rPr>
        <w:t xml:space="preserve">deze autonomie alleen </w:t>
      </w:r>
      <w:r w:rsidR="00CE2D55" w:rsidRPr="00121A6A">
        <w:rPr>
          <w:sz w:val="24"/>
          <w:szCs w:val="24"/>
        </w:rPr>
        <w:t xml:space="preserve">bestaat </w:t>
      </w:r>
      <w:r w:rsidR="00A83C5E" w:rsidRPr="00121A6A">
        <w:rPr>
          <w:sz w:val="24"/>
          <w:szCs w:val="24"/>
        </w:rPr>
        <w:t>voor zover het verdergaande bescherming betreft</w:t>
      </w:r>
      <w:r w:rsidR="0030276C" w:rsidRPr="00121A6A">
        <w:rPr>
          <w:sz w:val="24"/>
          <w:szCs w:val="24"/>
        </w:rPr>
        <w:t>.</w:t>
      </w:r>
      <w:r w:rsidR="00A83C5E" w:rsidRPr="00121A6A">
        <w:rPr>
          <w:rStyle w:val="FootnoteReference"/>
          <w:sz w:val="24"/>
          <w:szCs w:val="24"/>
        </w:rPr>
        <w:footnoteReference w:id="161"/>
      </w:r>
      <w:r w:rsidR="004B5210" w:rsidRPr="00121A6A">
        <w:rPr>
          <w:sz w:val="24"/>
          <w:szCs w:val="24"/>
        </w:rPr>
        <w:t xml:space="preserve"> </w:t>
      </w:r>
      <w:r w:rsidR="00403F39" w:rsidRPr="00121A6A">
        <w:rPr>
          <w:sz w:val="24"/>
          <w:szCs w:val="24"/>
        </w:rPr>
        <w:t xml:space="preserve">Dat betekent in feite dat alle Handvestrechten die </w:t>
      </w:r>
      <w:r w:rsidR="002148CA" w:rsidRPr="00121A6A">
        <w:rPr>
          <w:sz w:val="24"/>
          <w:szCs w:val="24"/>
        </w:rPr>
        <w:t xml:space="preserve">qua interpretatie </w:t>
      </w:r>
      <w:r w:rsidR="00403F39" w:rsidRPr="00121A6A">
        <w:rPr>
          <w:sz w:val="24"/>
          <w:szCs w:val="24"/>
        </w:rPr>
        <w:t>onder het niveau van het EVRM zitten, zoals het stakingsrecht</w:t>
      </w:r>
      <w:r w:rsidR="002148CA" w:rsidRPr="00121A6A">
        <w:rPr>
          <w:sz w:val="24"/>
          <w:szCs w:val="24"/>
        </w:rPr>
        <w:t xml:space="preserve">elijke </w:t>
      </w:r>
      <w:r w:rsidR="002148CA" w:rsidRPr="00121A6A">
        <w:rPr>
          <w:sz w:val="24"/>
          <w:szCs w:val="24"/>
        </w:rPr>
        <w:lastRenderedPageBreak/>
        <w:t xml:space="preserve">toetsingskader </w:t>
      </w:r>
      <w:r w:rsidR="0030276C" w:rsidRPr="00121A6A">
        <w:rPr>
          <w:sz w:val="24"/>
          <w:szCs w:val="24"/>
        </w:rPr>
        <w:t xml:space="preserve">uit </w:t>
      </w:r>
      <w:r w:rsidR="0030276C" w:rsidRPr="00121A6A">
        <w:rPr>
          <w:i/>
          <w:iCs/>
          <w:sz w:val="24"/>
          <w:szCs w:val="24"/>
        </w:rPr>
        <w:t>Viking</w:t>
      </w:r>
      <w:r w:rsidR="0030276C" w:rsidRPr="00121A6A">
        <w:rPr>
          <w:sz w:val="24"/>
          <w:szCs w:val="24"/>
        </w:rPr>
        <w:t xml:space="preserve"> en </w:t>
      </w:r>
      <w:r w:rsidR="0030276C" w:rsidRPr="00121A6A">
        <w:rPr>
          <w:i/>
          <w:iCs/>
          <w:sz w:val="24"/>
          <w:szCs w:val="24"/>
        </w:rPr>
        <w:t>Laval</w:t>
      </w:r>
      <w:r w:rsidR="00403F39" w:rsidRPr="00121A6A">
        <w:rPr>
          <w:sz w:val="24"/>
          <w:szCs w:val="24"/>
        </w:rPr>
        <w:t>, moeten worden opgehoogd.</w:t>
      </w:r>
      <w:r w:rsidR="0030276C" w:rsidRPr="00121A6A">
        <w:rPr>
          <w:sz w:val="24"/>
          <w:szCs w:val="24"/>
        </w:rPr>
        <w:t xml:space="preserve"> Dat </w:t>
      </w:r>
      <w:r w:rsidR="005822F9">
        <w:rPr>
          <w:sz w:val="24"/>
          <w:szCs w:val="24"/>
        </w:rPr>
        <w:t xml:space="preserve">geldt </w:t>
      </w:r>
      <w:r w:rsidR="00837911">
        <w:rPr>
          <w:sz w:val="24"/>
          <w:szCs w:val="24"/>
        </w:rPr>
        <w:t>eens</w:t>
      </w:r>
      <w:r w:rsidR="008B2FE0">
        <w:rPr>
          <w:sz w:val="24"/>
          <w:szCs w:val="24"/>
        </w:rPr>
        <w:t xml:space="preserve"> </w:t>
      </w:r>
      <w:r w:rsidR="005822F9">
        <w:rPr>
          <w:sz w:val="24"/>
          <w:szCs w:val="24"/>
        </w:rPr>
        <w:t>te meer</w:t>
      </w:r>
      <w:r w:rsidR="0030276C" w:rsidRPr="00121A6A">
        <w:rPr>
          <w:sz w:val="24"/>
          <w:szCs w:val="24"/>
        </w:rPr>
        <w:t xml:space="preserve"> zodra </w:t>
      </w:r>
      <w:r w:rsidR="00737890" w:rsidRPr="00121A6A">
        <w:rPr>
          <w:sz w:val="24"/>
          <w:szCs w:val="24"/>
        </w:rPr>
        <w:t xml:space="preserve">de EU </w:t>
      </w:r>
      <w:r w:rsidR="0030276C" w:rsidRPr="00121A6A">
        <w:rPr>
          <w:sz w:val="24"/>
          <w:szCs w:val="24"/>
        </w:rPr>
        <w:t>overeenkomstig artikel 6 lid 2 VEU</w:t>
      </w:r>
      <w:r w:rsidR="008D0583" w:rsidRPr="00121A6A">
        <w:rPr>
          <w:sz w:val="24"/>
          <w:szCs w:val="24"/>
        </w:rPr>
        <w:t xml:space="preserve"> </w:t>
      </w:r>
      <w:r w:rsidR="0030276C" w:rsidRPr="00121A6A">
        <w:rPr>
          <w:sz w:val="24"/>
          <w:szCs w:val="24"/>
        </w:rPr>
        <w:t xml:space="preserve">is </w:t>
      </w:r>
      <w:r w:rsidR="008D0583" w:rsidRPr="00121A6A">
        <w:rPr>
          <w:sz w:val="24"/>
          <w:szCs w:val="24"/>
        </w:rPr>
        <w:t>toe</w:t>
      </w:r>
      <w:r w:rsidR="0030276C" w:rsidRPr="00121A6A">
        <w:rPr>
          <w:sz w:val="24"/>
          <w:szCs w:val="24"/>
        </w:rPr>
        <w:t>ge</w:t>
      </w:r>
      <w:r w:rsidR="008D0583" w:rsidRPr="00121A6A">
        <w:rPr>
          <w:sz w:val="24"/>
          <w:szCs w:val="24"/>
        </w:rPr>
        <w:t>treden</w:t>
      </w:r>
      <w:r w:rsidR="00737890" w:rsidRPr="00121A6A">
        <w:rPr>
          <w:sz w:val="24"/>
          <w:szCs w:val="24"/>
        </w:rPr>
        <w:t xml:space="preserve"> tot het EVRM.</w:t>
      </w:r>
      <w:r w:rsidR="00B769C4" w:rsidRPr="00121A6A">
        <w:rPr>
          <w:rStyle w:val="FootnoteReference"/>
          <w:sz w:val="24"/>
          <w:szCs w:val="24"/>
        </w:rPr>
        <w:footnoteReference w:id="162"/>
      </w:r>
      <w:r w:rsidR="007474FC" w:rsidRPr="00121A6A">
        <w:rPr>
          <w:sz w:val="24"/>
          <w:szCs w:val="24"/>
        </w:rPr>
        <w:t xml:space="preserve"> </w:t>
      </w:r>
      <w:r w:rsidR="00A930DB" w:rsidRPr="00121A6A">
        <w:rPr>
          <w:sz w:val="24"/>
          <w:szCs w:val="24"/>
        </w:rPr>
        <w:t>Al</w:t>
      </w:r>
      <w:r w:rsidR="007474FC" w:rsidRPr="00121A6A">
        <w:rPr>
          <w:sz w:val="24"/>
          <w:szCs w:val="24"/>
        </w:rPr>
        <w:t xml:space="preserve"> jarenlang </w:t>
      </w:r>
      <w:r w:rsidR="00937559">
        <w:rPr>
          <w:sz w:val="24"/>
          <w:szCs w:val="24"/>
        </w:rPr>
        <w:t>wordt gedebatteerd</w:t>
      </w:r>
      <w:r w:rsidR="006859DB" w:rsidRPr="00121A6A">
        <w:rPr>
          <w:sz w:val="24"/>
          <w:szCs w:val="24"/>
        </w:rPr>
        <w:t xml:space="preserve"> over de voorwaarden voor toetreding</w:t>
      </w:r>
      <w:r w:rsidR="00886850" w:rsidRPr="00121A6A">
        <w:rPr>
          <w:sz w:val="24"/>
          <w:szCs w:val="24"/>
        </w:rPr>
        <w:t>,</w:t>
      </w:r>
      <w:r w:rsidR="006859DB" w:rsidRPr="00121A6A">
        <w:rPr>
          <w:rStyle w:val="FootnoteReference"/>
          <w:sz w:val="24"/>
          <w:szCs w:val="24"/>
        </w:rPr>
        <w:footnoteReference w:id="163"/>
      </w:r>
      <w:r w:rsidR="00A930DB" w:rsidRPr="00121A6A">
        <w:rPr>
          <w:sz w:val="24"/>
          <w:szCs w:val="24"/>
        </w:rPr>
        <w:t xml:space="preserve"> </w:t>
      </w:r>
      <w:r w:rsidR="00886850" w:rsidRPr="00121A6A">
        <w:rPr>
          <w:sz w:val="24"/>
          <w:szCs w:val="24"/>
        </w:rPr>
        <w:t xml:space="preserve">maar </w:t>
      </w:r>
      <w:r w:rsidR="009F3DC4" w:rsidRPr="00121A6A">
        <w:rPr>
          <w:sz w:val="24"/>
          <w:szCs w:val="24"/>
        </w:rPr>
        <w:t>onlangs</w:t>
      </w:r>
      <w:r w:rsidR="00A930DB" w:rsidRPr="00121A6A">
        <w:rPr>
          <w:sz w:val="24"/>
          <w:szCs w:val="24"/>
        </w:rPr>
        <w:t xml:space="preserve"> is </w:t>
      </w:r>
      <w:r w:rsidR="00E6056F" w:rsidRPr="00121A6A">
        <w:rPr>
          <w:sz w:val="24"/>
          <w:szCs w:val="24"/>
        </w:rPr>
        <w:t xml:space="preserve">een </w:t>
      </w:r>
      <w:r w:rsidR="0030276C" w:rsidRPr="00121A6A">
        <w:rPr>
          <w:sz w:val="24"/>
          <w:szCs w:val="24"/>
        </w:rPr>
        <w:t xml:space="preserve">belangrijk </w:t>
      </w:r>
      <w:r w:rsidR="00A930DB" w:rsidRPr="00121A6A">
        <w:rPr>
          <w:sz w:val="24"/>
          <w:szCs w:val="24"/>
        </w:rPr>
        <w:t>ontwerp</w:t>
      </w:r>
      <w:r w:rsidR="00E6056F" w:rsidRPr="00121A6A">
        <w:rPr>
          <w:sz w:val="24"/>
          <w:szCs w:val="24"/>
        </w:rPr>
        <w:t xml:space="preserve">akkoord </w:t>
      </w:r>
      <w:r w:rsidR="0030276C" w:rsidRPr="00121A6A">
        <w:rPr>
          <w:sz w:val="24"/>
          <w:szCs w:val="24"/>
        </w:rPr>
        <w:t>gesloten</w:t>
      </w:r>
      <w:r w:rsidR="00E6056F" w:rsidRPr="00121A6A">
        <w:rPr>
          <w:sz w:val="24"/>
          <w:szCs w:val="24"/>
        </w:rPr>
        <w:t>.</w:t>
      </w:r>
      <w:r w:rsidR="00E6056F" w:rsidRPr="00121A6A">
        <w:rPr>
          <w:rStyle w:val="FootnoteReference"/>
          <w:sz w:val="24"/>
          <w:szCs w:val="24"/>
        </w:rPr>
        <w:footnoteReference w:id="164"/>
      </w:r>
      <w:r w:rsidR="00E6056F" w:rsidRPr="00121A6A">
        <w:rPr>
          <w:sz w:val="24"/>
          <w:szCs w:val="24"/>
        </w:rPr>
        <w:t xml:space="preserve"> Ondanks dat geenszins zeker is dat dit akkoord </w:t>
      </w:r>
      <w:r w:rsidR="0030276C" w:rsidRPr="00121A6A">
        <w:rPr>
          <w:sz w:val="24"/>
          <w:szCs w:val="24"/>
        </w:rPr>
        <w:t xml:space="preserve">uiteindelijk </w:t>
      </w:r>
      <w:r w:rsidR="00E6056F" w:rsidRPr="00121A6A">
        <w:rPr>
          <w:sz w:val="24"/>
          <w:szCs w:val="24"/>
        </w:rPr>
        <w:t xml:space="preserve">de eindstreep </w:t>
      </w:r>
      <w:r w:rsidR="00D52FFA" w:rsidRPr="00121A6A">
        <w:rPr>
          <w:sz w:val="24"/>
          <w:szCs w:val="24"/>
        </w:rPr>
        <w:t>zal halen</w:t>
      </w:r>
      <w:r w:rsidR="00E6056F" w:rsidRPr="00121A6A">
        <w:rPr>
          <w:sz w:val="24"/>
          <w:szCs w:val="24"/>
        </w:rPr>
        <w:t>,</w:t>
      </w:r>
      <w:r w:rsidR="00A930DB" w:rsidRPr="00121A6A">
        <w:rPr>
          <w:rStyle w:val="FootnoteReference"/>
          <w:sz w:val="24"/>
          <w:szCs w:val="24"/>
        </w:rPr>
        <w:footnoteReference w:id="165"/>
      </w:r>
      <w:r w:rsidR="00E6056F" w:rsidRPr="00121A6A">
        <w:rPr>
          <w:sz w:val="24"/>
          <w:szCs w:val="24"/>
        </w:rPr>
        <w:t xml:space="preserve"> </w:t>
      </w:r>
      <w:r w:rsidR="00BB1B40" w:rsidRPr="00121A6A">
        <w:rPr>
          <w:sz w:val="24"/>
          <w:szCs w:val="24"/>
        </w:rPr>
        <w:t>is wel duidelijk dat</w:t>
      </w:r>
      <w:r w:rsidR="00284D88" w:rsidRPr="00121A6A">
        <w:rPr>
          <w:sz w:val="24"/>
          <w:szCs w:val="24"/>
        </w:rPr>
        <w:t>,</w:t>
      </w:r>
      <w:r w:rsidR="00BB1B40" w:rsidRPr="00121A6A">
        <w:rPr>
          <w:sz w:val="24"/>
          <w:szCs w:val="24"/>
        </w:rPr>
        <w:t xml:space="preserve"> </w:t>
      </w:r>
      <w:r w:rsidR="00AD0B0A" w:rsidRPr="00121A6A">
        <w:rPr>
          <w:sz w:val="24"/>
          <w:szCs w:val="24"/>
        </w:rPr>
        <w:t>zodra</w:t>
      </w:r>
      <w:r w:rsidR="00325CF8">
        <w:rPr>
          <w:sz w:val="24"/>
          <w:szCs w:val="24"/>
        </w:rPr>
        <w:t xml:space="preserve"> de</w:t>
      </w:r>
      <w:r w:rsidR="00AD0B0A" w:rsidRPr="00121A6A">
        <w:rPr>
          <w:sz w:val="24"/>
          <w:szCs w:val="24"/>
        </w:rPr>
        <w:t xml:space="preserve"> toetreding een feit is</w:t>
      </w:r>
      <w:r w:rsidR="00284D88" w:rsidRPr="00121A6A">
        <w:rPr>
          <w:sz w:val="24"/>
          <w:szCs w:val="24"/>
        </w:rPr>
        <w:t>,</w:t>
      </w:r>
      <w:r w:rsidR="00BB1B40" w:rsidRPr="00121A6A">
        <w:rPr>
          <w:sz w:val="24"/>
          <w:szCs w:val="24"/>
        </w:rPr>
        <w:t xml:space="preserve"> klachten bij het EHRM </w:t>
      </w:r>
      <w:r w:rsidR="00AD0B0A" w:rsidRPr="00121A6A">
        <w:rPr>
          <w:sz w:val="24"/>
          <w:szCs w:val="24"/>
        </w:rPr>
        <w:t>kunnen worden</w:t>
      </w:r>
      <w:r w:rsidR="00BB1B40" w:rsidRPr="00121A6A">
        <w:rPr>
          <w:sz w:val="24"/>
          <w:szCs w:val="24"/>
        </w:rPr>
        <w:t xml:space="preserve"> ingediend </w:t>
      </w:r>
      <w:r w:rsidR="00937559">
        <w:rPr>
          <w:sz w:val="24"/>
          <w:szCs w:val="24"/>
        </w:rPr>
        <w:t>over</w:t>
      </w:r>
      <w:r w:rsidR="00BB1B40" w:rsidRPr="00121A6A">
        <w:rPr>
          <w:sz w:val="24"/>
          <w:szCs w:val="24"/>
        </w:rPr>
        <w:t xml:space="preserve"> </w:t>
      </w:r>
      <w:r w:rsidR="00AD0B0A" w:rsidRPr="00121A6A">
        <w:rPr>
          <w:sz w:val="24"/>
          <w:szCs w:val="24"/>
        </w:rPr>
        <w:t>het optreden van EU-instellingen</w:t>
      </w:r>
      <w:r w:rsidR="005822F9">
        <w:rPr>
          <w:sz w:val="24"/>
          <w:szCs w:val="24"/>
        </w:rPr>
        <w:t>,</w:t>
      </w:r>
      <w:r w:rsidR="00C26BD6" w:rsidRPr="00121A6A">
        <w:rPr>
          <w:sz w:val="24"/>
          <w:szCs w:val="24"/>
        </w:rPr>
        <w:t xml:space="preserve"> </w:t>
      </w:r>
      <w:r w:rsidR="00AD0B0A" w:rsidRPr="00121A6A">
        <w:rPr>
          <w:sz w:val="24"/>
          <w:szCs w:val="24"/>
        </w:rPr>
        <w:t xml:space="preserve">waaronder het </w:t>
      </w:r>
      <w:r w:rsidR="00DB3EFC" w:rsidRPr="00121A6A">
        <w:rPr>
          <w:sz w:val="24"/>
          <w:szCs w:val="24"/>
        </w:rPr>
        <w:t>HvJ</w:t>
      </w:r>
      <w:r w:rsidR="00AD0B0A" w:rsidRPr="00121A6A">
        <w:rPr>
          <w:sz w:val="24"/>
          <w:szCs w:val="24"/>
        </w:rPr>
        <w:t>. Bovendien</w:t>
      </w:r>
      <w:r w:rsidR="00BB1B40" w:rsidRPr="00121A6A">
        <w:rPr>
          <w:sz w:val="24"/>
          <w:szCs w:val="24"/>
        </w:rPr>
        <w:t xml:space="preserve"> komt het </w:t>
      </w:r>
      <w:r w:rsidR="00BB1B40" w:rsidRPr="00121A6A">
        <w:rPr>
          <w:i/>
          <w:iCs/>
          <w:sz w:val="24"/>
          <w:szCs w:val="24"/>
        </w:rPr>
        <w:t>Bosphorus</w:t>
      </w:r>
      <w:r w:rsidR="00BB1B40" w:rsidRPr="00121A6A">
        <w:rPr>
          <w:sz w:val="24"/>
          <w:szCs w:val="24"/>
        </w:rPr>
        <w:t xml:space="preserve">-vermoeden </w:t>
      </w:r>
      <w:r w:rsidR="00C26BD6" w:rsidRPr="00121A6A">
        <w:rPr>
          <w:sz w:val="24"/>
          <w:szCs w:val="24"/>
        </w:rPr>
        <w:t xml:space="preserve">dan </w:t>
      </w:r>
      <w:r w:rsidR="007C7CB3">
        <w:rPr>
          <w:sz w:val="24"/>
          <w:szCs w:val="24"/>
        </w:rPr>
        <w:t>mogelijk</w:t>
      </w:r>
      <w:r w:rsidR="00324535" w:rsidRPr="00121A6A">
        <w:rPr>
          <w:sz w:val="24"/>
          <w:szCs w:val="24"/>
        </w:rPr>
        <w:t xml:space="preserve"> </w:t>
      </w:r>
      <w:r w:rsidR="00BB1B40" w:rsidRPr="00121A6A">
        <w:rPr>
          <w:sz w:val="24"/>
          <w:szCs w:val="24"/>
        </w:rPr>
        <w:t>te vervallen</w:t>
      </w:r>
      <w:r w:rsidR="000D5D2E" w:rsidRPr="00121A6A">
        <w:rPr>
          <w:sz w:val="24"/>
          <w:szCs w:val="24"/>
        </w:rPr>
        <w:t>.</w:t>
      </w:r>
      <w:r w:rsidR="00CC040B" w:rsidRPr="00121A6A">
        <w:rPr>
          <w:rStyle w:val="FootnoteReference"/>
          <w:sz w:val="24"/>
          <w:szCs w:val="24"/>
        </w:rPr>
        <w:footnoteReference w:id="166"/>
      </w:r>
      <w:r w:rsidR="00AD0B0A" w:rsidRPr="00121A6A">
        <w:rPr>
          <w:sz w:val="24"/>
          <w:szCs w:val="24"/>
        </w:rPr>
        <w:t xml:space="preserve"> </w:t>
      </w:r>
      <w:r w:rsidR="000D5D2E" w:rsidRPr="00121A6A">
        <w:rPr>
          <w:sz w:val="24"/>
          <w:szCs w:val="24"/>
        </w:rPr>
        <w:t>Alsdan maakt</w:t>
      </w:r>
      <w:r w:rsidR="00886850" w:rsidRPr="00121A6A">
        <w:rPr>
          <w:sz w:val="24"/>
          <w:szCs w:val="24"/>
        </w:rPr>
        <w:t xml:space="preserve"> het EHRM </w:t>
      </w:r>
      <w:r w:rsidR="00D52FFA" w:rsidRPr="00121A6A">
        <w:rPr>
          <w:sz w:val="24"/>
          <w:szCs w:val="24"/>
        </w:rPr>
        <w:t xml:space="preserve">in principe </w:t>
      </w:r>
      <w:r w:rsidR="00886850" w:rsidRPr="00121A6A">
        <w:rPr>
          <w:sz w:val="24"/>
          <w:szCs w:val="24"/>
        </w:rPr>
        <w:t xml:space="preserve">de dienst uit en </w:t>
      </w:r>
      <w:r w:rsidR="000D5D2E" w:rsidRPr="00121A6A">
        <w:rPr>
          <w:sz w:val="24"/>
          <w:szCs w:val="24"/>
        </w:rPr>
        <w:t xml:space="preserve">moet </w:t>
      </w:r>
      <w:r w:rsidR="00886850" w:rsidRPr="00121A6A">
        <w:rPr>
          <w:sz w:val="24"/>
          <w:szCs w:val="24"/>
        </w:rPr>
        <w:t>het HvJ zich hiernaar richten.</w:t>
      </w:r>
      <w:r w:rsidR="00D41CF9" w:rsidRPr="00121A6A">
        <w:rPr>
          <w:rStyle w:val="FootnoteReference"/>
          <w:sz w:val="24"/>
          <w:szCs w:val="24"/>
        </w:rPr>
        <w:footnoteReference w:id="167"/>
      </w:r>
    </w:p>
    <w:p w14:paraId="32AD919F" w14:textId="77777777" w:rsidR="00E718C9" w:rsidRPr="00121A6A" w:rsidRDefault="00E718C9" w:rsidP="00E718C9">
      <w:pPr>
        <w:spacing w:after="0" w:line="276" w:lineRule="auto"/>
        <w:jc w:val="both"/>
        <w:rPr>
          <w:sz w:val="24"/>
          <w:szCs w:val="24"/>
        </w:rPr>
      </w:pPr>
    </w:p>
    <w:p w14:paraId="03FA7455" w14:textId="2DA1E318" w:rsidR="00E718C9" w:rsidRPr="00121A6A" w:rsidRDefault="00351560" w:rsidP="00E718C9">
      <w:pPr>
        <w:pStyle w:val="Heading3"/>
        <w:jc w:val="both"/>
        <w:rPr>
          <w:sz w:val="24"/>
          <w:szCs w:val="24"/>
        </w:rPr>
      </w:pPr>
      <w:bookmarkStart w:id="67" w:name="_Toc169963070"/>
      <w:r>
        <w:rPr>
          <w:sz w:val="24"/>
          <w:szCs w:val="24"/>
        </w:rPr>
        <w:t>De v</w:t>
      </w:r>
      <w:r w:rsidR="00E718C9" w:rsidRPr="00121A6A">
        <w:rPr>
          <w:sz w:val="24"/>
          <w:szCs w:val="24"/>
        </w:rPr>
        <w:t xml:space="preserve">erhouding </w:t>
      </w:r>
      <w:r>
        <w:rPr>
          <w:sz w:val="24"/>
          <w:szCs w:val="24"/>
        </w:rPr>
        <w:t xml:space="preserve">tussen </w:t>
      </w:r>
      <w:r w:rsidR="00325CF8">
        <w:rPr>
          <w:sz w:val="24"/>
          <w:szCs w:val="24"/>
        </w:rPr>
        <w:t>EU-</w:t>
      </w:r>
      <w:r>
        <w:rPr>
          <w:sz w:val="24"/>
          <w:szCs w:val="24"/>
        </w:rPr>
        <w:t>recht, het</w:t>
      </w:r>
      <w:r w:rsidR="0065343C" w:rsidRPr="00121A6A">
        <w:rPr>
          <w:sz w:val="24"/>
          <w:szCs w:val="24"/>
        </w:rPr>
        <w:t xml:space="preserve"> </w:t>
      </w:r>
      <w:r w:rsidR="00282406" w:rsidRPr="00121A6A">
        <w:rPr>
          <w:sz w:val="24"/>
          <w:szCs w:val="24"/>
        </w:rPr>
        <w:t>ESH</w:t>
      </w:r>
      <w:r w:rsidR="0065343C" w:rsidRPr="00121A6A">
        <w:rPr>
          <w:sz w:val="24"/>
          <w:szCs w:val="24"/>
        </w:rPr>
        <w:t xml:space="preserve"> en </w:t>
      </w:r>
      <w:r>
        <w:rPr>
          <w:sz w:val="24"/>
          <w:szCs w:val="24"/>
        </w:rPr>
        <w:t>ILO-Verdrag 87</w:t>
      </w:r>
      <w:bookmarkEnd w:id="67"/>
    </w:p>
    <w:p w14:paraId="41E6C4EA" w14:textId="7D305428" w:rsidR="00865D2C" w:rsidRPr="00121A6A" w:rsidRDefault="002F28EB" w:rsidP="00952EB6">
      <w:pPr>
        <w:spacing w:after="0"/>
        <w:jc w:val="both"/>
        <w:rPr>
          <w:sz w:val="24"/>
          <w:szCs w:val="24"/>
        </w:rPr>
      </w:pPr>
      <w:r>
        <w:rPr>
          <w:sz w:val="24"/>
          <w:szCs w:val="24"/>
        </w:rPr>
        <w:t>Inzake</w:t>
      </w:r>
      <w:r w:rsidR="009C2DDF">
        <w:rPr>
          <w:sz w:val="24"/>
          <w:szCs w:val="24"/>
        </w:rPr>
        <w:t xml:space="preserve"> de verhouding</w:t>
      </w:r>
      <w:r w:rsidR="002D5D57" w:rsidRPr="00121A6A">
        <w:rPr>
          <w:sz w:val="24"/>
          <w:szCs w:val="24"/>
        </w:rPr>
        <w:t xml:space="preserve"> </w:t>
      </w:r>
      <w:r w:rsidR="00AA60A4" w:rsidRPr="00121A6A">
        <w:rPr>
          <w:sz w:val="24"/>
          <w:szCs w:val="24"/>
        </w:rPr>
        <w:t xml:space="preserve">tussen </w:t>
      </w:r>
      <w:r>
        <w:rPr>
          <w:sz w:val="24"/>
          <w:szCs w:val="24"/>
        </w:rPr>
        <w:t xml:space="preserve">het </w:t>
      </w:r>
      <w:r w:rsidR="00FB74A9">
        <w:rPr>
          <w:sz w:val="24"/>
          <w:szCs w:val="24"/>
        </w:rPr>
        <w:t>Unie</w:t>
      </w:r>
      <w:r w:rsidR="00037545" w:rsidRPr="00121A6A">
        <w:rPr>
          <w:sz w:val="24"/>
          <w:szCs w:val="24"/>
        </w:rPr>
        <w:t>recht</w:t>
      </w:r>
      <w:r w:rsidR="002D5D57" w:rsidRPr="00121A6A">
        <w:rPr>
          <w:sz w:val="24"/>
          <w:szCs w:val="24"/>
        </w:rPr>
        <w:t xml:space="preserve"> </w:t>
      </w:r>
      <w:r w:rsidR="00AA60A4" w:rsidRPr="00121A6A">
        <w:rPr>
          <w:sz w:val="24"/>
          <w:szCs w:val="24"/>
        </w:rPr>
        <w:t>en</w:t>
      </w:r>
      <w:r w:rsidR="0065343C" w:rsidRPr="00121A6A">
        <w:rPr>
          <w:sz w:val="24"/>
          <w:szCs w:val="24"/>
        </w:rPr>
        <w:t>erzijds en</w:t>
      </w:r>
      <w:r>
        <w:rPr>
          <w:sz w:val="24"/>
          <w:szCs w:val="24"/>
        </w:rPr>
        <w:t xml:space="preserve"> het</w:t>
      </w:r>
      <w:r w:rsidR="002D5D57" w:rsidRPr="00121A6A">
        <w:rPr>
          <w:sz w:val="24"/>
          <w:szCs w:val="24"/>
        </w:rPr>
        <w:t xml:space="preserve"> ESH</w:t>
      </w:r>
      <w:r w:rsidR="00037545" w:rsidRPr="00121A6A">
        <w:rPr>
          <w:sz w:val="24"/>
          <w:szCs w:val="24"/>
        </w:rPr>
        <w:t>-</w:t>
      </w:r>
      <w:r w:rsidR="0065343C" w:rsidRPr="00121A6A">
        <w:rPr>
          <w:sz w:val="24"/>
          <w:szCs w:val="24"/>
        </w:rPr>
        <w:t xml:space="preserve"> en ILO-recht anderzijds</w:t>
      </w:r>
      <w:r w:rsidR="009C2DDF">
        <w:rPr>
          <w:sz w:val="24"/>
          <w:szCs w:val="24"/>
        </w:rPr>
        <w:t>, staat</w:t>
      </w:r>
      <w:r w:rsidR="00E718C9" w:rsidRPr="00121A6A">
        <w:rPr>
          <w:sz w:val="24"/>
          <w:szCs w:val="24"/>
        </w:rPr>
        <w:t xml:space="preserve"> </w:t>
      </w:r>
      <w:r w:rsidR="009C2DDF">
        <w:rPr>
          <w:sz w:val="24"/>
          <w:szCs w:val="24"/>
        </w:rPr>
        <w:t>w</w:t>
      </w:r>
      <w:r w:rsidR="0065343C" w:rsidRPr="00121A6A">
        <w:rPr>
          <w:sz w:val="24"/>
          <w:szCs w:val="24"/>
        </w:rPr>
        <w:t xml:space="preserve">ederom voorop dat de EU </w:t>
      </w:r>
      <w:r w:rsidR="00712254" w:rsidRPr="00121A6A">
        <w:rPr>
          <w:sz w:val="24"/>
          <w:szCs w:val="24"/>
        </w:rPr>
        <w:t xml:space="preserve">geen </w:t>
      </w:r>
      <w:r w:rsidR="0065343C" w:rsidRPr="00121A6A">
        <w:rPr>
          <w:sz w:val="24"/>
          <w:szCs w:val="24"/>
        </w:rPr>
        <w:t xml:space="preserve">partij is bij </w:t>
      </w:r>
      <w:r>
        <w:rPr>
          <w:sz w:val="24"/>
          <w:szCs w:val="24"/>
        </w:rPr>
        <w:t>het ESH en ILO-Verdrag 87</w:t>
      </w:r>
      <w:r w:rsidR="0065343C" w:rsidRPr="00121A6A">
        <w:rPr>
          <w:sz w:val="24"/>
          <w:szCs w:val="24"/>
        </w:rPr>
        <w:t xml:space="preserve">. </w:t>
      </w:r>
      <w:r w:rsidR="00FF2F62" w:rsidRPr="00121A6A">
        <w:rPr>
          <w:sz w:val="24"/>
          <w:szCs w:val="24"/>
        </w:rPr>
        <w:t>Internationaalrechtelijk</w:t>
      </w:r>
      <w:r w:rsidR="0065343C" w:rsidRPr="00121A6A">
        <w:rPr>
          <w:sz w:val="24"/>
          <w:szCs w:val="24"/>
        </w:rPr>
        <w:t xml:space="preserve"> </w:t>
      </w:r>
      <w:r w:rsidR="00712254" w:rsidRPr="00121A6A">
        <w:rPr>
          <w:sz w:val="24"/>
          <w:szCs w:val="24"/>
        </w:rPr>
        <w:t xml:space="preserve">gezien </w:t>
      </w:r>
      <w:r w:rsidR="0065343C" w:rsidRPr="00121A6A">
        <w:rPr>
          <w:sz w:val="24"/>
          <w:szCs w:val="24"/>
        </w:rPr>
        <w:t xml:space="preserve">is de EU dan ook niet gebonden aan </w:t>
      </w:r>
      <w:r w:rsidR="00837325" w:rsidRPr="00121A6A">
        <w:rPr>
          <w:sz w:val="24"/>
          <w:szCs w:val="24"/>
        </w:rPr>
        <w:t>deze verdragen</w:t>
      </w:r>
      <w:r w:rsidR="00FF2F62" w:rsidRPr="00121A6A">
        <w:rPr>
          <w:sz w:val="24"/>
          <w:szCs w:val="24"/>
        </w:rPr>
        <w:t xml:space="preserve"> en is het</w:t>
      </w:r>
      <w:r w:rsidR="0065343C" w:rsidRPr="00121A6A">
        <w:rPr>
          <w:sz w:val="24"/>
          <w:szCs w:val="24"/>
        </w:rPr>
        <w:t xml:space="preserve"> direct indienen van klachten bij het ECSR en</w:t>
      </w:r>
      <w:r w:rsidR="00FB74A9">
        <w:rPr>
          <w:sz w:val="24"/>
          <w:szCs w:val="24"/>
        </w:rPr>
        <w:t>/of</w:t>
      </w:r>
      <w:r w:rsidR="0065343C" w:rsidRPr="00121A6A">
        <w:rPr>
          <w:sz w:val="24"/>
          <w:szCs w:val="24"/>
        </w:rPr>
        <w:t xml:space="preserve"> de </w:t>
      </w:r>
      <w:proofErr w:type="spellStart"/>
      <w:r w:rsidR="0065343C" w:rsidRPr="00121A6A">
        <w:rPr>
          <w:sz w:val="24"/>
          <w:szCs w:val="24"/>
        </w:rPr>
        <w:t>CoE</w:t>
      </w:r>
      <w:proofErr w:type="spellEnd"/>
      <w:r w:rsidR="0065343C" w:rsidRPr="00121A6A">
        <w:rPr>
          <w:sz w:val="24"/>
          <w:szCs w:val="24"/>
        </w:rPr>
        <w:t xml:space="preserve">/CFA omtrent rechtspraak van het HvJ niet mogelijk. </w:t>
      </w:r>
      <w:r w:rsidR="00294FE3" w:rsidRPr="00121A6A">
        <w:rPr>
          <w:sz w:val="24"/>
          <w:szCs w:val="24"/>
        </w:rPr>
        <w:t xml:space="preserve">Toch </w:t>
      </w:r>
      <w:r w:rsidR="008F7F21" w:rsidRPr="00121A6A">
        <w:rPr>
          <w:sz w:val="24"/>
          <w:szCs w:val="24"/>
        </w:rPr>
        <w:t>betogen</w:t>
      </w:r>
      <w:r w:rsidR="00294FE3" w:rsidRPr="00121A6A">
        <w:rPr>
          <w:sz w:val="24"/>
          <w:szCs w:val="24"/>
        </w:rPr>
        <w:t xml:space="preserve"> sommige auteurs dat het HvJ acht zou moeten slaan op met Uniegrondrechten corresponderende ESH-bepalingen en de oordelen van het ECSR daaromtrent.</w:t>
      </w:r>
      <w:r w:rsidR="00294FE3" w:rsidRPr="00121A6A">
        <w:rPr>
          <w:rStyle w:val="FootnoteReference"/>
          <w:sz w:val="24"/>
          <w:szCs w:val="24"/>
        </w:rPr>
        <w:footnoteReference w:id="168"/>
      </w:r>
      <w:r w:rsidR="000832F3" w:rsidRPr="00121A6A">
        <w:rPr>
          <w:sz w:val="24"/>
          <w:szCs w:val="24"/>
        </w:rPr>
        <w:t xml:space="preserve"> </w:t>
      </w:r>
      <w:r w:rsidR="009C4A03" w:rsidRPr="00121A6A">
        <w:rPr>
          <w:sz w:val="24"/>
          <w:szCs w:val="24"/>
        </w:rPr>
        <w:t xml:space="preserve">In dit verband </w:t>
      </w:r>
      <w:r w:rsidR="00804139" w:rsidRPr="00121A6A">
        <w:rPr>
          <w:sz w:val="24"/>
          <w:szCs w:val="24"/>
        </w:rPr>
        <w:t>is onder meer van belang</w:t>
      </w:r>
      <w:r w:rsidR="00F33813" w:rsidRPr="00121A6A">
        <w:rPr>
          <w:sz w:val="24"/>
          <w:szCs w:val="24"/>
        </w:rPr>
        <w:t xml:space="preserve"> dat</w:t>
      </w:r>
      <w:r w:rsidR="00294FE3" w:rsidRPr="00121A6A">
        <w:rPr>
          <w:sz w:val="24"/>
          <w:szCs w:val="24"/>
        </w:rPr>
        <w:t xml:space="preserve"> </w:t>
      </w:r>
      <w:r w:rsidR="00F33813" w:rsidRPr="00121A6A">
        <w:rPr>
          <w:sz w:val="24"/>
          <w:szCs w:val="24"/>
        </w:rPr>
        <w:t>in de vijfde alinea van de preambule</w:t>
      </w:r>
      <w:r w:rsidR="00294FE3" w:rsidRPr="00121A6A">
        <w:rPr>
          <w:sz w:val="24"/>
          <w:szCs w:val="24"/>
        </w:rPr>
        <w:t xml:space="preserve"> van het Handvest</w:t>
      </w:r>
      <w:r w:rsidR="00F33813" w:rsidRPr="00121A6A">
        <w:rPr>
          <w:sz w:val="24"/>
          <w:szCs w:val="24"/>
        </w:rPr>
        <w:t xml:space="preserve"> vermeld </w:t>
      </w:r>
      <w:r w:rsidR="00DA3650" w:rsidRPr="00121A6A">
        <w:rPr>
          <w:sz w:val="24"/>
          <w:szCs w:val="24"/>
        </w:rPr>
        <w:t xml:space="preserve">staat </w:t>
      </w:r>
      <w:r w:rsidR="00F33813" w:rsidRPr="00121A6A">
        <w:rPr>
          <w:sz w:val="24"/>
          <w:szCs w:val="24"/>
        </w:rPr>
        <w:t>dat het Handvest de rechten bevestigt die voorvloeien uit internationale verplichtingen die lidstaten gemeen hebben, zoals de door de Raad van Europa aangenomen sociale handvesten.</w:t>
      </w:r>
      <w:r w:rsidR="005A6D3D" w:rsidRPr="00121A6A">
        <w:rPr>
          <w:rStyle w:val="FootnoteReference"/>
          <w:sz w:val="24"/>
          <w:szCs w:val="24"/>
        </w:rPr>
        <w:footnoteReference w:id="169"/>
      </w:r>
      <w:r w:rsidR="00F33813" w:rsidRPr="00121A6A">
        <w:rPr>
          <w:sz w:val="24"/>
          <w:szCs w:val="24"/>
        </w:rPr>
        <w:t xml:space="preserve"> </w:t>
      </w:r>
      <w:r w:rsidR="00DA3650" w:rsidRPr="00121A6A">
        <w:rPr>
          <w:sz w:val="24"/>
          <w:szCs w:val="24"/>
        </w:rPr>
        <w:t xml:space="preserve">Bovendien zijn </w:t>
      </w:r>
      <w:bookmarkStart w:id="68" w:name="_Hlk155958596"/>
      <w:r w:rsidR="00DA3650" w:rsidRPr="00121A6A">
        <w:rPr>
          <w:sz w:val="24"/>
          <w:szCs w:val="24"/>
        </w:rPr>
        <w:t xml:space="preserve">de sociale grondrechten </w:t>
      </w:r>
      <w:r w:rsidR="00FB74A9">
        <w:rPr>
          <w:sz w:val="24"/>
          <w:szCs w:val="24"/>
        </w:rPr>
        <w:t xml:space="preserve">die zijn </w:t>
      </w:r>
      <w:r w:rsidR="00DA3650" w:rsidRPr="00121A6A">
        <w:rPr>
          <w:sz w:val="24"/>
          <w:szCs w:val="24"/>
        </w:rPr>
        <w:t xml:space="preserve">opgenomen in het Handvest, waaronder </w:t>
      </w:r>
      <w:r w:rsidR="00712254" w:rsidRPr="00121A6A">
        <w:rPr>
          <w:sz w:val="24"/>
          <w:szCs w:val="24"/>
        </w:rPr>
        <w:t>artikel 28 Hv</w:t>
      </w:r>
      <w:r w:rsidR="00DA3650" w:rsidRPr="00121A6A">
        <w:rPr>
          <w:sz w:val="24"/>
          <w:szCs w:val="24"/>
        </w:rPr>
        <w:t xml:space="preserve">, blijkens de Toelichting op het Handvest gebaseerd op daarmee corresponderende ESH-bepalingen. Volgens De Schutter zou het (derhalve) de rechtszekerheid dienen indien het HvJ deze Handvestbepalingen zou </w:t>
      </w:r>
      <w:r w:rsidR="00FB74A9">
        <w:rPr>
          <w:sz w:val="24"/>
          <w:szCs w:val="24"/>
        </w:rPr>
        <w:t>interpreteren</w:t>
      </w:r>
      <w:r w:rsidR="00DA3650" w:rsidRPr="00121A6A">
        <w:rPr>
          <w:sz w:val="24"/>
          <w:szCs w:val="24"/>
        </w:rPr>
        <w:t xml:space="preserve"> in het licht van de door het ECSR gevolgde lijn.</w:t>
      </w:r>
      <w:bookmarkEnd w:id="68"/>
      <w:r w:rsidR="00DA3650" w:rsidRPr="00121A6A">
        <w:rPr>
          <w:rStyle w:val="FootnoteReference"/>
          <w:sz w:val="24"/>
          <w:szCs w:val="24"/>
        </w:rPr>
        <w:footnoteReference w:id="170"/>
      </w:r>
    </w:p>
    <w:p w14:paraId="3835AC92" w14:textId="2C21F4C9" w:rsidR="006E187B" w:rsidRPr="00121A6A" w:rsidRDefault="00865D2C" w:rsidP="007B567C">
      <w:pPr>
        <w:spacing w:after="0"/>
        <w:ind w:firstLine="709"/>
        <w:jc w:val="both"/>
        <w:rPr>
          <w:sz w:val="24"/>
          <w:szCs w:val="24"/>
        </w:rPr>
      </w:pPr>
      <w:r w:rsidRPr="00121A6A">
        <w:rPr>
          <w:sz w:val="24"/>
          <w:szCs w:val="24"/>
        </w:rPr>
        <w:t>Daarnaast is</w:t>
      </w:r>
      <w:r w:rsidR="002A1DC1" w:rsidRPr="00121A6A">
        <w:rPr>
          <w:sz w:val="24"/>
          <w:szCs w:val="24"/>
        </w:rPr>
        <w:t xml:space="preserve"> </w:t>
      </w:r>
      <w:r w:rsidR="00F33813" w:rsidRPr="00121A6A">
        <w:rPr>
          <w:sz w:val="24"/>
          <w:szCs w:val="24"/>
        </w:rPr>
        <w:t xml:space="preserve">artikel </w:t>
      </w:r>
      <w:r w:rsidR="00CF2A7C" w:rsidRPr="00121A6A">
        <w:rPr>
          <w:sz w:val="24"/>
          <w:szCs w:val="24"/>
        </w:rPr>
        <w:t>53 Hv</w:t>
      </w:r>
      <w:r w:rsidR="00F33813" w:rsidRPr="00121A6A">
        <w:rPr>
          <w:sz w:val="24"/>
          <w:szCs w:val="24"/>
        </w:rPr>
        <w:t xml:space="preserve"> vermeldenswaardig</w:t>
      </w:r>
      <w:r w:rsidR="00CF2A7C" w:rsidRPr="00121A6A">
        <w:rPr>
          <w:sz w:val="24"/>
          <w:szCs w:val="24"/>
        </w:rPr>
        <w:t>.</w:t>
      </w:r>
      <w:r w:rsidR="00B30C2E" w:rsidRPr="00121A6A">
        <w:rPr>
          <w:sz w:val="24"/>
          <w:szCs w:val="24"/>
        </w:rPr>
        <w:t xml:space="preserve"> </w:t>
      </w:r>
      <w:r w:rsidR="00F33813" w:rsidRPr="00121A6A">
        <w:rPr>
          <w:sz w:val="24"/>
          <w:szCs w:val="24"/>
        </w:rPr>
        <w:t xml:space="preserve">Hoewel </w:t>
      </w:r>
      <w:r w:rsidR="002A1DC1" w:rsidRPr="00121A6A">
        <w:rPr>
          <w:sz w:val="24"/>
          <w:szCs w:val="24"/>
        </w:rPr>
        <w:t xml:space="preserve">deze bepaling strikt genomen enkel verwijst naar internationale mensenrechtenverdragen waarbij alle </w:t>
      </w:r>
      <w:r w:rsidR="002F28EB">
        <w:rPr>
          <w:sz w:val="24"/>
          <w:szCs w:val="24"/>
        </w:rPr>
        <w:t>EU-</w:t>
      </w:r>
      <w:r w:rsidR="002A1DC1" w:rsidRPr="00121A6A">
        <w:rPr>
          <w:sz w:val="24"/>
          <w:szCs w:val="24"/>
        </w:rPr>
        <w:t xml:space="preserve">lidstaten partij zijn en </w:t>
      </w:r>
      <w:r w:rsidR="00F33813" w:rsidRPr="00121A6A">
        <w:rPr>
          <w:sz w:val="24"/>
          <w:szCs w:val="24"/>
        </w:rPr>
        <w:t xml:space="preserve">niet </w:t>
      </w:r>
      <w:r w:rsidR="00C2742B" w:rsidRPr="00121A6A">
        <w:rPr>
          <w:sz w:val="24"/>
          <w:szCs w:val="24"/>
        </w:rPr>
        <w:t xml:space="preserve">alle </w:t>
      </w:r>
      <w:r w:rsidR="00F20B6F" w:rsidRPr="00121A6A">
        <w:rPr>
          <w:sz w:val="24"/>
          <w:szCs w:val="24"/>
        </w:rPr>
        <w:t>lidstaten</w:t>
      </w:r>
      <w:r w:rsidR="00C2742B" w:rsidRPr="00121A6A">
        <w:rPr>
          <w:sz w:val="24"/>
          <w:szCs w:val="24"/>
        </w:rPr>
        <w:t xml:space="preserve"> </w:t>
      </w:r>
      <w:r w:rsidR="00804139" w:rsidRPr="00121A6A">
        <w:rPr>
          <w:sz w:val="24"/>
          <w:szCs w:val="24"/>
        </w:rPr>
        <w:t xml:space="preserve">(de herziene versie van) </w:t>
      </w:r>
      <w:r w:rsidR="00C2742B" w:rsidRPr="00121A6A">
        <w:rPr>
          <w:sz w:val="24"/>
          <w:szCs w:val="24"/>
        </w:rPr>
        <w:t>artikel 6 lid 4 ESH hebben geratificeerd, heeft de overgrote meerderheid dit wel gedaan.</w:t>
      </w:r>
      <w:r w:rsidR="00C2742B" w:rsidRPr="00121A6A">
        <w:rPr>
          <w:rStyle w:val="FootnoteReference"/>
          <w:sz w:val="24"/>
          <w:szCs w:val="24"/>
        </w:rPr>
        <w:footnoteReference w:id="171"/>
      </w:r>
      <w:r w:rsidR="00C2742B" w:rsidRPr="00121A6A">
        <w:rPr>
          <w:sz w:val="24"/>
          <w:szCs w:val="24"/>
        </w:rPr>
        <w:t xml:space="preserve"> Bovendien </w:t>
      </w:r>
      <w:r w:rsidR="0020541C" w:rsidRPr="00121A6A">
        <w:rPr>
          <w:sz w:val="24"/>
          <w:szCs w:val="24"/>
        </w:rPr>
        <w:t xml:space="preserve">wordt in de literatuur </w:t>
      </w:r>
      <w:r w:rsidR="00155BE6" w:rsidRPr="00121A6A">
        <w:rPr>
          <w:sz w:val="24"/>
          <w:szCs w:val="24"/>
        </w:rPr>
        <w:t>verdedigd</w:t>
      </w:r>
      <w:r w:rsidR="00B30C2E" w:rsidRPr="00121A6A">
        <w:rPr>
          <w:sz w:val="24"/>
          <w:szCs w:val="24"/>
        </w:rPr>
        <w:t xml:space="preserve"> </w:t>
      </w:r>
      <w:r w:rsidR="00CF2A7C" w:rsidRPr="00121A6A">
        <w:rPr>
          <w:sz w:val="24"/>
          <w:szCs w:val="24"/>
        </w:rPr>
        <w:t xml:space="preserve">dat </w:t>
      </w:r>
      <w:r w:rsidR="001C08EF" w:rsidRPr="00121A6A">
        <w:rPr>
          <w:sz w:val="24"/>
          <w:szCs w:val="24"/>
        </w:rPr>
        <w:t xml:space="preserve">het feit dat niet alle </w:t>
      </w:r>
      <w:r w:rsidR="00712254" w:rsidRPr="00121A6A">
        <w:rPr>
          <w:sz w:val="24"/>
          <w:szCs w:val="24"/>
        </w:rPr>
        <w:t>EU-</w:t>
      </w:r>
      <w:r w:rsidR="001C08EF" w:rsidRPr="00121A6A">
        <w:rPr>
          <w:sz w:val="24"/>
          <w:szCs w:val="24"/>
        </w:rPr>
        <w:t>lidstaten een ESH-bepaling hebben geratificeerd,</w:t>
      </w:r>
      <w:r w:rsidR="00B30C2E" w:rsidRPr="00121A6A">
        <w:rPr>
          <w:sz w:val="24"/>
          <w:szCs w:val="24"/>
        </w:rPr>
        <w:t xml:space="preserve"> geen reden </w:t>
      </w:r>
      <w:r w:rsidR="00E04A2A" w:rsidRPr="00121A6A">
        <w:rPr>
          <w:sz w:val="24"/>
          <w:szCs w:val="24"/>
        </w:rPr>
        <w:t xml:space="preserve">is </w:t>
      </w:r>
      <w:r w:rsidR="00B30C2E" w:rsidRPr="00121A6A">
        <w:rPr>
          <w:sz w:val="24"/>
          <w:szCs w:val="24"/>
        </w:rPr>
        <w:t>om op grond van het Handvest minder bescherming te bieden dan het ESH voorschrijft.</w:t>
      </w:r>
      <w:r w:rsidR="00B30C2E" w:rsidRPr="00121A6A">
        <w:rPr>
          <w:rStyle w:val="FootnoteReference"/>
          <w:sz w:val="24"/>
          <w:szCs w:val="24"/>
        </w:rPr>
        <w:footnoteReference w:id="172"/>
      </w:r>
      <w:r w:rsidR="00B30C2E" w:rsidRPr="00121A6A">
        <w:rPr>
          <w:sz w:val="24"/>
          <w:szCs w:val="24"/>
        </w:rPr>
        <w:t xml:space="preserve"> </w:t>
      </w:r>
      <w:r w:rsidR="00BC08E6" w:rsidRPr="00121A6A">
        <w:rPr>
          <w:sz w:val="24"/>
          <w:szCs w:val="24"/>
        </w:rPr>
        <w:t>D</w:t>
      </w:r>
      <w:r w:rsidR="004D6318" w:rsidRPr="00121A6A">
        <w:rPr>
          <w:sz w:val="24"/>
          <w:szCs w:val="24"/>
        </w:rPr>
        <w:t xml:space="preserve">eze visie </w:t>
      </w:r>
      <w:r w:rsidR="00BC08E6" w:rsidRPr="00121A6A">
        <w:rPr>
          <w:sz w:val="24"/>
          <w:szCs w:val="24"/>
        </w:rPr>
        <w:t xml:space="preserve">heeft daarentegen wel </w:t>
      </w:r>
      <w:r w:rsidR="00B30C2E" w:rsidRPr="00121A6A">
        <w:rPr>
          <w:sz w:val="24"/>
          <w:szCs w:val="24"/>
        </w:rPr>
        <w:t xml:space="preserve">tot </w:t>
      </w:r>
      <w:r w:rsidR="00B30C2E" w:rsidRPr="00121A6A">
        <w:rPr>
          <w:sz w:val="24"/>
          <w:szCs w:val="24"/>
        </w:rPr>
        <w:lastRenderedPageBreak/>
        <w:t>gevolg dat</w:t>
      </w:r>
      <w:r w:rsidR="004D6318" w:rsidRPr="00121A6A">
        <w:rPr>
          <w:sz w:val="24"/>
          <w:szCs w:val="24"/>
        </w:rPr>
        <w:t xml:space="preserve"> </w:t>
      </w:r>
      <w:r w:rsidR="00B30C2E" w:rsidRPr="00121A6A">
        <w:rPr>
          <w:sz w:val="24"/>
          <w:szCs w:val="24"/>
        </w:rPr>
        <w:t xml:space="preserve">EU-lidstaten </w:t>
      </w:r>
      <w:r w:rsidR="00B401D3" w:rsidRPr="00121A6A">
        <w:rPr>
          <w:sz w:val="24"/>
          <w:szCs w:val="24"/>
        </w:rPr>
        <w:t xml:space="preserve">die welbewust een </w:t>
      </w:r>
      <w:r w:rsidR="00EE74E5">
        <w:rPr>
          <w:sz w:val="24"/>
          <w:szCs w:val="24"/>
        </w:rPr>
        <w:t xml:space="preserve">bepaalde </w:t>
      </w:r>
      <w:r w:rsidR="00B401D3" w:rsidRPr="00121A6A">
        <w:rPr>
          <w:sz w:val="24"/>
          <w:szCs w:val="24"/>
        </w:rPr>
        <w:t xml:space="preserve">ESH-bepaling niet hebben geratificeerd, hier </w:t>
      </w:r>
      <w:r w:rsidR="004D6318" w:rsidRPr="00121A6A">
        <w:rPr>
          <w:sz w:val="24"/>
          <w:szCs w:val="24"/>
        </w:rPr>
        <w:t xml:space="preserve">alsnog indirect </w:t>
      </w:r>
      <w:r w:rsidR="00B30C2E" w:rsidRPr="00121A6A">
        <w:rPr>
          <w:sz w:val="24"/>
          <w:szCs w:val="24"/>
        </w:rPr>
        <w:t xml:space="preserve">via het Handvest </w:t>
      </w:r>
      <w:r w:rsidR="007B567C" w:rsidRPr="00121A6A">
        <w:rPr>
          <w:sz w:val="24"/>
          <w:szCs w:val="24"/>
        </w:rPr>
        <w:t>invloed</w:t>
      </w:r>
      <w:r w:rsidR="00D94C03" w:rsidRPr="00121A6A">
        <w:rPr>
          <w:sz w:val="24"/>
          <w:szCs w:val="24"/>
        </w:rPr>
        <w:t xml:space="preserve"> van</w:t>
      </w:r>
      <w:r w:rsidR="007B567C" w:rsidRPr="00121A6A">
        <w:rPr>
          <w:sz w:val="24"/>
          <w:szCs w:val="24"/>
        </w:rPr>
        <w:t xml:space="preserve"> kunnen ondervinden</w:t>
      </w:r>
      <w:r w:rsidR="00BC08E6" w:rsidRPr="00121A6A">
        <w:rPr>
          <w:sz w:val="24"/>
          <w:szCs w:val="24"/>
        </w:rPr>
        <w:t>. D</w:t>
      </w:r>
      <w:r w:rsidR="004D6318" w:rsidRPr="00121A6A">
        <w:rPr>
          <w:sz w:val="24"/>
          <w:szCs w:val="24"/>
        </w:rPr>
        <w:t>it bezwaar</w:t>
      </w:r>
      <w:r w:rsidR="00BC08E6" w:rsidRPr="00121A6A">
        <w:rPr>
          <w:sz w:val="24"/>
          <w:szCs w:val="24"/>
        </w:rPr>
        <w:t xml:space="preserve"> lijkt echter, althans in het licht van </w:t>
      </w:r>
      <w:r w:rsidR="008F7F21" w:rsidRPr="00121A6A">
        <w:rPr>
          <w:sz w:val="24"/>
          <w:szCs w:val="24"/>
        </w:rPr>
        <w:t>het EHRM-arrest</w:t>
      </w:r>
      <w:r w:rsidR="00184F26" w:rsidRPr="00121A6A">
        <w:rPr>
          <w:sz w:val="24"/>
          <w:szCs w:val="24"/>
        </w:rPr>
        <w:t xml:space="preserve"> </w:t>
      </w:r>
      <w:r w:rsidR="00184F26" w:rsidRPr="00121A6A">
        <w:rPr>
          <w:i/>
          <w:iCs/>
          <w:sz w:val="24"/>
          <w:szCs w:val="24"/>
        </w:rPr>
        <w:t>Demir II</w:t>
      </w:r>
      <w:r w:rsidR="008D37DB">
        <w:rPr>
          <w:i/>
          <w:iCs/>
          <w:sz w:val="24"/>
          <w:szCs w:val="24"/>
        </w:rPr>
        <w:t xml:space="preserve"> </w:t>
      </w:r>
      <w:r w:rsidR="008D37DB">
        <w:rPr>
          <w:sz w:val="24"/>
          <w:szCs w:val="24"/>
        </w:rPr>
        <w:t>(par. 3.3)</w:t>
      </w:r>
      <w:r w:rsidR="00BC08E6" w:rsidRPr="00121A6A">
        <w:rPr>
          <w:sz w:val="24"/>
          <w:szCs w:val="24"/>
        </w:rPr>
        <w:t>,</w:t>
      </w:r>
      <w:r w:rsidR="004D6318" w:rsidRPr="00121A6A">
        <w:rPr>
          <w:sz w:val="24"/>
          <w:szCs w:val="24"/>
        </w:rPr>
        <w:t xml:space="preserve"> </w:t>
      </w:r>
      <w:r w:rsidR="00BC08E6" w:rsidRPr="00121A6A">
        <w:rPr>
          <w:sz w:val="24"/>
          <w:szCs w:val="24"/>
        </w:rPr>
        <w:t>niet onoverkomelijk.</w:t>
      </w:r>
      <w:r w:rsidR="00B30C2E" w:rsidRPr="00121A6A">
        <w:rPr>
          <w:sz w:val="24"/>
          <w:szCs w:val="24"/>
        </w:rPr>
        <w:t xml:space="preserve"> In</w:t>
      </w:r>
      <w:r w:rsidR="00CA7773" w:rsidRPr="00121A6A">
        <w:rPr>
          <w:sz w:val="24"/>
          <w:szCs w:val="24"/>
        </w:rPr>
        <w:t xml:space="preserve"> </w:t>
      </w:r>
      <w:r w:rsidR="00184F26" w:rsidRPr="00121A6A">
        <w:rPr>
          <w:sz w:val="24"/>
          <w:szCs w:val="24"/>
        </w:rPr>
        <w:t>deze zaak</w:t>
      </w:r>
      <w:r w:rsidR="00B30C2E" w:rsidRPr="00121A6A">
        <w:rPr>
          <w:sz w:val="24"/>
          <w:szCs w:val="24"/>
        </w:rPr>
        <w:t xml:space="preserve"> </w:t>
      </w:r>
      <w:r w:rsidR="00531CFB" w:rsidRPr="00121A6A">
        <w:rPr>
          <w:sz w:val="24"/>
          <w:szCs w:val="24"/>
        </w:rPr>
        <w:t xml:space="preserve">had Turkije aangevoerd dat </w:t>
      </w:r>
      <w:r w:rsidR="002A7C62" w:rsidRPr="00121A6A">
        <w:rPr>
          <w:sz w:val="24"/>
          <w:szCs w:val="24"/>
        </w:rPr>
        <w:t xml:space="preserve">het Hof </w:t>
      </w:r>
      <w:r w:rsidR="00531CFB" w:rsidRPr="00121A6A">
        <w:rPr>
          <w:sz w:val="24"/>
          <w:szCs w:val="24"/>
        </w:rPr>
        <w:t>bij de uitleg van artikel 11 EVRM geen gebruik m</w:t>
      </w:r>
      <w:r w:rsidR="007F3FEC">
        <w:rPr>
          <w:sz w:val="24"/>
          <w:szCs w:val="24"/>
        </w:rPr>
        <w:t>ocht</w:t>
      </w:r>
      <w:r w:rsidR="00531CFB" w:rsidRPr="00121A6A">
        <w:rPr>
          <w:sz w:val="24"/>
          <w:szCs w:val="24"/>
        </w:rPr>
        <w:t xml:space="preserve"> </w:t>
      </w:r>
      <w:r w:rsidR="002A7C62" w:rsidRPr="00121A6A">
        <w:rPr>
          <w:sz w:val="24"/>
          <w:szCs w:val="24"/>
        </w:rPr>
        <w:t xml:space="preserve">maken </w:t>
      </w:r>
      <w:r w:rsidR="00531CFB" w:rsidRPr="00121A6A">
        <w:rPr>
          <w:sz w:val="24"/>
          <w:szCs w:val="24"/>
        </w:rPr>
        <w:t>van internationale rechtsinstrumenten</w:t>
      </w:r>
      <w:r w:rsidR="00712254" w:rsidRPr="00121A6A">
        <w:rPr>
          <w:sz w:val="24"/>
          <w:szCs w:val="24"/>
        </w:rPr>
        <w:t xml:space="preserve">, </w:t>
      </w:r>
      <w:r w:rsidR="004922FD" w:rsidRPr="00121A6A">
        <w:rPr>
          <w:sz w:val="24"/>
          <w:szCs w:val="24"/>
        </w:rPr>
        <w:t xml:space="preserve">in casu de </w:t>
      </w:r>
      <w:r w:rsidR="00604DFA" w:rsidRPr="00121A6A">
        <w:rPr>
          <w:sz w:val="24"/>
          <w:szCs w:val="24"/>
        </w:rPr>
        <w:t>artikel</w:t>
      </w:r>
      <w:r w:rsidR="004922FD" w:rsidRPr="00121A6A">
        <w:rPr>
          <w:sz w:val="24"/>
          <w:szCs w:val="24"/>
        </w:rPr>
        <w:t>en</w:t>
      </w:r>
      <w:r w:rsidR="00604DFA" w:rsidRPr="00121A6A">
        <w:rPr>
          <w:sz w:val="24"/>
          <w:szCs w:val="24"/>
        </w:rPr>
        <w:t xml:space="preserve"> 5 en 6 ESH</w:t>
      </w:r>
      <w:r w:rsidR="00712254" w:rsidRPr="00121A6A">
        <w:rPr>
          <w:sz w:val="24"/>
          <w:szCs w:val="24"/>
        </w:rPr>
        <w:t>,</w:t>
      </w:r>
      <w:r w:rsidR="00604DFA" w:rsidRPr="00121A6A">
        <w:rPr>
          <w:sz w:val="24"/>
          <w:szCs w:val="24"/>
        </w:rPr>
        <w:t xml:space="preserve"> </w:t>
      </w:r>
      <w:r w:rsidR="00531CFB" w:rsidRPr="00121A6A">
        <w:rPr>
          <w:sz w:val="24"/>
          <w:szCs w:val="24"/>
        </w:rPr>
        <w:t xml:space="preserve">die door Turkije niet </w:t>
      </w:r>
      <w:r w:rsidR="007F3FEC">
        <w:rPr>
          <w:sz w:val="24"/>
          <w:szCs w:val="24"/>
        </w:rPr>
        <w:t>waren</w:t>
      </w:r>
      <w:r w:rsidR="00531CFB" w:rsidRPr="00121A6A">
        <w:rPr>
          <w:sz w:val="24"/>
          <w:szCs w:val="24"/>
        </w:rPr>
        <w:t xml:space="preserve"> geratificeerd. In reactie daarop </w:t>
      </w:r>
      <w:r w:rsidR="00CA7773" w:rsidRPr="00121A6A">
        <w:rPr>
          <w:sz w:val="24"/>
          <w:szCs w:val="24"/>
        </w:rPr>
        <w:t xml:space="preserve">overwoog het EHRM dat </w:t>
      </w:r>
      <w:r w:rsidR="00604DFA" w:rsidRPr="00121A6A">
        <w:rPr>
          <w:sz w:val="24"/>
          <w:szCs w:val="24"/>
        </w:rPr>
        <w:t xml:space="preserve">bij </w:t>
      </w:r>
      <w:r w:rsidR="00712254" w:rsidRPr="00121A6A">
        <w:rPr>
          <w:sz w:val="24"/>
          <w:szCs w:val="24"/>
        </w:rPr>
        <w:t xml:space="preserve">de </w:t>
      </w:r>
      <w:r w:rsidR="00604DFA" w:rsidRPr="00121A6A">
        <w:rPr>
          <w:sz w:val="24"/>
          <w:szCs w:val="24"/>
        </w:rPr>
        <w:t>interpret</w:t>
      </w:r>
      <w:r w:rsidR="00712254" w:rsidRPr="00121A6A">
        <w:rPr>
          <w:sz w:val="24"/>
          <w:szCs w:val="24"/>
        </w:rPr>
        <w:t>atie</w:t>
      </w:r>
      <w:r w:rsidR="00604DFA" w:rsidRPr="00121A6A">
        <w:rPr>
          <w:sz w:val="24"/>
          <w:szCs w:val="24"/>
        </w:rPr>
        <w:t xml:space="preserve"> van het EVRM rekening kan en moet </w:t>
      </w:r>
      <w:r w:rsidR="00712254" w:rsidRPr="00121A6A">
        <w:rPr>
          <w:sz w:val="24"/>
          <w:szCs w:val="24"/>
        </w:rPr>
        <w:t>worden ge</w:t>
      </w:r>
      <w:r w:rsidR="00604DFA" w:rsidRPr="00121A6A">
        <w:rPr>
          <w:sz w:val="24"/>
          <w:szCs w:val="24"/>
        </w:rPr>
        <w:t xml:space="preserve">houden met </w:t>
      </w:r>
      <w:r w:rsidR="00B20B73" w:rsidRPr="00121A6A">
        <w:rPr>
          <w:sz w:val="24"/>
          <w:szCs w:val="24"/>
        </w:rPr>
        <w:t>(</w:t>
      </w:r>
      <w:r w:rsidR="00604DFA" w:rsidRPr="00121A6A">
        <w:rPr>
          <w:sz w:val="24"/>
          <w:szCs w:val="24"/>
        </w:rPr>
        <w:t>andere</w:t>
      </w:r>
      <w:r w:rsidR="00B20B73" w:rsidRPr="00121A6A">
        <w:rPr>
          <w:sz w:val="24"/>
          <w:szCs w:val="24"/>
        </w:rPr>
        <w:t>)</w:t>
      </w:r>
      <w:r w:rsidR="00604DFA" w:rsidRPr="00121A6A">
        <w:rPr>
          <w:sz w:val="24"/>
          <w:szCs w:val="24"/>
        </w:rPr>
        <w:t xml:space="preserve"> internationale rechtsinstrumenten en de </w:t>
      </w:r>
      <w:r w:rsidR="00F21060" w:rsidRPr="00121A6A">
        <w:rPr>
          <w:sz w:val="24"/>
          <w:szCs w:val="24"/>
        </w:rPr>
        <w:t>uitleg</w:t>
      </w:r>
      <w:r w:rsidR="00604DFA" w:rsidRPr="00121A6A">
        <w:rPr>
          <w:sz w:val="24"/>
          <w:szCs w:val="24"/>
        </w:rPr>
        <w:t xml:space="preserve"> </w:t>
      </w:r>
      <w:r w:rsidR="00F21060" w:rsidRPr="00121A6A">
        <w:rPr>
          <w:sz w:val="24"/>
          <w:szCs w:val="24"/>
        </w:rPr>
        <w:t xml:space="preserve">die </w:t>
      </w:r>
      <w:r w:rsidR="00604DFA" w:rsidRPr="00121A6A">
        <w:rPr>
          <w:sz w:val="24"/>
          <w:szCs w:val="24"/>
        </w:rPr>
        <w:t>bevoegde organen</w:t>
      </w:r>
      <w:r w:rsidR="00F21060" w:rsidRPr="00121A6A">
        <w:rPr>
          <w:sz w:val="24"/>
          <w:szCs w:val="24"/>
        </w:rPr>
        <w:t xml:space="preserve"> daaraan geven</w:t>
      </w:r>
      <w:r w:rsidR="00E857D6" w:rsidRPr="00121A6A">
        <w:rPr>
          <w:sz w:val="24"/>
          <w:szCs w:val="24"/>
        </w:rPr>
        <w:t>, ongeacht of deze instrumenten zijn geratificeerd door de verwerende lidstaat</w:t>
      </w:r>
      <w:r w:rsidR="00C14674" w:rsidRPr="00121A6A">
        <w:rPr>
          <w:sz w:val="24"/>
          <w:szCs w:val="24"/>
        </w:rPr>
        <w:t>. Alleen zo kan worden nagegaan</w:t>
      </w:r>
      <w:r w:rsidR="00604DFA" w:rsidRPr="00121A6A">
        <w:rPr>
          <w:sz w:val="24"/>
          <w:szCs w:val="24"/>
        </w:rPr>
        <w:t xml:space="preserve"> </w:t>
      </w:r>
      <w:r w:rsidR="00B30C2E" w:rsidRPr="00121A6A">
        <w:rPr>
          <w:sz w:val="24"/>
          <w:szCs w:val="24"/>
        </w:rPr>
        <w:t xml:space="preserve">of sprake is van </w:t>
      </w:r>
      <w:r w:rsidR="002D7D35" w:rsidRPr="00121A6A">
        <w:rPr>
          <w:sz w:val="24"/>
          <w:szCs w:val="24"/>
        </w:rPr>
        <w:t xml:space="preserve">relevante </w:t>
      </w:r>
      <w:r w:rsidR="00B30C2E" w:rsidRPr="00121A6A">
        <w:rPr>
          <w:sz w:val="24"/>
          <w:szCs w:val="24"/>
        </w:rPr>
        <w:t xml:space="preserve">gemeenschappelijke standaarden in </w:t>
      </w:r>
      <w:r w:rsidR="002D7D35" w:rsidRPr="00121A6A">
        <w:rPr>
          <w:sz w:val="24"/>
          <w:szCs w:val="24"/>
        </w:rPr>
        <w:t xml:space="preserve">(de meerderheid van) de </w:t>
      </w:r>
      <w:r w:rsidR="00B30C2E" w:rsidRPr="00121A6A">
        <w:rPr>
          <w:sz w:val="24"/>
          <w:szCs w:val="24"/>
        </w:rPr>
        <w:t>lidstaten</w:t>
      </w:r>
      <w:r w:rsidR="008F7F21" w:rsidRPr="00121A6A">
        <w:rPr>
          <w:sz w:val="24"/>
          <w:szCs w:val="24"/>
        </w:rPr>
        <w:t>,</w:t>
      </w:r>
      <w:r w:rsidR="002D7D35" w:rsidRPr="00121A6A">
        <w:rPr>
          <w:sz w:val="24"/>
          <w:szCs w:val="24"/>
        </w:rPr>
        <w:t xml:space="preserve"> die vervolgens een rol kunnen spelen bij de uitleg van het EVRM</w:t>
      </w:r>
      <w:r w:rsidR="00E857D6" w:rsidRPr="00121A6A">
        <w:rPr>
          <w:sz w:val="24"/>
          <w:szCs w:val="24"/>
        </w:rPr>
        <w:t xml:space="preserve">. </w:t>
      </w:r>
    </w:p>
    <w:p w14:paraId="029C36C1" w14:textId="76C87C9D" w:rsidR="00677BE4" w:rsidRPr="00121A6A" w:rsidRDefault="008D6C98" w:rsidP="00B16F95">
      <w:pPr>
        <w:spacing w:after="0"/>
        <w:ind w:firstLine="709"/>
        <w:jc w:val="both"/>
        <w:rPr>
          <w:sz w:val="24"/>
          <w:szCs w:val="24"/>
        </w:rPr>
      </w:pPr>
      <w:r w:rsidRPr="00121A6A">
        <w:rPr>
          <w:sz w:val="24"/>
          <w:szCs w:val="24"/>
        </w:rPr>
        <w:t>Met</w:t>
      </w:r>
      <w:r w:rsidR="00773FFD" w:rsidRPr="00121A6A">
        <w:rPr>
          <w:sz w:val="24"/>
          <w:szCs w:val="24"/>
        </w:rPr>
        <w:t xml:space="preserve"> </w:t>
      </w:r>
      <w:r w:rsidRPr="00121A6A">
        <w:rPr>
          <w:sz w:val="24"/>
          <w:szCs w:val="24"/>
        </w:rPr>
        <w:t xml:space="preserve">het oog op </w:t>
      </w:r>
      <w:r w:rsidR="00773FFD" w:rsidRPr="00121A6A">
        <w:rPr>
          <w:sz w:val="24"/>
          <w:szCs w:val="24"/>
        </w:rPr>
        <w:t>een</w:t>
      </w:r>
      <w:r w:rsidR="00E857D6" w:rsidRPr="00121A6A">
        <w:rPr>
          <w:sz w:val="24"/>
          <w:szCs w:val="24"/>
        </w:rPr>
        <w:t xml:space="preserve"> uniforme</w:t>
      </w:r>
      <w:r w:rsidR="00773FFD" w:rsidRPr="00121A6A">
        <w:rPr>
          <w:sz w:val="24"/>
          <w:szCs w:val="24"/>
        </w:rPr>
        <w:t xml:space="preserve"> </w:t>
      </w:r>
      <w:r w:rsidR="00E857D6" w:rsidRPr="00121A6A">
        <w:rPr>
          <w:sz w:val="24"/>
          <w:szCs w:val="24"/>
        </w:rPr>
        <w:t xml:space="preserve">interpretatie van </w:t>
      </w:r>
      <w:r w:rsidR="00D251EF" w:rsidRPr="00121A6A">
        <w:rPr>
          <w:sz w:val="24"/>
          <w:szCs w:val="24"/>
        </w:rPr>
        <w:t>fundamentele mensenrechten</w:t>
      </w:r>
      <w:r w:rsidR="008D37DB">
        <w:rPr>
          <w:sz w:val="24"/>
          <w:szCs w:val="24"/>
        </w:rPr>
        <w:t>verdragen</w:t>
      </w:r>
      <w:r w:rsidR="00EE71D4" w:rsidRPr="00121A6A">
        <w:rPr>
          <w:sz w:val="24"/>
          <w:szCs w:val="24"/>
        </w:rPr>
        <w:t xml:space="preserve"> </w:t>
      </w:r>
      <w:r w:rsidR="00E857D6" w:rsidRPr="00121A6A">
        <w:rPr>
          <w:sz w:val="24"/>
          <w:szCs w:val="24"/>
        </w:rPr>
        <w:t xml:space="preserve">en het voorkomen van ‘dubbele standaarden’, onderstreept </w:t>
      </w:r>
      <w:proofErr w:type="spellStart"/>
      <w:r w:rsidR="00E857D6" w:rsidRPr="00121A6A">
        <w:rPr>
          <w:sz w:val="24"/>
          <w:szCs w:val="24"/>
        </w:rPr>
        <w:t>Lörcher</w:t>
      </w:r>
      <w:proofErr w:type="spellEnd"/>
      <w:r w:rsidR="00E857D6" w:rsidRPr="00121A6A">
        <w:rPr>
          <w:sz w:val="24"/>
          <w:szCs w:val="24"/>
        </w:rPr>
        <w:t xml:space="preserve"> deze benadering van het EHRM.</w:t>
      </w:r>
      <w:r w:rsidR="00E857D6" w:rsidRPr="00121A6A">
        <w:rPr>
          <w:rStyle w:val="FootnoteReference"/>
          <w:sz w:val="24"/>
          <w:szCs w:val="24"/>
        </w:rPr>
        <w:footnoteReference w:id="173"/>
      </w:r>
      <w:r w:rsidR="008562F0" w:rsidRPr="00121A6A">
        <w:rPr>
          <w:sz w:val="24"/>
          <w:szCs w:val="24"/>
        </w:rPr>
        <w:t xml:space="preserve"> </w:t>
      </w:r>
      <w:r w:rsidR="00AC524F" w:rsidRPr="00121A6A">
        <w:rPr>
          <w:sz w:val="24"/>
          <w:szCs w:val="24"/>
        </w:rPr>
        <w:t>Ik sluit me</w:t>
      </w:r>
      <w:r w:rsidR="00B20B73" w:rsidRPr="00121A6A">
        <w:rPr>
          <w:sz w:val="24"/>
          <w:szCs w:val="24"/>
        </w:rPr>
        <w:t xml:space="preserve">, </w:t>
      </w:r>
      <w:r w:rsidR="006F18DE" w:rsidRPr="00121A6A">
        <w:rPr>
          <w:sz w:val="24"/>
          <w:szCs w:val="24"/>
        </w:rPr>
        <w:t xml:space="preserve">mede in </w:t>
      </w:r>
      <w:r w:rsidR="00B20B73" w:rsidRPr="00121A6A">
        <w:rPr>
          <w:sz w:val="24"/>
          <w:szCs w:val="24"/>
        </w:rPr>
        <w:t xml:space="preserve">het belang van effectieve(re) handhaving van sociale </w:t>
      </w:r>
      <w:r w:rsidR="00412C73">
        <w:rPr>
          <w:sz w:val="24"/>
          <w:szCs w:val="24"/>
        </w:rPr>
        <w:t>grond</w:t>
      </w:r>
      <w:r w:rsidR="00B20B73" w:rsidRPr="00121A6A">
        <w:rPr>
          <w:sz w:val="24"/>
          <w:szCs w:val="24"/>
        </w:rPr>
        <w:t>rechten via het EVRM</w:t>
      </w:r>
      <w:r w:rsidR="006F18DE" w:rsidRPr="00121A6A">
        <w:rPr>
          <w:sz w:val="24"/>
          <w:szCs w:val="24"/>
        </w:rPr>
        <w:t>,</w:t>
      </w:r>
      <w:r w:rsidR="00B20B73" w:rsidRPr="00121A6A">
        <w:rPr>
          <w:rStyle w:val="FootnoteReference"/>
          <w:sz w:val="24"/>
          <w:szCs w:val="24"/>
        </w:rPr>
        <w:footnoteReference w:id="174"/>
      </w:r>
      <w:r w:rsidR="006F18DE" w:rsidRPr="00121A6A">
        <w:rPr>
          <w:sz w:val="24"/>
          <w:szCs w:val="24"/>
        </w:rPr>
        <w:t xml:space="preserve"> bij zijn standpunt aan.</w:t>
      </w:r>
      <w:r w:rsidR="00B20B73" w:rsidRPr="00121A6A">
        <w:rPr>
          <w:sz w:val="24"/>
          <w:szCs w:val="24"/>
        </w:rPr>
        <w:t xml:space="preserve"> Dit,</w:t>
      </w:r>
      <w:r w:rsidR="00AC524F" w:rsidRPr="00121A6A">
        <w:rPr>
          <w:sz w:val="24"/>
          <w:szCs w:val="24"/>
        </w:rPr>
        <w:t xml:space="preserve"> onverminderd het feit dat </w:t>
      </w:r>
      <w:r w:rsidR="00204542" w:rsidRPr="00121A6A">
        <w:rPr>
          <w:sz w:val="24"/>
          <w:szCs w:val="24"/>
        </w:rPr>
        <w:t xml:space="preserve">de methodologie </w:t>
      </w:r>
      <w:r w:rsidR="00B20B73" w:rsidRPr="00121A6A">
        <w:rPr>
          <w:sz w:val="24"/>
          <w:szCs w:val="24"/>
        </w:rPr>
        <w:t xml:space="preserve">van het EHRM </w:t>
      </w:r>
      <w:r w:rsidR="00FC794F" w:rsidRPr="00121A6A">
        <w:rPr>
          <w:sz w:val="24"/>
          <w:szCs w:val="24"/>
        </w:rPr>
        <w:t>op gespannen voet staat met artikel 31 lid 3 sub c van het Weens Verdragenverdrag (WVV)</w:t>
      </w:r>
      <w:r w:rsidR="008562F0" w:rsidRPr="00121A6A">
        <w:rPr>
          <w:sz w:val="24"/>
          <w:szCs w:val="24"/>
        </w:rPr>
        <w:t>.</w:t>
      </w:r>
      <w:r w:rsidR="00F14AB5" w:rsidRPr="00121A6A">
        <w:rPr>
          <w:rStyle w:val="FootnoteReference"/>
          <w:sz w:val="24"/>
          <w:szCs w:val="24"/>
        </w:rPr>
        <w:footnoteReference w:id="175"/>
      </w:r>
      <w:r w:rsidR="00115DFA" w:rsidRPr="00121A6A">
        <w:rPr>
          <w:sz w:val="24"/>
          <w:szCs w:val="24"/>
        </w:rPr>
        <w:t xml:space="preserve"> Op grond van deze bepaling dient bij de interpretatie van een verdrag rekening te worden gehouden met ‘</w:t>
      </w:r>
      <w:r w:rsidR="00115DFA" w:rsidRPr="00121A6A">
        <w:rPr>
          <w:i/>
          <w:iCs/>
          <w:sz w:val="24"/>
          <w:szCs w:val="24"/>
        </w:rPr>
        <w:t>iedere ter zake dienende regel van het volkenrecht die op de betrekkingen tussen de partijen kan worden toegepast.</w:t>
      </w:r>
      <w:r w:rsidR="00115DFA" w:rsidRPr="00121A6A">
        <w:rPr>
          <w:sz w:val="24"/>
          <w:szCs w:val="24"/>
        </w:rPr>
        <w:t xml:space="preserve">’ </w:t>
      </w:r>
      <w:r w:rsidR="0078009E" w:rsidRPr="00121A6A">
        <w:rPr>
          <w:sz w:val="24"/>
          <w:szCs w:val="24"/>
        </w:rPr>
        <w:t>Ofschoon</w:t>
      </w:r>
      <w:r w:rsidR="00DA3535" w:rsidRPr="00121A6A">
        <w:rPr>
          <w:sz w:val="24"/>
          <w:szCs w:val="24"/>
        </w:rPr>
        <w:t xml:space="preserve"> </w:t>
      </w:r>
      <w:r w:rsidR="00612923" w:rsidRPr="00121A6A">
        <w:rPr>
          <w:sz w:val="24"/>
          <w:szCs w:val="24"/>
        </w:rPr>
        <w:t>n</w:t>
      </w:r>
      <w:r w:rsidR="00115DFA" w:rsidRPr="00121A6A">
        <w:rPr>
          <w:sz w:val="24"/>
          <w:szCs w:val="24"/>
        </w:rPr>
        <w:t xml:space="preserve">iet-geratificeerde bepalingen </w:t>
      </w:r>
      <w:r w:rsidR="00204542" w:rsidRPr="00121A6A">
        <w:rPr>
          <w:sz w:val="24"/>
          <w:szCs w:val="24"/>
        </w:rPr>
        <w:t>daar</w:t>
      </w:r>
      <w:r w:rsidR="00115DFA" w:rsidRPr="00121A6A">
        <w:rPr>
          <w:sz w:val="24"/>
          <w:szCs w:val="24"/>
        </w:rPr>
        <w:t xml:space="preserve"> vanzelfsprekend niet onder</w:t>
      </w:r>
      <w:r w:rsidR="00EC0560" w:rsidRPr="00121A6A">
        <w:rPr>
          <w:sz w:val="24"/>
          <w:szCs w:val="24"/>
        </w:rPr>
        <w:t xml:space="preserve"> vallen, </w:t>
      </w:r>
      <w:r w:rsidR="001B13B8">
        <w:rPr>
          <w:sz w:val="24"/>
          <w:szCs w:val="24"/>
        </w:rPr>
        <w:t>moet worden vastgesteld</w:t>
      </w:r>
      <w:r w:rsidR="006E187B" w:rsidRPr="00121A6A">
        <w:rPr>
          <w:sz w:val="24"/>
          <w:szCs w:val="24"/>
        </w:rPr>
        <w:t xml:space="preserve"> </w:t>
      </w:r>
      <w:r w:rsidR="00802E49" w:rsidRPr="00121A6A">
        <w:rPr>
          <w:sz w:val="24"/>
          <w:szCs w:val="24"/>
        </w:rPr>
        <w:t>dat</w:t>
      </w:r>
      <w:r w:rsidR="00662675" w:rsidRPr="00121A6A">
        <w:rPr>
          <w:sz w:val="24"/>
          <w:szCs w:val="24"/>
        </w:rPr>
        <w:t xml:space="preserve"> alle EU-lidstaten </w:t>
      </w:r>
      <w:r w:rsidR="007F3FEC">
        <w:rPr>
          <w:sz w:val="24"/>
          <w:szCs w:val="24"/>
        </w:rPr>
        <w:t xml:space="preserve">wel </w:t>
      </w:r>
      <w:r w:rsidR="00662675" w:rsidRPr="00121A6A">
        <w:rPr>
          <w:sz w:val="24"/>
          <w:szCs w:val="24"/>
        </w:rPr>
        <w:t xml:space="preserve">partij zijn bij het ESH. Daarmee hebben zij zich </w:t>
      </w:r>
      <w:r w:rsidR="00703D7E" w:rsidRPr="00121A6A">
        <w:rPr>
          <w:sz w:val="24"/>
          <w:szCs w:val="24"/>
        </w:rPr>
        <w:t xml:space="preserve">blijkens deel I ESH </w:t>
      </w:r>
      <w:r w:rsidR="00501783" w:rsidRPr="00121A6A">
        <w:rPr>
          <w:sz w:val="24"/>
          <w:szCs w:val="24"/>
        </w:rPr>
        <w:t xml:space="preserve">unaniem </w:t>
      </w:r>
      <w:r w:rsidR="00662675" w:rsidRPr="00121A6A">
        <w:rPr>
          <w:sz w:val="24"/>
          <w:szCs w:val="24"/>
        </w:rPr>
        <w:t>ten doel gesteld ‘</w:t>
      </w:r>
      <w:r w:rsidR="00662675" w:rsidRPr="00121A6A">
        <w:rPr>
          <w:i/>
          <w:iCs/>
          <w:sz w:val="24"/>
          <w:szCs w:val="24"/>
        </w:rPr>
        <w:t xml:space="preserve">met alle passende middelen […] zodanige voorwaarden te scheppen dat de </w:t>
      </w:r>
      <w:r w:rsidR="00DB0DB7" w:rsidRPr="00121A6A">
        <w:rPr>
          <w:i/>
          <w:iCs/>
          <w:sz w:val="24"/>
          <w:szCs w:val="24"/>
        </w:rPr>
        <w:t>hiernavolgende</w:t>
      </w:r>
      <w:r w:rsidR="00662675" w:rsidRPr="00121A6A">
        <w:rPr>
          <w:i/>
          <w:iCs/>
          <w:sz w:val="24"/>
          <w:szCs w:val="24"/>
        </w:rPr>
        <w:t xml:space="preserve"> rechten en beginselen daadwerkelijk kunnen worden verwezenlijkt.</w:t>
      </w:r>
      <w:r w:rsidR="00662675" w:rsidRPr="00121A6A">
        <w:rPr>
          <w:sz w:val="24"/>
          <w:szCs w:val="24"/>
        </w:rPr>
        <w:t>’ Onder de genoemde rechten en beginselen staat het collectief onderhandelingsrecht</w:t>
      </w:r>
      <w:r w:rsidR="0021039D" w:rsidRPr="00121A6A">
        <w:rPr>
          <w:sz w:val="24"/>
          <w:szCs w:val="24"/>
        </w:rPr>
        <w:t xml:space="preserve">, dat slechts effectief kan worden uitgeoefend indien </w:t>
      </w:r>
      <w:r w:rsidR="00A47D92" w:rsidRPr="00121A6A">
        <w:rPr>
          <w:sz w:val="24"/>
          <w:szCs w:val="24"/>
        </w:rPr>
        <w:t xml:space="preserve">werknemers(organisaties) </w:t>
      </w:r>
      <w:r w:rsidR="0021039D" w:rsidRPr="00121A6A">
        <w:rPr>
          <w:sz w:val="24"/>
          <w:szCs w:val="24"/>
        </w:rPr>
        <w:t>daadwerkelijk het stakingsmiddel</w:t>
      </w:r>
      <w:r w:rsidR="002601FE" w:rsidRPr="00121A6A">
        <w:rPr>
          <w:sz w:val="24"/>
          <w:szCs w:val="24"/>
        </w:rPr>
        <w:t xml:space="preserve"> achter de hand hebben</w:t>
      </w:r>
      <w:r w:rsidR="0021039D" w:rsidRPr="00121A6A">
        <w:rPr>
          <w:sz w:val="24"/>
          <w:szCs w:val="24"/>
        </w:rPr>
        <w:t>.</w:t>
      </w:r>
      <w:r w:rsidR="005F021A" w:rsidRPr="00121A6A">
        <w:rPr>
          <w:rStyle w:val="FootnoteReference"/>
          <w:sz w:val="24"/>
          <w:szCs w:val="24"/>
        </w:rPr>
        <w:footnoteReference w:id="176"/>
      </w:r>
      <w:r w:rsidR="00DB0DB7" w:rsidRPr="00121A6A">
        <w:rPr>
          <w:sz w:val="24"/>
          <w:szCs w:val="24"/>
        </w:rPr>
        <w:t xml:space="preserve"> </w:t>
      </w:r>
      <w:r w:rsidR="00D361C3" w:rsidRPr="00121A6A">
        <w:rPr>
          <w:sz w:val="24"/>
          <w:szCs w:val="24"/>
        </w:rPr>
        <w:t>Via</w:t>
      </w:r>
      <w:r w:rsidR="00DB0DB7" w:rsidRPr="00121A6A">
        <w:rPr>
          <w:sz w:val="24"/>
          <w:szCs w:val="24"/>
        </w:rPr>
        <w:t xml:space="preserve"> die weg kan worden beredeneerd dat </w:t>
      </w:r>
      <w:r w:rsidR="005A6D3D" w:rsidRPr="00121A6A">
        <w:rPr>
          <w:sz w:val="24"/>
          <w:szCs w:val="24"/>
        </w:rPr>
        <w:t xml:space="preserve">alle </w:t>
      </w:r>
      <w:r w:rsidR="00DB0DB7" w:rsidRPr="00121A6A">
        <w:rPr>
          <w:sz w:val="24"/>
          <w:szCs w:val="24"/>
        </w:rPr>
        <w:t>lidstaten zich moeten inspannen</w:t>
      </w:r>
      <w:r w:rsidR="00F80D95">
        <w:rPr>
          <w:sz w:val="24"/>
          <w:szCs w:val="24"/>
        </w:rPr>
        <w:t xml:space="preserve"> om</w:t>
      </w:r>
      <w:r w:rsidR="00DB0DB7" w:rsidRPr="00121A6A">
        <w:rPr>
          <w:sz w:val="24"/>
          <w:szCs w:val="24"/>
        </w:rPr>
        <w:t xml:space="preserve"> het stakingsrecht</w:t>
      </w:r>
      <w:r w:rsidR="007F3C9E" w:rsidRPr="00121A6A">
        <w:rPr>
          <w:sz w:val="24"/>
          <w:szCs w:val="24"/>
        </w:rPr>
        <w:t xml:space="preserve"> </w:t>
      </w:r>
      <w:r w:rsidR="001A036E" w:rsidRPr="00121A6A">
        <w:rPr>
          <w:sz w:val="24"/>
          <w:szCs w:val="24"/>
        </w:rPr>
        <w:t xml:space="preserve">zoals gegarandeerd door artikel 6 lid 4 ESH </w:t>
      </w:r>
      <w:r w:rsidR="007F3C9E" w:rsidRPr="00121A6A">
        <w:rPr>
          <w:sz w:val="24"/>
          <w:szCs w:val="24"/>
        </w:rPr>
        <w:t>(tot op zekere hoogte)</w:t>
      </w:r>
      <w:r w:rsidR="00DB0DB7" w:rsidRPr="00121A6A">
        <w:rPr>
          <w:sz w:val="24"/>
          <w:szCs w:val="24"/>
        </w:rPr>
        <w:t xml:space="preserve"> te beschermen, </w:t>
      </w:r>
      <w:r w:rsidR="00A47D92" w:rsidRPr="00121A6A">
        <w:rPr>
          <w:sz w:val="24"/>
          <w:szCs w:val="24"/>
        </w:rPr>
        <w:t>ongeacht of zij</w:t>
      </w:r>
      <w:r w:rsidR="00DB0DB7" w:rsidRPr="00121A6A">
        <w:rPr>
          <w:sz w:val="24"/>
          <w:szCs w:val="24"/>
        </w:rPr>
        <w:t xml:space="preserve"> </w:t>
      </w:r>
      <w:r w:rsidR="001A036E" w:rsidRPr="00121A6A">
        <w:rPr>
          <w:sz w:val="24"/>
          <w:szCs w:val="24"/>
        </w:rPr>
        <w:t>dit artikel</w:t>
      </w:r>
      <w:r w:rsidR="003239C6" w:rsidRPr="00121A6A">
        <w:rPr>
          <w:sz w:val="24"/>
          <w:szCs w:val="24"/>
        </w:rPr>
        <w:t xml:space="preserve"> </w:t>
      </w:r>
      <w:r w:rsidR="00DB0DB7" w:rsidRPr="00121A6A">
        <w:rPr>
          <w:sz w:val="24"/>
          <w:szCs w:val="24"/>
        </w:rPr>
        <w:t>hebben geratificeerd.</w:t>
      </w:r>
    </w:p>
    <w:p w14:paraId="69415CF7" w14:textId="639DBE03" w:rsidR="00814F71" w:rsidRDefault="008D6C98" w:rsidP="00814F71">
      <w:pPr>
        <w:spacing w:after="0"/>
        <w:ind w:firstLine="709"/>
        <w:jc w:val="both"/>
        <w:rPr>
          <w:sz w:val="24"/>
          <w:szCs w:val="24"/>
        </w:rPr>
      </w:pPr>
      <w:r w:rsidRPr="00121A6A">
        <w:rPr>
          <w:sz w:val="24"/>
          <w:szCs w:val="24"/>
        </w:rPr>
        <w:t xml:space="preserve">Via </w:t>
      </w:r>
      <w:r w:rsidR="00CF2A7C" w:rsidRPr="00121A6A">
        <w:rPr>
          <w:sz w:val="24"/>
          <w:szCs w:val="24"/>
        </w:rPr>
        <w:t xml:space="preserve">artikel 53 Hv </w:t>
      </w:r>
      <w:r w:rsidRPr="00121A6A">
        <w:rPr>
          <w:sz w:val="24"/>
          <w:szCs w:val="24"/>
        </w:rPr>
        <w:t>is het HvJ (nog) sterker gebonden aan ILO-Verdrag 87,</w:t>
      </w:r>
      <w:r w:rsidR="00814FF4" w:rsidRPr="00121A6A">
        <w:rPr>
          <w:rStyle w:val="FootnoteReference"/>
          <w:sz w:val="24"/>
          <w:szCs w:val="24"/>
        </w:rPr>
        <w:footnoteReference w:id="177"/>
      </w:r>
      <w:r w:rsidR="00C2742B" w:rsidRPr="00121A6A">
        <w:rPr>
          <w:sz w:val="24"/>
          <w:szCs w:val="24"/>
        </w:rPr>
        <w:t xml:space="preserve"> </w:t>
      </w:r>
      <w:r w:rsidRPr="00121A6A">
        <w:rPr>
          <w:sz w:val="24"/>
          <w:szCs w:val="24"/>
        </w:rPr>
        <w:t>aangezien a</w:t>
      </w:r>
      <w:r w:rsidR="00C2742B" w:rsidRPr="00121A6A">
        <w:rPr>
          <w:sz w:val="24"/>
          <w:szCs w:val="24"/>
        </w:rPr>
        <w:t xml:space="preserve">lle </w:t>
      </w:r>
      <w:r w:rsidR="007C7436" w:rsidRPr="00121A6A">
        <w:rPr>
          <w:sz w:val="24"/>
          <w:szCs w:val="24"/>
        </w:rPr>
        <w:t>EU-</w:t>
      </w:r>
      <w:r w:rsidR="00C2742B" w:rsidRPr="00121A6A">
        <w:rPr>
          <w:sz w:val="24"/>
          <w:szCs w:val="24"/>
        </w:rPr>
        <w:t xml:space="preserve">lidstaten </w:t>
      </w:r>
      <w:r w:rsidR="000B2A7C" w:rsidRPr="00121A6A">
        <w:rPr>
          <w:sz w:val="24"/>
          <w:szCs w:val="24"/>
        </w:rPr>
        <w:t>dit</w:t>
      </w:r>
      <w:r w:rsidR="00C2742B" w:rsidRPr="00121A6A">
        <w:rPr>
          <w:sz w:val="24"/>
          <w:szCs w:val="24"/>
        </w:rPr>
        <w:t xml:space="preserve"> </w:t>
      </w:r>
      <w:r w:rsidR="000B2A7C" w:rsidRPr="00121A6A">
        <w:rPr>
          <w:sz w:val="24"/>
          <w:szCs w:val="24"/>
        </w:rPr>
        <w:t xml:space="preserve">verdrag </w:t>
      </w:r>
      <w:r w:rsidRPr="00121A6A">
        <w:rPr>
          <w:sz w:val="24"/>
          <w:szCs w:val="24"/>
        </w:rPr>
        <w:t xml:space="preserve">hebben </w:t>
      </w:r>
      <w:r w:rsidR="00C2742B" w:rsidRPr="00121A6A">
        <w:rPr>
          <w:sz w:val="24"/>
          <w:szCs w:val="24"/>
        </w:rPr>
        <w:t>geratificeerd.</w:t>
      </w:r>
      <w:r w:rsidR="0058331D" w:rsidRPr="00121A6A">
        <w:rPr>
          <w:rStyle w:val="FootnoteReference"/>
          <w:sz w:val="24"/>
          <w:szCs w:val="24"/>
        </w:rPr>
        <w:footnoteReference w:id="178"/>
      </w:r>
      <w:r w:rsidR="00CF2A7C" w:rsidRPr="00121A6A">
        <w:rPr>
          <w:sz w:val="24"/>
          <w:szCs w:val="24"/>
        </w:rPr>
        <w:t xml:space="preserve"> </w:t>
      </w:r>
      <w:r w:rsidR="000B2A7C" w:rsidRPr="00121A6A">
        <w:rPr>
          <w:sz w:val="24"/>
          <w:szCs w:val="24"/>
        </w:rPr>
        <w:t>Wel</w:t>
      </w:r>
      <w:r w:rsidR="00CF2A7C" w:rsidRPr="00121A6A">
        <w:rPr>
          <w:sz w:val="24"/>
          <w:szCs w:val="24"/>
        </w:rPr>
        <w:t xml:space="preserve"> </w:t>
      </w:r>
      <w:r w:rsidR="000B2A7C" w:rsidRPr="00121A6A">
        <w:rPr>
          <w:sz w:val="24"/>
          <w:szCs w:val="24"/>
        </w:rPr>
        <w:t xml:space="preserve">staat </w:t>
      </w:r>
      <w:r w:rsidR="00CF2A7C" w:rsidRPr="00121A6A">
        <w:rPr>
          <w:sz w:val="24"/>
          <w:szCs w:val="24"/>
        </w:rPr>
        <w:t xml:space="preserve">het mandaat van de </w:t>
      </w:r>
      <w:proofErr w:type="spellStart"/>
      <w:r w:rsidR="00CA55EA" w:rsidRPr="00121A6A">
        <w:rPr>
          <w:sz w:val="24"/>
          <w:szCs w:val="24"/>
        </w:rPr>
        <w:t>CoE</w:t>
      </w:r>
      <w:proofErr w:type="spellEnd"/>
      <w:r w:rsidR="00CA55EA" w:rsidRPr="00121A6A">
        <w:rPr>
          <w:sz w:val="24"/>
          <w:szCs w:val="24"/>
        </w:rPr>
        <w:t>/CFA</w:t>
      </w:r>
      <w:r w:rsidR="00CF2A7C" w:rsidRPr="00121A6A">
        <w:rPr>
          <w:sz w:val="24"/>
          <w:szCs w:val="24"/>
        </w:rPr>
        <w:t xml:space="preserve"> </w:t>
      </w:r>
      <w:r w:rsidR="00A45643" w:rsidRPr="00121A6A">
        <w:rPr>
          <w:sz w:val="24"/>
          <w:szCs w:val="24"/>
        </w:rPr>
        <w:t xml:space="preserve">vanwege een intern </w:t>
      </w:r>
      <w:r w:rsidR="001A5C69" w:rsidRPr="00121A6A">
        <w:rPr>
          <w:sz w:val="24"/>
          <w:szCs w:val="24"/>
        </w:rPr>
        <w:t>conflict</w:t>
      </w:r>
      <w:r w:rsidR="00FB0AF3">
        <w:rPr>
          <w:sz w:val="24"/>
          <w:szCs w:val="24"/>
        </w:rPr>
        <w:t xml:space="preserve"> binnen de ILO</w:t>
      </w:r>
      <w:r w:rsidR="00A45643" w:rsidRPr="00121A6A">
        <w:rPr>
          <w:sz w:val="24"/>
          <w:szCs w:val="24"/>
        </w:rPr>
        <w:t xml:space="preserve"> </w:t>
      </w:r>
      <w:r w:rsidR="0042123B" w:rsidRPr="00121A6A">
        <w:rPr>
          <w:sz w:val="24"/>
          <w:szCs w:val="24"/>
        </w:rPr>
        <w:t xml:space="preserve">al </w:t>
      </w:r>
      <w:r w:rsidR="00BF655C" w:rsidRPr="00121A6A">
        <w:rPr>
          <w:sz w:val="24"/>
          <w:szCs w:val="24"/>
        </w:rPr>
        <w:t>vele jaren</w:t>
      </w:r>
      <w:r w:rsidR="00CF2A7C" w:rsidRPr="00121A6A">
        <w:rPr>
          <w:sz w:val="24"/>
          <w:szCs w:val="24"/>
        </w:rPr>
        <w:t xml:space="preserve"> onder druk.</w:t>
      </w:r>
      <w:r w:rsidR="004755AB" w:rsidRPr="00121A6A">
        <w:rPr>
          <w:rStyle w:val="FootnoteReference"/>
          <w:sz w:val="24"/>
          <w:szCs w:val="24"/>
        </w:rPr>
        <w:footnoteReference w:id="179"/>
      </w:r>
      <w:r w:rsidR="00CF2A7C" w:rsidRPr="00121A6A">
        <w:rPr>
          <w:sz w:val="24"/>
          <w:szCs w:val="24"/>
        </w:rPr>
        <w:t xml:space="preserve"> </w:t>
      </w:r>
      <w:r w:rsidR="00245EBD" w:rsidRPr="00121A6A">
        <w:rPr>
          <w:sz w:val="24"/>
          <w:szCs w:val="24"/>
        </w:rPr>
        <w:t xml:space="preserve">Het feit dat </w:t>
      </w:r>
      <w:r w:rsidR="001A5C69" w:rsidRPr="00121A6A">
        <w:rPr>
          <w:sz w:val="24"/>
          <w:szCs w:val="24"/>
        </w:rPr>
        <w:t>beide</w:t>
      </w:r>
      <w:r w:rsidR="006C3CD6" w:rsidRPr="00121A6A">
        <w:rPr>
          <w:sz w:val="24"/>
          <w:szCs w:val="24"/>
        </w:rPr>
        <w:t xml:space="preserve"> Comités</w:t>
      </w:r>
      <w:r w:rsidR="00245EBD" w:rsidRPr="00121A6A">
        <w:rPr>
          <w:sz w:val="24"/>
          <w:szCs w:val="24"/>
        </w:rPr>
        <w:t xml:space="preserve"> </w:t>
      </w:r>
      <w:r w:rsidR="0042123B" w:rsidRPr="00121A6A">
        <w:rPr>
          <w:sz w:val="24"/>
          <w:szCs w:val="24"/>
        </w:rPr>
        <w:t>het stakingsrecht</w:t>
      </w:r>
      <w:r w:rsidR="00334279" w:rsidRPr="00121A6A">
        <w:rPr>
          <w:sz w:val="24"/>
          <w:szCs w:val="24"/>
        </w:rPr>
        <w:t xml:space="preserve"> ‘</w:t>
      </w:r>
      <w:r w:rsidR="00AD0FF1" w:rsidRPr="00121A6A">
        <w:rPr>
          <w:sz w:val="24"/>
          <w:szCs w:val="24"/>
        </w:rPr>
        <w:t>inle</w:t>
      </w:r>
      <w:r w:rsidR="006C3CD6" w:rsidRPr="00121A6A">
        <w:rPr>
          <w:sz w:val="24"/>
          <w:szCs w:val="24"/>
        </w:rPr>
        <w:t>zen</w:t>
      </w:r>
      <w:r w:rsidR="00AD0FF1" w:rsidRPr="00121A6A">
        <w:rPr>
          <w:sz w:val="24"/>
          <w:szCs w:val="24"/>
        </w:rPr>
        <w:t>’</w:t>
      </w:r>
      <w:r w:rsidR="0042123B" w:rsidRPr="00121A6A">
        <w:rPr>
          <w:sz w:val="24"/>
          <w:szCs w:val="24"/>
        </w:rPr>
        <w:t xml:space="preserve"> </w:t>
      </w:r>
      <w:r w:rsidR="00245EBD" w:rsidRPr="00121A6A">
        <w:rPr>
          <w:sz w:val="24"/>
          <w:szCs w:val="24"/>
        </w:rPr>
        <w:t>in</w:t>
      </w:r>
      <w:r w:rsidR="009516E8" w:rsidRPr="00121A6A">
        <w:rPr>
          <w:sz w:val="24"/>
          <w:szCs w:val="24"/>
        </w:rPr>
        <w:t xml:space="preserve"> </w:t>
      </w:r>
      <w:r w:rsidR="00245EBD" w:rsidRPr="00121A6A">
        <w:rPr>
          <w:sz w:val="24"/>
          <w:szCs w:val="24"/>
        </w:rPr>
        <w:t>ILO-Verdrag 87, wordt stevig bekritiseerd door</w:t>
      </w:r>
      <w:r w:rsidR="00C85460" w:rsidRPr="00121A6A">
        <w:rPr>
          <w:sz w:val="24"/>
          <w:szCs w:val="24"/>
        </w:rPr>
        <w:t xml:space="preserve"> </w:t>
      </w:r>
      <w:r w:rsidR="00FB0AF3">
        <w:rPr>
          <w:sz w:val="24"/>
          <w:szCs w:val="24"/>
        </w:rPr>
        <w:t xml:space="preserve">de werkgeversdelegatie </w:t>
      </w:r>
      <w:r w:rsidR="00C85460" w:rsidRPr="00121A6A">
        <w:rPr>
          <w:sz w:val="24"/>
          <w:szCs w:val="24"/>
        </w:rPr>
        <w:lastRenderedPageBreak/>
        <w:t>binnen</w:t>
      </w:r>
      <w:r w:rsidR="00B70D02" w:rsidRPr="00121A6A">
        <w:rPr>
          <w:sz w:val="24"/>
          <w:szCs w:val="24"/>
        </w:rPr>
        <w:t xml:space="preserve"> de CAS</w:t>
      </w:r>
      <w:r w:rsidR="00584673" w:rsidRPr="00121A6A">
        <w:rPr>
          <w:sz w:val="24"/>
          <w:szCs w:val="24"/>
        </w:rPr>
        <w:t>.</w:t>
      </w:r>
      <w:r w:rsidR="00B06B24" w:rsidRPr="00121A6A">
        <w:rPr>
          <w:sz w:val="24"/>
          <w:szCs w:val="24"/>
        </w:rPr>
        <w:t xml:space="preserve"> </w:t>
      </w:r>
      <w:r w:rsidR="00CA55EA" w:rsidRPr="00121A6A">
        <w:rPr>
          <w:sz w:val="24"/>
          <w:szCs w:val="24"/>
        </w:rPr>
        <w:t>De</w:t>
      </w:r>
      <w:r w:rsidR="00FB0AF3">
        <w:rPr>
          <w:sz w:val="24"/>
          <w:szCs w:val="24"/>
        </w:rPr>
        <w:t>ze delegatie</w:t>
      </w:r>
      <w:r w:rsidR="00FB0AF3" w:rsidRPr="00121A6A">
        <w:rPr>
          <w:sz w:val="24"/>
          <w:szCs w:val="24"/>
        </w:rPr>
        <w:t xml:space="preserve"> </w:t>
      </w:r>
      <w:r w:rsidR="00CA55EA" w:rsidRPr="00121A6A">
        <w:rPr>
          <w:sz w:val="24"/>
          <w:szCs w:val="24"/>
        </w:rPr>
        <w:t>vindt</w:t>
      </w:r>
      <w:r w:rsidR="00C85460" w:rsidRPr="00121A6A">
        <w:rPr>
          <w:sz w:val="24"/>
          <w:szCs w:val="24"/>
        </w:rPr>
        <w:t xml:space="preserve"> dat </w:t>
      </w:r>
      <w:r w:rsidR="006D792B">
        <w:rPr>
          <w:sz w:val="24"/>
          <w:szCs w:val="24"/>
        </w:rPr>
        <w:t xml:space="preserve">de </w:t>
      </w:r>
      <w:r w:rsidR="0042123B" w:rsidRPr="00121A6A">
        <w:rPr>
          <w:sz w:val="24"/>
          <w:szCs w:val="24"/>
        </w:rPr>
        <w:t xml:space="preserve">tekst </w:t>
      </w:r>
      <w:r w:rsidR="00CA55EA" w:rsidRPr="00121A6A">
        <w:rPr>
          <w:sz w:val="24"/>
          <w:szCs w:val="24"/>
        </w:rPr>
        <w:t xml:space="preserve">noch </w:t>
      </w:r>
      <w:r w:rsidR="006D792B">
        <w:rPr>
          <w:sz w:val="24"/>
          <w:szCs w:val="24"/>
        </w:rPr>
        <w:t xml:space="preserve">de </w:t>
      </w:r>
      <w:r w:rsidR="00CA55EA" w:rsidRPr="00121A6A">
        <w:rPr>
          <w:sz w:val="24"/>
          <w:szCs w:val="24"/>
        </w:rPr>
        <w:t xml:space="preserve">totstandkomingsgeschiedenis </w:t>
      </w:r>
      <w:r w:rsidR="0042123B" w:rsidRPr="00121A6A">
        <w:rPr>
          <w:sz w:val="24"/>
          <w:szCs w:val="24"/>
        </w:rPr>
        <w:t>van</w:t>
      </w:r>
      <w:r w:rsidR="00C85460" w:rsidRPr="00121A6A">
        <w:rPr>
          <w:sz w:val="24"/>
          <w:szCs w:val="24"/>
        </w:rPr>
        <w:t xml:space="preserve"> </w:t>
      </w:r>
      <w:r w:rsidR="00A24FE4" w:rsidRPr="00121A6A">
        <w:rPr>
          <w:sz w:val="24"/>
          <w:szCs w:val="24"/>
        </w:rPr>
        <w:t>ILO-Verdrag 87</w:t>
      </w:r>
      <w:r w:rsidR="00C85460" w:rsidRPr="00121A6A">
        <w:rPr>
          <w:sz w:val="24"/>
          <w:szCs w:val="24"/>
        </w:rPr>
        <w:t xml:space="preserve"> </w:t>
      </w:r>
      <w:r w:rsidR="00A24FE4" w:rsidRPr="00121A6A">
        <w:rPr>
          <w:sz w:val="24"/>
          <w:szCs w:val="24"/>
        </w:rPr>
        <w:t>een</w:t>
      </w:r>
      <w:r w:rsidR="00C85460" w:rsidRPr="00121A6A">
        <w:rPr>
          <w:sz w:val="24"/>
          <w:szCs w:val="24"/>
        </w:rPr>
        <w:t xml:space="preserve"> </w:t>
      </w:r>
      <w:r w:rsidR="0042123B" w:rsidRPr="00121A6A">
        <w:rPr>
          <w:sz w:val="24"/>
          <w:szCs w:val="24"/>
        </w:rPr>
        <w:t>(afdoende) rechts</w:t>
      </w:r>
      <w:r w:rsidR="00C85460" w:rsidRPr="00121A6A">
        <w:rPr>
          <w:sz w:val="24"/>
          <w:szCs w:val="24"/>
        </w:rPr>
        <w:t xml:space="preserve">basis </w:t>
      </w:r>
      <w:r w:rsidR="00A24FE4" w:rsidRPr="00121A6A">
        <w:rPr>
          <w:sz w:val="24"/>
          <w:szCs w:val="24"/>
        </w:rPr>
        <w:t xml:space="preserve">biedt </w:t>
      </w:r>
      <w:r w:rsidR="00C85460" w:rsidRPr="00121A6A">
        <w:rPr>
          <w:sz w:val="24"/>
          <w:szCs w:val="24"/>
        </w:rPr>
        <w:t>voor de ontwikkeling</w:t>
      </w:r>
      <w:r w:rsidR="00A24FE4" w:rsidRPr="00121A6A">
        <w:rPr>
          <w:sz w:val="24"/>
          <w:szCs w:val="24"/>
        </w:rPr>
        <w:t xml:space="preserve"> </w:t>
      </w:r>
      <w:r w:rsidR="00C85460" w:rsidRPr="00121A6A">
        <w:rPr>
          <w:sz w:val="24"/>
          <w:szCs w:val="24"/>
        </w:rPr>
        <w:t>van beginselen die het stakingsrecht in detail regelen.</w:t>
      </w:r>
      <w:r w:rsidR="003E6A89" w:rsidRPr="00121A6A">
        <w:rPr>
          <w:sz w:val="24"/>
          <w:szCs w:val="24"/>
        </w:rPr>
        <w:t xml:space="preserve"> </w:t>
      </w:r>
      <w:r w:rsidR="00584673" w:rsidRPr="00121A6A">
        <w:rPr>
          <w:sz w:val="24"/>
          <w:szCs w:val="24"/>
        </w:rPr>
        <w:t xml:space="preserve">Hoewel dit standpunt </w:t>
      </w:r>
      <w:r w:rsidR="005A7384">
        <w:rPr>
          <w:sz w:val="24"/>
          <w:szCs w:val="24"/>
        </w:rPr>
        <w:t xml:space="preserve">zowel </w:t>
      </w:r>
      <w:r w:rsidR="00584673" w:rsidRPr="00121A6A">
        <w:rPr>
          <w:sz w:val="24"/>
          <w:szCs w:val="24"/>
        </w:rPr>
        <w:t xml:space="preserve">door de werknemersdelegatie </w:t>
      </w:r>
      <w:r w:rsidR="006D792B">
        <w:rPr>
          <w:sz w:val="24"/>
          <w:szCs w:val="24"/>
        </w:rPr>
        <w:t>binnen</w:t>
      </w:r>
      <w:r w:rsidR="00584673" w:rsidRPr="00121A6A">
        <w:rPr>
          <w:sz w:val="24"/>
          <w:szCs w:val="24"/>
        </w:rPr>
        <w:t xml:space="preserve"> de CAS </w:t>
      </w:r>
      <w:r w:rsidR="005A7384">
        <w:rPr>
          <w:sz w:val="24"/>
          <w:szCs w:val="24"/>
        </w:rPr>
        <w:t>als door</w:t>
      </w:r>
      <w:r w:rsidR="00584673" w:rsidRPr="00121A6A">
        <w:rPr>
          <w:sz w:val="24"/>
          <w:szCs w:val="24"/>
        </w:rPr>
        <w:t xml:space="preserve"> de </w:t>
      </w:r>
      <w:proofErr w:type="spellStart"/>
      <w:r w:rsidR="00584673" w:rsidRPr="00121A6A">
        <w:rPr>
          <w:sz w:val="24"/>
          <w:szCs w:val="24"/>
        </w:rPr>
        <w:t>CoE</w:t>
      </w:r>
      <w:proofErr w:type="spellEnd"/>
      <w:r w:rsidR="00584673" w:rsidRPr="00121A6A">
        <w:rPr>
          <w:sz w:val="24"/>
          <w:szCs w:val="24"/>
        </w:rPr>
        <w:t xml:space="preserve"> is bestreden,</w:t>
      </w:r>
      <w:r w:rsidR="00584673" w:rsidRPr="00121A6A">
        <w:rPr>
          <w:rStyle w:val="FootnoteReference"/>
          <w:sz w:val="24"/>
          <w:szCs w:val="24"/>
        </w:rPr>
        <w:footnoteReference w:id="180"/>
      </w:r>
      <w:r w:rsidR="00584673" w:rsidRPr="00121A6A">
        <w:rPr>
          <w:sz w:val="24"/>
          <w:szCs w:val="24"/>
        </w:rPr>
        <w:t xml:space="preserve"> escaleerde h</w:t>
      </w:r>
      <w:r w:rsidR="000477A4" w:rsidRPr="00121A6A">
        <w:rPr>
          <w:sz w:val="24"/>
          <w:szCs w:val="24"/>
        </w:rPr>
        <w:t xml:space="preserve">et conflict </w:t>
      </w:r>
      <w:r w:rsidR="00546AD5" w:rsidRPr="00121A6A">
        <w:rPr>
          <w:sz w:val="24"/>
          <w:szCs w:val="24"/>
        </w:rPr>
        <w:t>in 2012</w:t>
      </w:r>
      <w:r w:rsidR="00B70D02" w:rsidRPr="00121A6A">
        <w:rPr>
          <w:sz w:val="24"/>
          <w:szCs w:val="24"/>
        </w:rPr>
        <w:t xml:space="preserve"> t</w:t>
      </w:r>
      <w:r w:rsidR="00B06B24" w:rsidRPr="00121A6A">
        <w:rPr>
          <w:sz w:val="24"/>
          <w:szCs w:val="24"/>
        </w:rPr>
        <w:t xml:space="preserve">oen de werkgeversdelegatie </w:t>
      </w:r>
      <w:r w:rsidR="00B70D02" w:rsidRPr="00121A6A">
        <w:rPr>
          <w:sz w:val="24"/>
          <w:szCs w:val="24"/>
        </w:rPr>
        <w:t xml:space="preserve">weigerde </w:t>
      </w:r>
      <w:r w:rsidR="001A5C69" w:rsidRPr="00121A6A">
        <w:rPr>
          <w:sz w:val="24"/>
          <w:szCs w:val="24"/>
        </w:rPr>
        <w:t xml:space="preserve">om </w:t>
      </w:r>
      <w:r w:rsidR="00B70D02" w:rsidRPr="00121A6A">
        <w:rPr>
          <w:sz w:val="24"/>
          <w:szCs w:val="24"/>
        </w:rPr>
        <w:t xml:space="preserve">conclusies van de CAS </w:t>
      </w:r>
      <w:r w:rsidR="009171F8" w:rsidRPr="00121A6A">
        <w:rPr>
          <w:sz w:val="24"/>
          <w:szCs w:val="24"/>
        </w:rPr>
        <w:t>waarin</w:t>
      </w:r>
      <w:r w:rsidR="006C3CD6" w:rsidRPr="00121A6A">
        <w:rPr>
          <w:sz w:val="24"/>
          <w:szCs w:val="24"/>
        </w:rPr>
        <w:t xml:space="preserve"> kritiek </w:t>
      </w:r>
      <w:r w:rsidR="009171F8" w:rsidRPr="00121A6A">
        <w:rPr>
          <w:sz w:val="24"/>
          <w:szCs w:val="24"/>
        </w:rPr>
        <w:t xml:space="preserve">werd geuit </w:t>
      </w:r>
      <w:r w:rsidR="006C3CD6" w:rsidRPr="00121A6A">
        <w:rPr>
          <w:sz w:val="24"/>
          <w:szCs w:val="24"/>
        </w:rPr>
        <w:t>op de (mate van) bescherming van</w:t>
      </w:r>
      <w:r w:rsidR="00B70D02" w:rsidRPr="00121A6A">
        <w:rPr>
          <w:sz w:val="24"/>
          <w:szCs w:val="24"/>
        </w:rPr>
        <w:t xml:space="preserve"> het stakingsrecht in een land te ondersteunen.</w:t>
      </w:r>
      <w:r w:rsidR="00DA5B16" w:rsidRPr="00121A6A">
        <w:rPr>
          <w:rStyle w:val="FootnoteReference"/>
          <w:sz w:val="24"/>
          <w:szCs w:val="24"/>
        </w:rPr>
        <w:footnoteReference w:id="181"/>
      </w:r>
      <w:r w:rsidR="00581A4C" w:rsidRPr="00121A6A">
        <w:rPr>
          <w:sz w:val="24"/>
          <w:szCs w:val="24"/>
        </w:rPr>
        <w:t xml:space="preserve"> Deze actie leidde tot hevige strijd </w:t>
      </w:r>
      <w:r w:rsidR="002E60E9" w:rsidRPr="00121A6A">
        <w:rPr>
          <w:sz w:val="24"/>
          <w:szCs w:val="24"/>
        </w:rPr>
        <w:t>die t</w:t>
      </w:r>
      <w:r w:rsidR="00581A4C" w:rsidRPr="00121A6A">
        <w:rPr>
          <w:sz w:val="24"/>
          <w:szCs w:val="24"/>
        </w:rPr>
        <w:t>ot op de dag van vandaag</w:t>
      </w:r>
      <w:r w:rsidR="004F61CB" w:rsidRPr="00121A6A">
        <w:rPr>
          <w:sz w:val="24"/>
          <w:szCs w:val="24"/>
        </w:rPr>
        <w:t xml:space="preserve"> </w:t>
      </w:r>
      <w:r w:rsidR="006D792B">
        <w:rPr>
          <w:sz w:val="24"/>
          <w:szCs w:val="24"/>
        </w:rPr>
        <w:t>voortduurt</w:t>
      </w:r>
      <w:r w:rsidR="004F61CB" w:rsidRPr="00121A6A">
        <w:rPr>
          <w:sz w:val="24"/>
          <w:szCs w:val="24"/>
        </w:rPr>
        <w:t>.</w:t>
      </w:r>
      <w:r w:rsidR="004F61CB" w:rsidRPr="00121A6A">
        <w:rPr>
          <w:rStyle w:val="FootnoteReference"/>
          <w:sz w:val="24"/>
          <w:szCs w:val="24"/>
        </w:rPr>
        <w:footnoteReference w:id="182"/>
      </w:r>
      <w:r w:rsidR="002E60E9" w:rsidRPr="00121A6A">
        <w:rPr>
          <w:sz w:val="24"/>
          <w:szCs w:val="24"/>
        </w:rPr>
        <w:t xml:space="preserve"> </w:t>
      </w:r>
      <w:r w:rsidR="001D0F42" w:rsidRPr="00121A6A">
        <w:rPr>
          <w:sz w:val="24"/>
          <w:szCs w:val="24"/>
        </w:rPr>
        <w:t>Hierdoor</w:t>
      </w:r>
      <w:r w:rsidR="002E60E9" w:rsidRPr="00121A6A">
        <w:rPr>
          <w:sz w:val="24"/>
          <w:szCs w:val="24"/>
        </w:rPr>
        <w:t xml:space="preserve"> is </w:t>
      </w:r>
      <w:r w:rsidR="00D27A49" w:rsidRPr="00121A6A">
        <w:rPr>
          <w:sz w:val="24"/>
          <w:szCs w:val="24"/>
        </w:rPr>
        <w:t xml:space="preserve">de positie van de ILO onmiskenbaar verzwakt. Het </w:t>
      </w:r>
      <w:r w:rsidR="007C7436" w:rsidRPr="00121A6A">
        <w:rPr>
          <w:sz w:val="24"/>
          <w:szCs w:val="24"/>
        </w:rPr>
        <w:t xml:space="preserve">conflict </w:t>
      </w:r>
      <w:r w:rsidR="00D27A49" w:rsidRPr="00121A6A">
        <w:rPr>
          <w:sz w:val="24"/>
          <w:szCs w:val="24"/>
        </w:rPr>
        <w:t xml:space="preserve">heeft blootgelegd dat </w:t>
      </w:r>
      <w:r w:rsidR="006D792B">
        <w:rPr>
          <w:sz w:val="24"/>
          <w:szCs w:val="24"/>
        </w:rPr>
        <w:t xml:space="preserve">de </w:t>
      </w:r>
      <w:r w:rsidR="00D27A49" w:rsidRPr="00121A6A">
        <w:rPr>
          <w:sz w:val="24"/>
          <w:szCs w:val="24"/>
        </w:rPr>
        <w:t>interpretatie</w:t>
      </w:r>
      <w:r w:rsidR="003D6643" w:rsidRPr="00121A6A">
        <w:rPr>
          <w:sz w:val="24"/>
          <w:szCs w:val="24"/>
        </w:rPr>
        <w:t>s</w:t>
      </w:r>
      <w:r w:rsidR="00D27A49" w:rsidRPr="00121A6A">
        <w:rPr>
          <w:sz w:val="24"/>
          <w:szCs w:val="24"/>
        </w:rPr>
        <w:t xml:space="preserve"> van de </w:t>
      </w:r>
      <w:proofErr w:type="spellStart"/>
      <w:r w:rsidR="00D27A49" w:rsidRPr="00121A6A">
        <w:rPr>
          <w:sz w:val="24"/>
          <w:szCs w:val="24"/>
        </w:rPr>
        <w:t>CoE</w:t>
      </w:r>
      <w:proofErr w:type="spellEnd"/>
      <w:r w:rsidR="002B0D71" w:rsidRPr="00121A6A">
        <w:rPr>
          <w:sz w:val="24"/>
          <w:szCs w:val="24"/>
        </w:rPr>
        <w:t>/CFA</w:t>
      </w:r>
      <w:r w:rsidR="00D27A49" w:rsidRPr="00121A6A">
        <w:rPr>
          <w:sz w:val="24"/>
          <w:szCs w:val="24"/>
        </w:rPr>
        <w:t xml:space="preserve"> niet altijd unaniem word</w:t>
      </w:r>
      <w:r w:rsidR="003D6643" w:rsidRPr="00121A6A">
        <w:rPr>
          <w:sz w:val="24"/>
          <w:szCs w:val="24"/>
        </w:rPr>
        <w:t>en</w:t>
      </w:r>
      <w:r w:rsidR="00D27A49" w:rsidRPr="00121A6A">
        <w:rPr>
          <w:sz w:val="24"/>
          <w:szCs w:val="24"/>
        </w:rPr>
        <w:t xml:space="preserve"> gesteund door </w:t>
      </w:r>
      <w:r w:rsidR="003D6643" w:rsidRPr="00121A6A">
        <w:rPr>
          <w:sz w:val="24"/>
          <w:szCs w:val="24"/>
        </w:rPr>
        <w:t>alle</w:t>
      </w:r>
      <w:r w:rsidR="00D27A49" w:rsidRPr="00121A6A">
        <w:rPr>
          <w:sz w:val="24"/>
          <w:szCs w:val="24"/>
        </w:rPr>
        <w:t xml:space="preserve"> ILO</w:t>
      </w:r>
      <w:r w:rsidR="003D6643" w:rsidRPr="00121A6A">
        <w:rPr>
          <w:sz w:val="24"/>
          <w:szCs w:val="24"/>
        </w:rPr>
        <w:t>-organen</w:t>
      </w:r>
      <w:r w:rsidR="0054681E" w:rsidRPr="00121A6A">
        <w:rPr>
          <w:sz w:val="24"/>
          <w:szCs w:val="24"/>
        </w:rPr>
        <w:t>,</w:t>
      </w:r>
      <w:r w:rsidR="000B2A7C" w:rsidRPr="00121A6A">
        <w:rPr>
          <w:sz w:val="24"/>
          <w:szCs w:val="24"/>
        </w:rPr>
        <w:t xml:space="preserve"> </w:t>
      </w:r>
      <w:r w:rsidR="0054681E" w:rsidRPr="00121A6A">
        <w:rPr>
          <w:sz w:val="24"/>
          <w:szCs w:val="24"/>
        </w:rPr>
        <w:t xml:space="preserve">hetgeen </w:t>
      </w:r>
      <w:r w:rsidR="002E7FC2" w:rsidRPr="00121A6A">
        <w:rPr>
          <w:sz w:val="24"/>
          <w:szCs w:val="24"/>
        </w:rPr>
        <w:t>deze interpretaties</w:t>
      </w:r>
      <w:r w:rsidR="00D26CAD" w:rsidRPr="00121A6A">
        <w:rPr>
          <w:sz w:val="24"/>
          <w:szCs w:val="24"/>
        </w:rPr>
        <w:t xml:space="preserve"> </w:t>
      </w:r>
      <w:r w:rsidR="002E7FC2" w:rsidRPr="00121A6A">
        <w:rPr>
          <w:sz w:val="24"/>
          <w:szCs w:val="24"/>
        </w:rPr>
        <w:t>minder gezaghebbend</w:t>
      </w:r>
      <w:r w:rsidR="000B2A7C" w:rsidRPr="00121A6A">
        <w:rPr>
          <w:sz w:val="24"/>
          <w:szCs w:val="24"/>
        </w:rPr>
        <w:t xml:space="preserve"> </w:t>
      </w:r>
      <w:r w:rsidR="0054681E" w:rsidRPr="00121A6A">
        <w:rPr>
          <w:sz w:val="24"/>
          <w:szCs w:val="24"/>
        </w:rPr>
        <w:t>maakt.</w:t>
      </w:r>
      <w:r w:rsidR="007749DF" w:rsidRPr="00121A6A">
        <w:rPr>
          <w:rStyle w:val="FootnoteReference"/>
          <w:sz w:val="24"/>
          <w:szCs w:val="24"/>
        </w:rPr>
        <w:footnoteReference w:id="183"/>
      </w:r>
      <w:r w:rsidR="0054681E" w:rsidRPr="00121A6A">
        <w:rPr>
          <w:sz w:val="24"/>
          <w:szCs w:val="24"/>
        </w:rPr>
        <w:t xml:space="preserve"> </w:t>
      </w:r>
      <w:r w:rsidR="002E60E9" w:rsidRPr="00121A6A">
        <w:rPr>
          <w:sz w:val="24"/>
          <w:szCs w:val="24"/>
        </w:rPr>
        <w:t>Dit zou</w:t>
      </w:r>
      <w:r w:rsidR="005D533E" w:rsidRPr="00121A6A">
        <w:rPr>
          <w:sz w:val="24"/>
          <w:szCs w:val="24"/>
        </w:rPr>
        <w:t xml:space="preserve"> </w:t>
      </w:r>
      <w:r w:rsidR="000B2A7C" w:rsidRPr="00121A6A">
        <w:rPr>
          <w:sz w:val="24"/>
          <w:szCs w:val="24"/>
        </w:rPr>
        <w:t xml:space="preserve">naar ik meen </w:t>
      </w:r>
      <w:r w:rsidR="00670392">
        <w:rPr>
          <w:sz w:val="24"/>
          <w:szCs w:val="24"/>
        </w:rPr>
        <w:t>ook van betekenis</w:t>
      </w:r>
      <w:r w:rsidR="0028608B" w:rsidRPr="00121A6A">
        <w:rPr>
          <w:sz w:val="24"/>
          <w:szCs w:val="24"/>
        </w:rPr>
        <w:t xml:space="preserve"> kunnen zijn </w:t>
      </w:r>
      <w:r w:rsidR="003D6643" w:rsidRPr="00121A6A">
        <w:rPr>
          <w:sz w:val="24"/>
          <w:szCs w:val="24"/>
        </w:rPr>
        <w:t>in het kader van artikel 53 Hv.</w:t>
      </w:r>
      <w:r w:rsidR="00613B8B" w:rsidRPr="00121A6A">
        <w:rPr>
          <w:sz w:val="24"/>
          <w:szCs w:val="24"/>
        </w:rPr>
        <w:t xml:space="preserve"> </w:t>
      </w:r>
      <w:r w:rsidR="005D533E" w:rsidRPr="00121A6A">
        <w:rPr>
          <w:sz w:val="24"/>
          <w:szCs w:val="24"/>
        </w:rPr>
        <w:t xml:space="preserve">Het gebrek aan (internationale) consensus </w:t>
      </w:r>
      <w:r w:rsidR="002B0D71" w:rsidRPr="00121A6A">
        <w:rPr>
          <w:sz w:val="24"/>
          <w:szCs w:val="24"/>
        </w:rPr>
        <w:t xml:space="preserve">verschaft </w:t>
      </w:r>
      <w:r w:rsidR="00613B8B" w:rsidRPr="00121A6A">
        <w:rPr>
          <w:sz w:val="24"/>
          <w:szCs w:val="24"/>
        </w:rPr>
        <w:t xml:space="preserve">werkgevers </w:t>
      </w:r>
      <w:r w:rsidR="005D533E" w:rsidRPr="00121A6A">
        <w:rPr>
          <w:sz w:val="24"/>
          <w:szCs w:val="24"/>
        </w:rPr>
        <w:t xml:space="preserve">namelijk </w:t>
      </w:r>
      <w:r w:rsidR="00613B8B" w:rsidRPr="00121A6A">
        <w:rPr>
          <w:sz w:val="24"/>
          <w:szCs w:val="24"/>
        </w:rPr>
        <w:t xml:space="preserve">een argument om te betogen dat artikel 53 Hv </w:t>
      </w:r>
      <w:r w:rsidR="00CE7130" w:rsidRPr="00121A6A">
        <w:rPr>
          <w:sz w:val="24"/>
          <w:szCs w:val="24"/>
        </w:rPr>
        <w:t>geen betrekking heeft op</w:t>
      </w:r>
      <w:r w:rsidR="00613B8B" w:rsidRPr="00121A6A">
        <w:rPr>
          <w:sz w:val="24"/>
          <w:szCs w:val="24"/>
        </w:rPr>
        <w:t xml:space="preserve"> het stakingsrecht van ILO-Verdrag 87. </w:t>
      </w:r>
      <w:r w:rsidR="002E60E9" w:rsidRPr="00121A6A">
        <w:rPr>
          <w:sz w:val="24"/>
          <w:szCs w:val="24"/>
        </w:rPr>
        <w:t>Dit</w:t>
      </w:r>
      <w:r w:rsidR="005D533E" w:rsidRPr="00121A6A">
        <w:rPr>
          <w:sz w:val="24"/>
          <w:szCs w:val="24"/>
        </w:rPr>
        <w:t xml:space="preserve"> </w:t>
      </w:r>
      <w:r w:rsidR="002E60E9" w:rsidRPr="00121A6A">
        <w:rPr>
          <w:sz w:val="24"/>
          <w:szCs w:val="24"/>
        </w:rPr>
        <w:t>wordt mogelijk anders zodra</w:t>
      </w:r>
      <w:r w:rsidR="005D533E" w:rsidRPr="00121A6A">
        <w:rPr>
          <w:sz w:val="24"/>
          <w:szCs w:val="24"/>
        </w:rPr>
        <w:t xml:space="preserve"> het Internationaal Gerechtshof (IGH) van de Verenigde Naties (VN)</w:t>
      </w:r>
      <w:r w:rsidR="002E60E9" w:rsidRPr="00121A6A">
        <w:rPr>
          <w:sz w:val="24"/>
          <w:szCs w:val="24"/>
        </w:rPr>
        <w:t xml:space="preserve"> zich </w:t>
      </w:r>
      <w:r w:rsidR="00670392">
        <w:rPr>
          <w:sz w:val="24"/>
          <w:szCs w:val="24"/>
        </w:rPr>
        <w:t>heeft uitgelaten</w:t>
      </w:r>
      <w:r w:rsidR="002E60E9" w:rsidRPr="00121A6A">
        <w:rPr>
          <w:sz w:val="24"/>
          <w:szCs w:val="24"/>
        </w:rPr>
        <w:t xml:space="preserve"> over de </w:t>
      </w:r>
      <w:r w:rsidR="005D533E" w:rsidRPr="00121A6A">
        <w:rPr>
          <w:sz w:val="24"/>
          <w:szCs w:val="24"/>
        </w:rPr>
        <w:t>interpretatiekwestie.</w:t>
      </w:r>
      <w:r w:rsidR="00C26611" w:rsidRPr="00121A6A">
        <w:rPr>
          <w:sz w:val="24"/>
          <w:szCs w:val="24"/>
        </w:rPr>
        <w:t xml:space="preserve"> </w:t>
      </w:r>
      <w:r w:rsidR="00670392">
        <w:rPr>
          <w:sz w:val="24"/>
          <w:szCs w:val="24"/>
        </w:rPr>
        <w:t>O</w:t>
      </w:r>
      <w:r w:rsidR="00670392" w:rsidRPr="00121A6A">
        <w:rPr>
          <w:sz w:val="24"/>
          <w:szCs w:val="24"/>
        </w:rPr>
        <w:t xml:space="preserve">vereenkomstig artikel 37 lid 1 van </w:t>
      </w:r>
      <w:r w:rsidR="00FA1D9A">
        <w:rPr>
          <w:sz w:val="24"/>
          <w:szCs w:val="24"/>
        </w:rPr>
        <w:t>het Statuut</w:t>
      </w:r>
      <w:r w:rsidR="00670392">
        <w:rPr>
          <w:sz w:val="24"/>
          <w:szCs w:val="24"/>
        </w:rPr>
        <w:t xml:space="preserve"> van de ILO</w:t>
      </w:r>
      <w:r w:rsidR="00670392" w:rsidRPr="00121A6A">
        <w:rPr>
          <w:sz w:val="24"/>
          <w:szCs w:val="24"/>
        </w:rPr>
        <w:t xml:space="preserve"> </w:t>
      </w:r>
      <w:r w:rsidR="00670392">
        <w:rPr>
          <w:sz w:val="24"/>
          <w:szCs w:val="24"/>
        </w:rPr>
        <w:t xml:space="preserve">kan aan het IGH </w:t>
      </w:r>
      <w:r w:rsidR="00670392" w:rsidRPr="00121A6A">
        <w:rPr>
          <w:sz w:val="24"/>
          <w:szCs w:val="24"/>
        </w:rPr>
        <w:t xml:space="preserve">een rechtsvraag ter advisering </w:t>
      </w:r>
      <w:r w:rsidR="00670392">
        <w:rPr>
          <w:sz w:val="24"/>
          <w:szCs w:val="24"/>
        </w:rPr>
        <w:t>worden voorgelegd</w:t>
      </w:r>
      <w:r w:rsidR="00670392" w:rsidRPr="00121A6A">
        <w:rPr>
          <w:sz w:val="24"/>
          <w:szCs w:val="24"/>
        </w:rPr>
        <w:t xml:space="preserve">. </w:t>
      </w:r>
      <w:r w:rsidR="005D533E" w:rsidRPr="00121A6A">
        <w:rPr>
          <w:sz w:val="24"/>
          <w:szCs w:val="24"/>
        </w:rPr>
        <w:t>O</w:t>
      </w:r>
      <w:r w:rsidR="00517745" w:rsidRPr="00121A6A">
        <w:rPr>
          <w:sz w:val="24"/>
          <w:szCs w:val="24"/>
        </w:rPr>
        <w:t xml:space="preserve">p 11 november 2023 </w:t>
      </w:r>
      <w:r w:rsidR="00670392">
        <w:rPr>
          <w:sz w:val="24"/>
          <w:szCs w:val="24"/>
        </w:rPr>
        <w:t>is</w:t>
      </w:r>
      <w:r w:rsidR="00517745" w:rsidRPr="00121A6A">
        <w:rPr>
          <w:sz w:val="24"/>
          <w:szCs w:val="24"/>
        </w:rPr>
        <w:t xml:space="preserve"> het bestuur van de ILO </w:t>
      </w:r>
      <w:r w:rsidR="00670392">
        <w:rPr>
          <w:sz w:val="24"/>
          <w:szCs w:val="24"/>
        </w:rPr>
        <w:t>hiertoe overgegaan</w:t>
      </w:r>
      <w:r w:rsidR="006D792B">
        <w:rPr>
          <w:sz w:val="24"/>
          <w:szCs w:val="24"/>
        </w:rPr>
        <w:t>.</w:t>
      </w:r>
      <w:r w:rsidR="00517745" w:rsidRPr="00121A6A">
        <w:rPr>
          <w:rStyle w:val="FootnoteReference"/>
          <w:sz w:val="24"/>
          <w:szCs w:val="24"/>
        </w:rPr>
        <w:footnoteReference w:id="184"/>
      </w:r>
      <w:r w:rsidR="00225194" w:rsidRPr="00121A6A">
        <w:rPr>
          <w:sz w:val="24"/>
          <w:szCs w:val="24"/>
        </w:rPr>
        <w:t xml:space="preserve"> </w:t>
      </w:r>
      <w:r w:rsidR="00042790" w:rsidRPr="00121A6A">
        <w:rPr>
          <w:sz w:val="24"/>
          <w:szCs w:val="24"/>
        </w:rPr>
        <w:t xml:space="preserve">Als het IGH de bestendige interpretatie van de </w:t>
      </w:r>
      <w:proofErr w:type="spellStart"/>
      <w:r w:rsidR="00042790" w:rsidRPr="00121A6A">
        <w:rPr>
          <w:sz w:val="24"/>
          <w:szCs w:val="24"/>
        </w:rPr>
        <w:t>CoE</w:t>
      </w:r>
      <w:proofErr w:type="spellEnd"/>
      <w:r w:rsidR="00042790" w:rsidRPr="00121A6A">
        <w:rPr>
          <w:sz w:val="24"/>
          <w:szCs w:val="24"/>
        </w:rPr>
        <w:t>/CFA</w:t>
      </w:r>
      <w:r w:rsidR="005E024C" w:rsidRPr="00121A6A">
        <w:rPr>
          <w:sz w:val="24"/>
          <w:szCs w:val="24"/>
        </w:rPr>
        <w:t xml:space="preserve"> </w:t>
      </w:r>
      <w:r w:rsidR="00491D8C" w:rsidRPr="00121A6A">
        <w:rPr>
          <w:sz w:val="24"/>
          <w:szCs w:val="24"/>
        </w:rPr>
        <w:t xml:space="preserve">onderschrijft </w:t>
      </w:r>
      <w:r w:rsidR="005E024C" w:rsidRPr="00121A6A">
        <w:rPr>
          <w:sz w:val="24"/>
          <w:szCs w:val="24"/>
        </w:rPr>
        <w:t xml:space="preserve">en het conflict daarmee </w:t>
      </w:r>
      <w:r w:rsidR="00F261DD" w:rsidRPr="00121A6A">
        <w:rPr>
          <w:sz w:val="24"/>
          <w:szCs w:val="24"/>
        </w:rPr>
        <w:t xml:space="preserve">definitief </w:t>
      </w:r>
      <w:r w:rsidR="007C7436" w:rsidRPr="00121A6A">
        <w:rPr>
          <w:sz w:val="24"/>
          <w:szCs w:val="24"/>
        </w:rPr>
        <w:t>ten</w:t>
      </w:r>
      <w:r w:rsidR="005E024C" w:rsidRPr="00121A6A">
        <w:rPr>
          <w:sz w:val="24"/>
          <w:szCs w:val="24"/>
        </w:rPr>
        <w:t xml:space="preserve"> einde komt,</w:t>
      </w:r>
      <w:r w:rsidR="007A774A" w:rsidRPr="00121A6A">
        <w:rPr>
          <w:rStyle w:val="FootnoteReference"/>
          <w:sz w:val="24"/>
          <w:szCs w:val="24"/>
        </w:rPr>
        <w:footnoteReference w:id="185"/>
      </w:r>
      <w:r w:rsidR="005E024C" w:rsidRPr="00121A6A">
        <w:rPr>
          <w:sz w:val="24"/>
          <w:szCs w:val="24"/>
        </w:rPr>
        <w:t xml:space="preserve"> </w:t>
      </w:r>
      <w:r w:rsidR="00F45FDF" w:rsidRPr="00121A6A">
        <w:rPr>
          <w:sz w:val="24"/>
          <w:szCs w:val="24"/>
        </w:rPr>
        <w:t>versterkt dit het standpunt</w:t>
      </w:r>
      <w:r w:rsidR="005838C3" w:rsidRPr="00121A6A">
        <w:rPr>
          <w:sz w:val="24"/>
          <w:szCs w:val="24"/>
        </w:rPr>
        <w:t xml:space="preserve"> dat artikel 53 Hv het stakingsrecht van ILO-Verdrag 87 omvat.</w:t>
      </w:r>
      <w:r w:rsidR="00225194" w:rsidRPr="00121A6A">
        <w:rPr>
          <w:sz w:val="24"/>
          <w:szCs w:val="24"/>
        </w:rPr>
        <w:t xml:space="preserve"> Dat zou betekenen dat het HvJ bij de uitleg van artikel 28 Hv in principe gebonden is aan het beschermingsniveau </w:t>
      </w:r>
      <w:r w:rsidR="00ED44B7">
        <w:rPr>
          <w:sz w:val="24"/>
          <w:szCs w:val="24"/>
        </w:rPr>
        <w:t>van</w:t>
      </w:r>
      <w:r w:rsidR="00837EAB">
        <w:rPr>
          <w:sz w:val="24"/>
          <w:szCs w:val="24"/>
        </w:rPr>
        <w:t xml:space="preserve"> dit</w:t>
      </w:r>
      <w:r w:rsidR="00225194" w:rsidRPr="00121A6A">
        <w:rPr>
          <w:sz w:val="24"/>
          <w:szCs w:val="24"/>
        </w:rPr>
        <w:t xml:space="preserve"> verdrag.</w:t>
      </w:r>
    </w:p>
    <w:p w14:paraId="40EE74A7" w14:textId="68EBD6EF" w:rsidR="00181266" w:rsidRPr="00121A6A" w:rsidRDefault="00814F71" w:rsidP="00814F71">
      <w:pPr>
        <w:spacing w:after="0"/>
        <w:ind w:firstLine="709"/>
        <w:jc w:val="both"/>
        <w:rPr>
          <w:sz w:val="24"/>
          <w:szCs w:val="24"/>
        </w:rPr>
      </w:pPr>
      <w:r>
        <w:rPr>
          <w:sz w:val="24"/>
          <w:szCs w:val="24"/>
        </w:rPr>
        <w:t xml:space="preserve">Of het HvJ zich zal conformeren aan de ‘rechtspraak’ van de </w:t>
      </w:r>
      <w:proofErr w:type="spellStart"/>
      <w:r>
        <w:rPr>
          <w:sz w:val="24"/>
          <w:szCs w:val="24"/>
        </w:rPr>
        <w:t>CoE</w:t>
      </w:r>
      <w:proofErr w:type="spellEnd"/>
      <w:r>
        <w:rPr>
          <w:sz w:val="24"/>
          <w:szCs w:val="24"/>
        </w:rPr>
        <w:t>/CFA en/of het ECSR</w:t>
      </w:r>
      <w:r w:rsidR="00E7489B">
        <w:rPr>
          <w:sz w:val="24"/>
          <w:szCs w:val="24"/>
        </w:rPr>
        <w:t>,</w:t>
      </w:r>
      <w:r>
        <w:rPr>
          <w:sz w:val="24"/>
          <w:szCs w:val="24"/>
        </w:rPr>
        <w:t xml:space="preserve"> is</w:t>
      </w:r>
      <w:r w:rsidR="001B2C18">
        <w:rPr>
          <w:sz w:val="24"/>
          <w:szCs w:val="24"/>
        </w:rPr>
        <w:t xml:space="preserve"> echter</w:t>
      </w:r>
      <w:r>
        <w:rPr>
          <w:sz w:val="24"/>
          <w:szCs w:val="24"/>
        </w:rPr>
        <w:t xml:space="preserve"> geenszins zeker. In de literatuur is opgemerkt dat het</w:t>
      </w:r>
      <w:r w:rsidR="00181266" w:rsidRPr="00121A6A">
        <w:rPr>
          <w:sz w:val="24"/>
          <w:szCs w:val="24"/>
        </w:rPr>
        <w:t xml:space="preserve"> </w:t>
      </w:r>
      <w:r w:rsidR="00B22504" w:rsidRPr="00121A6A">
        <w:rPr>
          <w:sz w:val="24"/>
          <w:szCs w:val="24"/>
        </w:rPr>
        <w:t>HvJ</w:t>
      </w:r>
      <w:r>
        <w:rPr>
          <w:sz w:val="24"/>
          <w:szCs w:val="24"/>
        </w:rPr>
        <w:t>, mogelijk met het oog op de legitimiteit en aanvaardbaarheid van zijn uitspraken,</w:t>
      </w:r>
      <w:r w:rsidRPr="00121A6A">
        <w:rPr>
          <w:rStyle w:val="FootnoteReference"/>
          <w:sz w:val="24"/>
          <w:szCs w:val="24"/>
        </w:rPr>
        <w:footnoteReference w:id="186"/>
      </w:r>
      <w:r>
        <w:rPr>
          <w:sz w:val="24"/>
          <w:szCs w:val="24"/>
        </w:rPr>
        <w:t xml:space="preserve"> </w:t>
      </w:r>
      <w:r w:rsidR="00181266" w:rsidRPr="00121A6A">
        <w:rPr>
          <w:sz w:val="24"/>
          <w:szCs w:val="24"/>
        </w:rPr>
        <w:t>enigszins argwanend</w:t>
      </w:r>
      <w:r>
        <w:rPr>
          <w:sz w:val="24"/>
          <w:szCs w:val="24"/>
        </w:rPr>
        <w:t xml:space="preserve"> staat</w:t>
      </w:r>
      <w:r w:rsidR="00181266" w:rsidRPr="00121A6A">
        <w:rPr>
          <w:sz w:val="24"/>
          <w:szCs w:val="24"/>
        </w:rPr>
        <w:t xml:space="preserve"> tegenover standpunten van niet-gerechtelijke </w:t>
      </w:r>
      <w:r w:rsidR="00B22504" w:rsidRPr="00121A6A">
        <w:rPr>
          <w:sz w:val="24"/>
          <w:szCs w:val="24"/>
        </w:rPr>
        <w:t xml:space="preserve">interpretatieve </w:t>
      </w:r>
      <w:r>
        <w:rPr>
          <w:sz w:val="24"/>
          <w:szCs w:val="24"/>
        </w:rPr>
        <w:t>organen</w:t>
      </w:r>
      <w:r w:rsidR="00B22504" w:rsidRPr="00121A6A">
        <w:rPr>
          <w:sz w:val="24"/>
          <w:szCs w:val="24"/>
        </w:rPr>
        <w:t>.</w:t>
      </w:r>
      <w:r w:rsidR="00181266" w:rsidRPr="00121A6A">
        <w:rPr>
          <w:rStyle w:val="FootnoteReference"/>
          <w:sz w:val="24"/>
          <w:szCs w:val="24"/>
        </w:rPr>
        <w:footnoteReference w:id="187"/>
      </w:r>
      <w:r w:rsidR="00F63286" w:rsidRPr="00121A6A">
        <w:rPr>
          <w:sz w:val="24"/>
          <w:szCs w:val="24"/>
        </w:rPr>
        <w:t xml:space="preserve"> </w:t>
      </w:r>
      <w:r w:rsidR="005033E7" w:rsidRPr="00121A6A">
        <w:rPr>
          <w:sz w:val="24"/>
          <w:szCs w:val="24"/>
        </w:rPr>
        <w:t xml:space="preserve">Ik ben evenwel van mening, mede gelet op </w:t>
      </w:r>
      <w:r w:rsidR="00EA584E" w:rsidRPr="00121A6A">
        <w:rPr>
          <w:sz w:val="24"/>
          <w:szCs w:val="24"/>
        </w:rPr>
        <w:t>de waarde die</w:t>
      </w:r>
      <w:r w:rsidR="005033E7" w:rsidRPr="00121A6A">
        <w:rPr>
          <w:sz w:val="24"/>
          <w:szCs w:val="24"/>
        </w:rPr>
        <w:t xml:space="preserve"> het EHRM</w:t>
      </w:r>
      <w:r w:rsidR="000E7203" w:rsidRPr="00121A6A">
        <w:rPr>
          <w:sz w:val="24"/>
          <w:szCs w:val="24"/>
        </w:rPr>
        <w:t xml:space="preserve"> </w:t>
      </w:r>
      <w:r w:rsidR="00E7489B">
        <w:rPr>
          <w:sz w:val="24"/>
          <w:szCs w:val="24"/>
        </w:rPr>
        <w:t>toekent</w:t>
      </w:r>
      <w:r w:rsidR="005033E7" w:rsidRPr="00121A6A">
        <w:rPr>
          <w:sz w:val="24"/>
          <w:szCs w:val="24"/>
        </w:rPr>
        <w:t xml:space="preserve"> aan de interpretaties van </w:t>
      </w:r>
      <w:r w:rsidR="00617A5B" w:rsidRPr="00121A6A">
        <w:rPr>
          <w:sz w:val="24"/>
          <w:szCs w:val="24"/>
        </w:rPr>
        <w:t>deze Comités</w:t>
      </w:r>
      <w:r w:rsidR="005033E7" w:rsidRPr="00121A6A">
        <w:rPr>
          <w:sz w:val="24"/>
          <w:szCs w:val="24"/>
        </w:rPr>
        <w:t>,</w:t>
      </w:r>
      <w:r w:rsidR="005033E7" w:rsidRPr="00121A6A">
        <w:rPr>
          <w:rStyle w:val="FootnoteReference"/>
          <w:sz w:val="24"/>
          <w:szCs w:val="24"/>
        </w:rPr>
        <w:footnoteReference w:id="188"/>
      </w:r>
      <w:r w:rsidR="004C1985" w:rsidRPr="00121A6A">
        <w:rPr>
          <w:sz w:val="24"/>
          <w:szCs w:val="24"/>
        </w:rPr>
        <w:t xml:space="preserve"> </w:t>
      </w:r>
      <w:r w:rsidR="00E7489B">
        <w:rPr>
          <w:sz w:val="24"/>
          <w:szCs w:val="24"/>
        </w:rPr>
        <w:t xml:space="preserve">dat </w:t>
      </w:r>
      <w:r w:rsidR="004C1985" w:rsidRPr="00121A6A">
        <w:rPr>
          <w:sz w:val="24"/>
          <w:szCs w:val="24"/>
        </w:rPr>
        <w:t>d</w:t>
      </w:r>
      <w:r w:rsidR="00201F2B" w:rsidRPr="00121A6A">
        <w:rPr>
          <w:sz w:val="24"/>
          <w:szCs w:val="24"/>
        </w:rPr>
        <w:t>i</w:t>
      </w:r>
      <w:r w:rsidR="004C1985" w:rsidRPr="00121A6A">
        <w:rPr>
          <w:sz w:val="24"/>
          <w:szCs w:val="24"/>
        </w:rPr>
        <w:t xml:space="preserve">e legitimiteit </w:t>
      </w:r>
      <w:r w:rsidR="00A07DD3" w:rsidRPr="00121A6A">
        <w:rPr>
          <w:sz w:val="24"/>
          <w:szCs w:val="24"/>
        </w:rPr>
        <w:t>juist</w:t>
      </w:r>
      <w:r w:rsidR="004C1985" w:rsidRPr="00121A6A">
        <w:rPr>
          <w:sz w:val="24"/>
          <w:szCs w:val="24"/>
        </w:rPr>
        <w:t xml:space="preserve"> </w:t>
      </w:r>
      <w:r w:rsidR="005033E7" w:rsidRPr="00121A6A">
        <w:rPr>
          <w:sz w:val="24"/>
          <w:szCs w:val="24"/>
        </w:rPr>
        <w:t xml:space="preserve">onder druk staat als het </w:t>
      </w:r>
      <w:r w:rsidR="00617A5B" w:rsidRPr="00121A6A">
        <w:rPr>
          <w:sz w:val="24"/>
          <w:szCs w:val="24"/>
        </w:rPr>
        <w:t>HvJ</w:t>
      </w:r>
      <w:r w:rsidR="005033E7" w:rsidRPr="00121A6A">
        <w:rPr>
          <w:sz w:val="24"/>
          <w:szCs w:val="24"/>
        </w:rPr>
        <w:t xml:space="preserve"> als enige instantie een autonome</w:t>
      </w:r>
      <w:r w:rsidR="00B50934" w:rsidRPr="00121A6A">
        <w:rPr>
          <w:sz w:val="24"/>
          <w:szCs w:val="24"/>
        </w:rPr>
        <w:t>,</w:t>
      </w:r>
      <w:r w:rsidR="005033E7" w:rsidRPr="00121A6A">
        <w:rPr>
          <w:sz w:val="24"/>
          <w:szCs w:val="24"/>
        </w:rPr>
        <w:t xml:space="preserve"> afwijkende koers volgt en onvoldoende oog heeft voor </w:t>
      </w:r>
      <w:r>
        <w:rPr>
          <w:sz w:val="24"/>
          <w:szCs w:val="24"/>
        </w:rPr>
        <w:t>het beschermen</w:t>
      </w:r>
      <w:r w:rsidR="005033E7" w:rsidRPr="00121A6A">
        <w:rPr>
          <w:sz w:val="24"/>
          <w:szCs w:val="24"/>
        </w:rPr>
        <w:t xml:space="preserve"> van fundamentele mensenrechten.</w:t>
      </w:r>
      <w:r w:rsidR="00F63286" w:rsidRPr="00121A6A">
        <w:rPr>
          <w:sz w:val="24"/>
          <w:szCs w:val="24"/>
        </w:rPr>
        <w:t xml:space="preserve"> </w:t>
      </w:r>
      <w:r w:rsidR="00E80DEC" w:rsidRPr="00121A6A">
        <w:rPr>
          <w:sz w:val="24"/>
          <w:szCs w:val="24"/>
        </w:rPr>
        <w:t xml:space="preserve">Als (meest) gespecialiseerde organen op het gebied van sociale </w:t>
      </w:r>
      <w:r w:rsidR="001B2C18">
        <w:rPr>
          <w:sz w:val="24"/>
          <w:szCs w:val="24"/>
        </w:rPr>
        <w:t>grond</w:t>
      </w:r>
      <w:r w:rsidR="00E80DEC" w:rsidRPr="00121A6A">
        <w:rPr>
          <w:sz w:val="24"/>
          <w:szCs w:val="24"/>
        </w:rPr>
        <w:t>rechten,</w:t>
      </w:r>
      <w:r w:rsidR="00E80DEC" w:rsidRPr="00121A6A">
        <w:rPr>
          <w:rStyle w:val="FootnoteReference"/>
          <w:sz w:val="24"/>
          <w:szCs w:val="24"/>
        </w:rPr>
        <w:footnoteReference w:id="189"/>
      </w:r>
      <w:r w:rsidR="00E80DEC" w:rsidRPr="00121A6A">
        <w:rPr>
          <w:sz w:val="24"/>
          <w:szCs w:val="24"/>
        </w:rPr>
        <w:t xml:space="preserve"> zijn</w:t>
      </w:r>
      <w:r w:rsidR="00662742">
        <w:rPr>
          <w:sz w:val="24"/>
          <w:szCs w:val="24"/>
        </w:rPr>
        <w:t xml:space="preserve"> de</w:t>
      </w:r>
      <w:r w:rsidR="00E80DEC" w:rsidRPr="00121A6A">
        <w:rPr>
          <w:sz w:val="24"/>
          <w:szCs w:val="24"/>
        </w:rPr>
        <w:t xml:space="preserve"> </w:t>
      </w:r>
      <w:bookmarkStart w:id="71" w:name="_Hlk155971049"/>
      <w:r w:rsidR="00E80DEC" w:rsidRPr="00121A6A">
        <w:rPr>
          <w:sz w:val="24"/>
          <w:szCs w:val="24"/>
        </w:rPr>
        <w:t xml:space="preserve">interpretaties van de </w:t>
      </w:r>
      <w:proofErr w:type="spellStart"/>
      <w:r w:rsidR="00E80DEC" w:rsidRPr="00121A6A">
        <w:rPr>
          <w:sz w:val="24"/>
          <w:szCs w:val="24"/>
        </w:rPr>
        <w:t>CoE</w:t>
      </w:r>
      <w:proofErr w:type="spellEnd"/>
      <w:r w:rsidR="00E80DEC" w:rsidRPr="00121A6A">
        <w:rPr>
          <w:sz w:val="24"/>
          <w:szCs w:val="24"/>
        </w:rPr>
        <w:t xml:space="preserve">/CFA en het ECSR bij uitstek geschikt voor de (verdere) ontwikkeling van </w:t>
      </w:r>
      <w:r w:rsidR="006C21AF" w:rsidRPr="00121A6A">
        <w:rPr>
          <w:sz w:val="24"/>
          <w:szCs w:val="24"/>
        </w:rPr>
        <w:t xml:space="preserve">sociale </w:t>
      </w:r>
      <w:r w:rsidR="000F765E" w:rsidRPr="00121A6A">
        <w:rPr>
          <w:sz w:val="24"/>
          <w:szCs w:val="24"/>
        </w:rPr>
        <w:t>grond</w:t>
      </w:r>
      <w:r w:rsidR="006C21AF" w:rsidRPr="00121A6A">
        <w:rPr>
          <w:sz w:val="24"/>
          <w:szCs w:val="24"/>
        </w:rPr>
        <w:t>rechten in de rechtsorde van de EU</w:t>
      </w:r>
      <w:bookmarkEnd w:id="71"/>
      <w:r w:rsidR="00E80DEC" w:rsidRPr="00121A6A">
        <w:rPr>
          <w:sz w:val="24"/>
          <w:szCs w:val="24"/>
        </w:rPr>
        <w:t>.</w:t>
      </w:r>
      <w:r w:rsidR="00752422" w:rsidRPr="00121A6A">
        <w:rPr>
          <w:rStyle w:val="FootnoteReference"/>
          <w:sz w:val="24"/>
          <w:szCs w:val="24"/>
        </w:rPr>
        <w:footnoteReference w:id="190"/>
      </w:r>
    </w:p>
    <w:p w14:paraId="24D07161" w14:textId="77777777" w:rsidR="0074041F" w:rsidRPr="00121A6A" w:rsidRDefault="0074041F" w:rsidP="0074041F">
      <w:pPr>
        <w:spacing w:after="0" w:line="276" w:lineRule="auto"/>
        <w:jc w:val="both"/>
        <w:rPr>
          <w:sz w:val="24"/>
          <w:szCs w:val="24"/>
        </w:rPr>
      </w:pPr>
    </w:p>
    <w:p w14:paraId="1DE48B49" w14:textId="755F5652" w:rsidR="0074041F" w:rsidRPr="00121A6A" w:rsidRDefault="0074041F" w:rsidP="0074041F">
      <w:pPr>
        <w:pStyle w:val="Heading2"/>
        <w:rPr>
          <w:sz w:val="24"/>
          <w:szCs w:val="24"/>
        </w:rPr>
      </w:pPr>
      <w:bookmarkStart w:id="72" w:name="_Toc169963071"/>
      <w:r w:rsidRPr="00121A6A">
        <w:rPr>
          <w:sz w:val="24"/>
          <w:szCs w:val="24"/>
        </w:rPr>
        <w:lastRenderedPageBreak/>
        <w:t>3.</w:t>
      </w:r>
      <w:r w:rsidR="000B7083" w:rsidRPr="00121A6A">
        <w:rPr>
          <w:sz w:val="24"/>
          <w:szCs w:val="24"/>
        </w:rPr>
        <w:t>5</w:t>
      </w:r>
      <w:r w:rsidRPr="00121A6A">
        <w:rPr>
          <w:sz w:val="24"/>
          <w:szCs w:val="24"/>
        </w:rPr>
        <w:t xml:space="preserve"> Afronding</w:t>
      </w:r>
      <w:bookmarkEnd w:id="72"/>
      <w:r w:rsidRPr="00121A6A">
        <w:rPr>
          <w:sz w:val="24"/>
          <w:szCs w:val="24"/>
        </w:rPr>
        <w:t xml:space="preserve"> </w:t>
      </w:r>
    </w:p>
    <w:p w14:paraId="42820A71" w14:textId="084A11E9" w:rsidR="00E574F0" w:rsidRDefault="005A6F1E" w:rsidP="00E574F0">
      <w:pPr>
        <w:spacing w:after="0"/>
        <w:jc w:val="both"/>
        <w:rPr>
          <w:sz w:val="24"/>
          <w:szCs w:val="24"/>
        </w:rPr>
      </w:pPr>
      <w:bookmarkStart w:id="73" w:name="_Hlk160109076"/>
      <w:r w:rsidRPr="00121A6A">
        <w:rPr>
          <w:sz w:val="24"/>
          <w:szCs w:val="24"/>
        </w:rPr>
        <w:t xml:space="preserve">Een analyse van de toetsingskaders van het EHRM, de </w:t>
      </w:r>
      <w:proofErr w:type="spellStart"/>
      <w:r w:rsidRPr="00121A6A">
        <w:rPr>
          <w:sz w:val="24"/>
          <w:szCs w:val="24"/>
        </w:rPr>
        <w:t>CoE</w:t>
      </w:r>
      <w:proofErr w:type="spellEnd"/>
      <w:r w:rsidRPr="00121A6A">
        <w:rPr>
          <w:sz w:val="24"/>
          <w:szCs w:val="24"/>
        </w:rPr>
        <w:t xml:space="preserve">/CFA en het ECSR </w:t>
      </w:r>
      <w:r w:rsidR="00DB00B7" w:rsidRPr="00121A6A">
        <w:rPr>
          <w:sz w:val="24"/>
          <w:szCs w:val="24"/>
        </w:rPr>
        <w:t>laat</w:t>
      </w:r>
      <w:r w:rsidRPr="00121A6A">
        <w:rPr>
          <w:sz w:val="24"/>
          <w:szCs w:val="24"/>
        </w:rPr>
        <w:t xml:space="preserve"> zien dat deze instanties het grondrecht (stakingsrecht) voorop stellen en vervolgens nagaan of een beperking van dit recht kan worden gerechtvaardigd. Deze benadering is precies tegengesteld aan die van het HvJ in </w:t>
      </w:r>
      <w:r w:rsidRPr="00121A6A">
        <w:rPr>
          <w:i/>
          <w:iCs/>
          <w:sz w:val="24"/>
          <w:szCs w:val="24"/>
        </w:rPr>
        <w:t>Viking</w:t>
      </w:r>
      <w:r w:rsidRPr="00121A6A">
        <w:rPr>
          <w:sz w:val="24"/>
          <w:szCs w:val="24"/>
        </w:rPr>
        <w:t xml:space="preserve"> en </w:t>
      </w:r>
      <w:r w:rsidRPr="00121A6A">
        <w:rPr>
          <w:i/>
          <w:iCs/>
          <w:sz w:val="24"/>
          <w:szCs w:val="24"/>
        </w:rPr>
        <w:t>Laval</w:t>
      </w:r>
      <w:r w:rsidRPr="00121A6A">
        <w:rPr>
          <w:sz w:val="24"/>
          <w:szCs w:val="24"/>
        </w:rPr>
        <w:t xml:space="preserve">, waar de fundamentele vrijheden van de interne markt voorop werden gesteld en werd nagegaan of </w:t>
      </w:r>
      <w:r w:rsidR="00DB26EE" w:rsidRPr="00121A6A">
        <w:rPr>
          <w:sz w:val="24"/>
          <w:szCs w:val="24"/>
        </w:rPr>
        <w:t xml:space="preserve">een beperking van deze vrijheden met een beroep op </w:t>
      </w:r>
      <w:r w:rsidR="00D65DC1" w:rsidRPr="00121A6A">
        <w:rPr>
          <w:sz w:val="24"/>
          <w:szCs w:val="24"/>
        </w:rPr>
        <w:t>het stakingsrecht</w:t>
      </w:r>
      <w:r w:rsidRPr="00121A6A">
        <w:rPr>
          <w:sz w:val="24"/>
          <w:szCs w:val="24"/>
        </w:rPr>
        <w:t xml:space="preserve"> </w:t>
      </w:r>
      <w:r w:rsidR="00DB26EE" w:rsidRPr="00121A6A">
        <w:rPr>
          <w:sz w:val="24"/>
          <w:szCs w:val="24"/>
        </w:rPr>
        <w:t>kon</w:t>
      </w:r>
      <w:r w:rsidRPr="00121A6A">
        <w:rPr>
          <w:sz w:val="24"/>
          <w:szCs w:val="24"/>
        </w:rPr>
        <w:t xml:space="preserve"> worden gerechtvaardigd</w:t>
      </w:r>
      <w:r w:rsidR="00063B16" w:rsidRPr="00121A6A">
        <w:rPr>
          <w:sz w:val="24"/>
          <w:szCs w:val="24"/>
        </w:rPr>
        <w:t>.</w:t>
      </w:r>
      <w:r w:rsidR="00063B16" w:rsidRPr="00121A6A">
        <w:rPr>
          <w:rStyle w:val="FootnoteReference"/>
          <w:sz w:val="24"/>
          <w:szCs w:val="24"/>
        </w:rPr>
        <w:footnoteReference w:id="191"/>
      </w:r>
      <w:r w:rsidR="00063B16" w:rsidRPr="00121A6A">
        <w:rPr>
          <w:sz w:val="24"/>
          <w:szCs w:val="24"/>
        </w:rPr>
        <w:t xml:space="preserve"> </w:t>
      </w:r>
      <w:r w:rsidR="006B080F">
        <w:rPr>
          <w:sz w:val="24"/>
          <w:szCs w:val="24"/>
        </w:rPr>
        <w:t xml:space="preserve">Het toetsingskader van het HvJ is door de </w:t>
      </w:r>
      <w:proofErr w:type="spellStart"/>
      <w:r w:rsidR="006B080F">
        <w:rPr>
          <w:sz w:val="24"/>
          <w:szCs w:val="24"/>
        </w:rPr>
        <w:t>CoE</w:t>
      </w:r>
      <w:proofErr w:type="spellEnd"/>
      <w:r w:rsidR="006B080F">
        <w:rPr>
          <w:sz w:val="24"/>
          <w:szCs w:val="24"/>
        </w:rPr>
        <w:t>/CFA en het ECSR onverenigbaar bevonden met ILO-Verdrag 87 respectievelijk het ESH. Voor wat betreft het EVRM illustreert d</w:t>
      </w:r>
      <w:r w:rsidR="00791B6E" w:rsidRPr="00121A6A">
        <w:rPr>
          <w:sz w:val="24"/>
          <w:szCs w:val="24"/>
        </w:rPr>
        <w:t xml:space="preserve">e overeenstemming tussen het </w:t>
      </w:r>
      <w:proofErr w:type="spellStart"/>
      <w:r w:rsidR="00791B6E" w:rsidRPr="00121A6A">
        <w:rPr>
          <w:i/>
          <w:iCs/>
          <w:sz w:val="24"/>
          <w:szCs w:val="24"/>
        </w:rPr>
        <w:t>Unison</w:t>
      </w:r>
      <w:proofErr w:type="spellEnd"/>
      <w:r w:rsidR="0047274C" w:rsidRPr="00121A6A">
        <w:rPr>
          <w:sz w:val="24"/>
          <w:szCs w:val="24"/>
        </w:rPr>
        <w:t>-arrest</w:t>
      </w:r>
      <w:r w:rsidR="00791B6E" w:rsidRPr="00121A6A">
        <w:rPr>
          <w:sz w:val="24"/>
          <w:szCs w:val="24"/>
        </w:rPr>
        <w:t xml:space="preserve"> </w:t>
      </w:r>
      <w:r w:rsidR="00342FD6">
        <w:rPr>
          <w:sz w:val="24"/>
          <w:szCs w:val="24"/>
        </w:rPr>
        <w:t xml:space="preserve">van het EHRM </w:t>
      </w:r>
      <w:r w:rsidR="00791B6E" w:rsidRPr="00121A6A">
        <w:rPr>
          <w:sz w:val="24"/>
          <w:szCs w:val="24"/>
        </w:rPr>
        <w:t xml:space="preserve">en de arresten </w:t>
      </w:r>
      <w:r w:rsidR="00791B6E" w:rsidRPr="00121A6A">
        <w:rPr>
          <w:i/>
          <w:iCs/>
          <w:sz w:val="24"/>
          <w:szCs w:val="24"/>
        </w:rPr>
        <w:t>Viking</w:t>
      </w:r>
      <w:r w:rsidR="00791B6E" w:rsidRPr="00121A6A">
        <w:rPr>
          <w:sz w:val="24"/>
          <w:szCs w:val="24"/>
        </w:rPr>
        <w:t xml:space="preserve"> en </w:t>
      </w:r>
      <w:proofErr w:type="spellStart"/>
      <w:r w:rsidR="00791B6E" w:rsidRPr="00121A6A">
        <w:rPr>
          <w:i/>
          <w:iCs/>
          <w:sz w:val="24"/>
          <w:szCs w:val="24"/>
        </w:rPr>
        <w:t>Parkwood</w:t>
      </w:r>
      <w:proofErr w:type="spellEnd"/>
      <w:r w:rsidR="00791B6E" w:rsidRPr="00121A6A">
        <w:rPr>
          <w:sz w:val="24"/>
          <w:szCs w:val="24"/>
        </w:rPr>
        <w:t xml:space="preserve"> </w:t>
      </w:r>
      <w:r w:rsidR="00342FD6">
        <w:rPr>
          <w:sz w:val="24"/>
          <w:szCs w:val="24"/>
        </w:rPr>
        <w:t xml:space="preserve">van het HvJ </w:t>
      </w:r>
      <w:r w:rsidR="00791B6E" w:rsidRPr="00121A6A">
        <w:rPr>
          <w:sz w:val="24"/>
          <w:szCs w:val="24"/>
        </w:rPr>
        <w:t xml:space="preserve">dat niet direct sprake hoeft te zijn van een inherente </w:t>
      </w:r>
      <w:r w:rsidR="00424AC0" w:rsidRPr="00121A6A">
        <w:rPr>
          <w:sz w:val="24"/>
          <w:szCs w:val="24"/>
        </w:rPr>
        <w:t>botsing tussen</w:t>
      </w:r>
      <w:r w:rsidR="002447B5">
        <w:rPr>
          <w:sz w:val="24"/>
          <w:szCs w:val="24"/>
        </w:rPr>
        <w:t xml:space="preserve"> de rechtspraak van beide </w:t>
      </w:r>
      <w:r w:rsidR="00217971">
        <w:rPr>
          <w:sz w:val="24"/>
          <w:szCs w:val="24"/>
        </w:rPr>
        <w:t>hoven</w:t>
      </w:r>
      <w:r w:rsidR="006B080F">
        <w:rPr>
          <w:sz w:val="24"/>
          <w:szCs w:val="24"/>
        </w:rPr>
        <w:t>. Desalniettemin</w:t>
      </w:r>
      <w:r w:rsidR="00791B6E" w:rsidRPr="00121A6A">
        <w:rPr>
          <w:sz w:val="24"/>
          <w:szCs w:val="24"/>
        </w:rPr>
        <w:t xml:space="preserve"> blijkt uit het </w:t>
      </w:r>
      <w:proofErr w:type="spellStart"/>
      <w:r w:rsidR="00791B6E" w:rsidRPr="00121A6A">
        <w:rPr>
          <w:i/>
          <w:iCs/>
          <w:sz w:val="24"/>
          <w:szCs w:val="24"/>
        </w:rPr>
        <w:t>Holship</w:t>
      </w:r>
      <w:proofErr w:type="spellEnd"/>
      <w:r w:rsidR="00791B6E" w:rsidRPr="00121A6A">
        <w:rPr>
          <w:sz w:val="24"/>
          <w:szCs w:val="24"/>
        </w:rPr>
        <w:t>-arrest dat de</w:t>
      </w:r>
      <w:r w:rsidR="00DB26EE" w:rsidRPr="00121A6A">
        <w:rPr>
          <w:sz w:val="24"/>
          <w:szCs w:val="24"/>
        </w:rPr>
        <w:t xml:space="preserve"> </w:t>
      </w:r>
      <w:r w:rsidR="00940CED" w:rsidRPr="00121A6A">
        <w:rPr>
          <w:sz w:val="24"/>
          <w:szCs w:val="24"/>
        </w:rPr>
        <w:t>contrasterende</w:t>
      </w:r>
      <w:r w:rsidR="00DB26EE" w:rsidRPr="00121A6A">
        <w:rPr>
          <w:sz w:val="24"/>
          <w:szCs w:val="24"/>
        </w:rPr>
        <w:t xml:space="preserve"> benadering </w:t>
      </w:r>
      <w:r w:rsidR="00845D10" w:rsidRPr="00121A6A">
        <w:rPr>
          <w:sz w:val="24"/>
          <w:szCs w:val="24"/>
        </w:rPr>
        <w:t xml:space="preserve">onder omstandigheden </w:t>
      </w:r>
      <w:r w:rsidR="00342FD6">
        <w:rPr>
          <w:sz w:val="24"/>
          <w:szCs w:val="24"/>
        </w:rPr>
        <w:t>kan leiden</w:t>
      </w:r>
      <w:r w:rsidR="00DB26EE" w:rsidRPr="00121A6A">
        <w:rPr>
          <w:sz w:val="24"/>
          <w:szCs w:val="24"/>
        </w:rPr>
        <w:t xml:space="preserve"> tot een uiteenlopende mate van bescherming van</w:t>
      </w:r>
      <w:r w:rsidR="00834307" w:rsidRPr="00121A6A">
        <w:rPr>
          <w:sz w:val="24"/>
          <w:szCs w:val="24"/>
        </w:rPr>
        <w:t xml:space="preserve"> </w:t>
      </w:r>
      <w:r w:rsidR="00DC4DB0" w:rsidRPr="00121A6A">
        <w:rPr>
          <w:sz w:val="24"/>
          <w:szCs w:val="24"/>
        </w:rPr>
        <w:t>het stakingsrecht</w:t>
      </w:r>
      <w:r w:rsidR="00570718" w:rsidRPr="00121A6A">
        <w:rPr>
          <w:sz w:val="24"/>
          <w:szCs w:val="24"/>
        </w:rPr>
        <w:t>.</w:t>
      </w:r>
      <w:r w:rsidR="00342FD6">
        <w:rPr>
          <w:sz w:val="24"/>
          <w:szCs w:val="24"/>
        </w:rPr>
        <w:t xml:space="preserve"> </w:t>
      </w:r>
      <w:r w:rsidR="00E574F0">
        <w:rPr>
          <w:sz w:val="24"/>
          <w:szCs w:val="24"/>
        </w:rPr>
        <w:t>D</w:t>
      </w:r>
      <w:r w:rsidR="00342FD6">
        <w:rPr>
          <w:sz w:val="24"/>
          <w:szCs w:val="24"/>
        </w:rPr>
        <w:t xml:space="preserve">e ruime beoordelingsmarge die het EHRM </w:t>
      </w:r>
      <w:r w:rsidR="00A20563">
        <w:rPr>
          <w:sz w:val="24"/>
          <w:szCs w:val="24"/>
        </w:rPr>
        <w:t xml:space="preserve">in dit arrest </w:t>
      </w:r>
      <w:r w:rsidR="00342FD6">
        <w:rPr>
          <w:sz w:val="24"/>
          <w:szCs w:val="24"/>
        </w:rPr>
        <w:t xml:space="preserve">aan </w:t>
      </w:r>
      <w:r w:rsidR="005A7384">
        <w:rPr>
          <w:sz w:val="24"/>
          <w:szCs w:val="24"/>
        </w:rPr>
        <w:t xml:space="preserve">de </w:t>
      </w:r>
      <w:r w:rsidR="00342FD6">
        <w:rPr>
          <w:sz w:val="24"/>
          <w:szCs w:val="24"/>
        </w:rPr>
        <w:t>lidsta</w:t>
      </w:r>
      <w:r w:rsidR="005A7384">
        <w:rPr>
          <w:sz w:val="24"/>
          <w:szCs w:val="24"/>
        </w:rPr>
        <w:t>a</w:t>
      </w:r>
      <w:r w:rsidR="00342FD6">
        <w:rPr>
          <w:sz w:val="24"/>
          <w:szCs w:val="24"/>
        </w:rPr>
        <w:t>t gunde</w:t>
      </w:r>
      <w:r w:rsidR="00E574F0">
        <w:rPr>
          <w:sz w:val="24"/>
          <w:szCs w:val="24"/>
        </w:rPr>
        <w:t>, maakte dat</w:t>
      </w:r>
      <w:r w:rsidR="00342FD6">
        <w:rPr>
          <w:sz w:val="24"/>
          <w:szCs w:val="24"/>
        </w:rPr>
        <w:t xml:space="preserve"> </w:t>
      </w:r>
      <w:r w:rsidR="00E574F0">
        <w:rPr>
          <w:sz w:val="24"/>
          <w:szCs w:val="24"/>
        </w:rPr>
        <w:t>een</w:t>
      </w:r>
      <w:r w:rsidR="00570718" w:rsidRPr="00121A6A">
        <w:rPr>
          <w:sz w:val="24"/>
          <w:szCs w:val="24"/>
        </w:rPr>
        <w:t xml:space="preserve"> </w:t>
      </w:r>
      <w:r w:rsidR="002447B5">
        <w:rPr>
          <w:sz w:val="24"/>
          <w:szCs w:val="24"/>
        </w:rPr>
        <w:t>daadwerkelijk rechtsconflict</w:t>
      </w:r>
      <w:r w:rsidR="00E574F0">
        <w:rPr>
          <w:sz w:val="24"/>
          <w:szCs w:val="24"/>
        </w:rPr>
        <w:t xml:space="preserve"> </w:t>
      </w:r>
      <w:r w:rsidR="00217971">
        <w:rPr>
          <w:sz w:val="24"/>
          <w:szCs w:val="24"/>
        </w:rPr>
        <w:t>(</w:t>
      </w:r>
      <w:r w:rsidR="00E574F0">
        <w:rPr>
          <w:sz w:val="24"/>
          <w:szCs w:val="24"/>
        </w:rPr>
        <w:t>vooralsnog</w:t>
      </w:r>
      <w:r w:rsidR="00217971">
        <w:rPr>
          <w:sz w:val="24"/>
          <w:szCs w:val="24"/>
        </w:rPr>
        <w:t>)</w:t>
      </w:r>
      <w:r w:rsidR="00E574F0">
        <w:rPr>
          <w:sz w:val="24"/>
          <w:szCs w:val="24"/>
        </w:rPr>
        <w:t xml:space="preserve"> uitbleef</w:t>
      </w:r>
      <w:r w:rsidR="00342FD6">
        <w:rPr>
          <w:sz w:val="24"/>
          <w:szCs w:val="24"/>
        </w:rPr>
        <w:t>.</w:t>
      </w:r>
      <w:r w:rsidR="00570718" w:rsidRPr="00121A6A">
        <w:rPr>
          <w:sz w:val="24"/>
          <w:szCs w:val="24"/>
        </w:rPr>
        <w:t xml:space="preserve"> </w:t>
      </w:r>
      <w:r w:rsidR="00342FD6">
        <w:rPr>
          <w:sz w:val="24"/>
          <w:szCs w:val="24"/>
        </w:rPr>
        <w:t xml:space="preserve">Het is echter niet ondenkbaar </w:t>
      </w:r>
      <w:r w:rsidR="00570718" w:rsidRPr="00121A6A">
        <w:rPr>
          <w:sz w:val="24"/>
          <w:szCs w:val="24"/>
        </w:rPr>
        <w:t xml:space="preserve">dat dit in de toekomst verandert. </w:t>
      </w:r>
    </w:p>
    <w:p w14:paraId="13ED2D57" w14:textId="44D642D9" w:rsidR="00FE4D3E" w:rsidRPr="00121A6A" w:rsidRDefault="00DB00B7" w:rsidP="00E574F0">
      <w:pPr>
        <w:spacing w:after="0"/>
        <w:ind w:firstLine="708"/>
        <w:jc w:val="both"/>
        <w:rPr>
          <w:sz w:val="24"/>
          <w:szCs w:val="24"/>
        </w:rPr>
      </w:pPr>
      <w:r w:rsidRPr="00121A6A">
        <w:rPr>
          <w:sz w:val="24"/>
          <w:szCs w:val="24"/>
        </w:rPr>
        <w:t>Daar</w:t>
      </w:r>
      <w:r w:rsidR="00217971">
        <w:rPr>
          <w:sz w:val="24"/>
          <w:szCs w:val="24"/>
        </w:rPr>
        <w:t>voor</w:t>
      </w:r>
      <w:r w:rsidRPr="00121A6A">
        <w:rPr>
          <w:sz w:val="24"/>
          <w:szCs w:val="24"/>
        </w:rPr>
        <w:t xml:space="preserve"> moet het EHRM het evenwel aandurven om</w:t>
      </w:r>
      <w:r w:rsidR="001C35FB" w:rsidRPr="00121A6A">
        <w:rPr>
          <w:sz w:val="24"/>
          <w:szCs w:val="24"/>
        </w:rPr>
        <w:t xml:space="preserve"> het stakingsrecht als kernaspect van artikel 11 EVRM te duiden</w:t>
      </w:r>
      <w:r w:rsidR="00B136FE" w:rsidRPr="00121A6A">
        <w:rPr>
          <w:sz w:val="24"/>
          <w:szCs w:val="24"/>
        </w:rPr>
        <w:t xml:space="preserve"> </w:t>
      </w:r>
      <w:r w:rsidR="001C35FB" w:rsidRPr="00121A6A">
        <w:rPr>
          <w:sz w:val="24"/>
          <w:szCs w:val="24"/>
        </w:rPr>
        <w:t xml:space="preserve">en </w:t>
      </w:r>
      <w:r w:rsidR="00B136FE" w:rsidRPr="00121A6A">
        <w:rPr>
          <w:sz w:val="24"/>
          <w:szCs w:val="24"/>
        </w:rPr>
        <w:t>(meer) aansluiting te zoeken bij (</w:t>
      </w:r>
      <w:r w:rsidR="00A20563">
        <w:rPr>
          <w:sz w:val="24"/>
          <w:szCs w:val="24"/>
        </w:rPr>
        <w:t xml:space="preserve">de </w:t>
      </w:r>
      <w:r w:rsidR="00B136FE" w:rsidRPr="00121A6A">
        <w:rPr>
          <w:sz w:val="24"/>
          <w:szCs w:val="24"/>
        </w:rPr>
        <w:t>rechtspraak omtrent) ILO-Verdrag 87 en artikel 6 lid 4 ESH</w:t>
      </w:r>
      <w:r w:rsidRPr="00121A6A">
        <w:rPr>
          <w:sz w:val="24"/>
          <w:szCs w:val="24"/>
        </w:rPr>
        <w:t>.</w:t>
      </w:r>
      <w:r w:rsidR="0033393D" w:rsidRPr="00121A6A">
        <w:rPr>
          <w:sz w:val="24"/>
          <w:szCs w:val="24"/>
        </w:rPr>
        <w:t xml:space="preserve"> </w:t>
      </w:r>
      <w:r w:rsidR="00114D0D" w:rsidRPr="00121A6A">
        <w:rPr>
          <w:sz w:val="24"/>
          <w:szCs w:val="24"/>
        </w:rPr>
        <w:t xml:space="preserve">Of het EHRM deze stap </w:t>
      </w:r>
      <w:r w:rsidR="00970ADC" w:rsidRPr="00121A6A">
        <w:rPr>
          <w:sz w:val="24"/>
          <w:szCs w:val="24"/>
        </w:rPr>
        <w:t>zal durven</w:t>
      </w:r>
      <w:r w:rsidR="00114D0D" w:rsidRPr="00121A6A">
        <w:rPr>
          <w:sz w:val="24"/>
          <w:szCs w:val="24"/>
        </w:rPr>
        <w:t xml:space="preserve"> te zetten, is </w:t>
      </w:r>
      <w:r w:rsidR="002447B5">
        <w:rPr>
          <w:sz w:val="24"/>
          <w:szCs w:val="24"/>
        </w:rPr>
        <w:t>niet</w:t>
      </w:r>
      <w:r w:rsidR="00114D0D" w:rsidRPr="00121A6A">
        <w:rPr>
          <w:sz w:val="24"/>
          <w:szCs w:val="24"/>
        </w:rPr>
        <w:t xml:space="preserve"> zeker. Voor het</w:t>
      </w:r>
      <w:r w:rsidR="0033393D" w:rsidRPr="00121A6A">
        <w:rPr>
          <w:sz w:val="24"/>
          <w:szCs w:val="24"/>
        </w:rPr>
        <w:t xml:space="preserve"> </w:t>
      </w:r>
      <w:r w:rsidR="00C2633F" w:rsidRPr="00121A6A">
        <w:rPr>
          <w:sz w:val="24"/>
          <w:szCs w:val="24"/>
        </w:rPr>
        <w:t>Hof</w:t>
      </w:r>
      <w:r w:rsidR="0033393D" w:rsidRPr="00121A6A">
        <w:rPr>
          <w:sz w:val="24"/>
          <w:szCs w:val="24"/>
        </w:rPr>
        <w:t xml:space="preserve"> </w:t>
      </w:r>
      <w:r w:rsidR="00114D0D" w:rsidRPr="00121A6A">
        <w:rPr>
          <w:sz w:val="24"/>
          <w:szCs w:val="24"/>
        </w:rPr>
        <w:t xml:space="preserve">lijkt </w:t>
      </w:r>
      <w:r w:rsidR="0033393D" w:rsidRPr="00121A6A">
        <w:rPr>
          <w:sz w:val="24"/>
          <w:szCs w:val="24"/>
        </w:rPr>
        <w:t>cruciaal te zijn of uit</w:t>
      </w:r>
      <w:r w:rsidR="00195196" w:rsidRPr="00121A6A">
        <w:rPr>
          <w:sz w:val="24"/>
          <w:szCs w:val="24"/>
        </w:rPr>
        <w:t xml:space="preserve"> een vergelijking van</w:t>
      </w:r>
      <w:r w:rsidR="0033393D" w:rsidRPr="00121A6A">
        <w:rPr>
          <w:sz w:val="24"/>
          <w:szCs w:val="24"/>
        </w:rPr>
        <w:t xml:space="preserve"> Europese en (</w:t>
      </w:r>
      <w:proofErr w:type="spellStart"/>
      <w:r w:rsidR="0033393D" w:rsidRPr="00121A6A">
        <w:rPr>
          <w:sz w:val="24"/>
          <w:szCs w:val="24"/>
        </w:rPr>
        <w:t>inter</w:t>
      </w:r>
      <w:proofErr w:type="spellEnd"/>
      <w:r w:rsidR="0033393D" w:rsidRPr="00121A6A">
        <w:rPr>
          <w:sz w:val="24"/>
          <w:szCs w:val="24"/>
        </w:rPr>
        <w:t>)nationaalrechtelijke bronnen een consensus volgt.</w:t>
      </w:r>
      <w:r w:rsidR="0033393D" w:rsidRPr="00121A6A">
        <w:rPr>
          <w:rStyle w:val="FootnoteReference"/>
          <w:sz w:val="24"/>
          <w:szCs w:val="24"/>
        </w:rPr>
        <w:footnoteReference w:id="192"/>
      </w:r>
      <w:r w:rsidR="0033393D" w:rsidRPr="00121A6A">
        <w:rPr>
          <w:sz w:val="24"/>
          <w:szCs w:val="24"/>
        </w:rPr>
        <w:t xml:space="preserve"> Omdat de </w:t>
      </w:r>
      <w:proofErr w:type="spellStart"/>
      <w:r w:rsidR="0033393D" w:rsidRPr="00121A6A">
        <w:rPr>
          <w:sz w:val="24"/>
          <w:szCs w:val="24"/>
        </w:rPr>
        <w:t>CoE</w:t>
      </w:r>
      <w:proofErr w:type="spellEnd"/>
      <w:r w:rsidR="0033393D" w:rsidRPr="00121A6A">
        <w:rPr>
          <w:sz w:val="24"/>
          <w:szCs w:val="24"/>
        </w:rPr>
        <w:t xml:space="preserve">/CFA en het ECSR anders denken dan het HvJ over de verhouding tussen het grondrecht op collectieve actie en </w:t>
      </w:r>
      <w:r w:rsidR="00217971">
        <w:rPr>
          <w:sz w:val="24"/>
          <w:szCs w:val="24"/>
        </w:rPr>
        <w:t xml:space="preserve">de </w:t>
      </w:r>
      <w:r w:rsidR="0033393D" w:rsidRPr="00121A6A">
        <w:rPr>
          <w:sz w:val="24"/>
          <w:szCs w:val="24"/>
        </w:rPr>
        <w:t xml:space="preserve">marktvrijheden, </w:t>
      </w:r>
      <w:r w:rsidR="00195196" w:rsidRPr="00121A6A">
        <w:rPr>
          <w:sz w:val="24"/>
          <w:szCs w:val="24"/>
        </w:rPr>
        <w:t>is</w:t>
      </w:r>
      <w:r w:rsidR="002B21E7">
        <w:rPr>
          <w:sz w:val="24"/>
          <w:szCs w:val="24"/>
        </w:rPr>
        <w:t xml:space="preserve"> het</w:t>
      </w:r>
      <w:r w:rsidR="00195196" w:rsidRPr="00121A6A">
        <w:rPr>
          <w:sz w:val="24"/>
          <w:szCs w:val="24"/>
        </w:rPr>
        <w:t xml:space="preserve"> goed mogelijk dat het EHRM blijft vasthouden aan </w:t>
      </w:r>
      <w:r w:rsidR="001E14C0">
        <w:rPr>
          <w:sz w:val="24"/>
          <w:szCs w:val="24"/>
        </w:rPr>
        <w:t>zijn</w:t>
      </w:r>
      <w:r w:rsidR="00195196" w:rsidRPr="00121A6A">
        <w:rPr>
          <w:sz w:val="24"/>
          <w:szCs w:val="24"/>
        </w:rPr>
        <w:t xml:space="preserve"> huidige, gematigde</w:t>
      </w:r>
      <w:r w:rsidR="00C2633F" w:rsidRPr="00121A6A">
        <w:rPr>
          <w:sz w:val="24"/>
          <w:szCs w:val="24"/>
        </w:rPr>
        <w:t>(</w:t>
      </w:r>
      <w:r w:rsidR="00195196" w:rsidRPr="00121A6A">
        <w:rPr>
          <w:sz w:val="24"/>
          <w:szCs w:val="24"/>
        </w:rPr>
        <w:t>re</w:t>
      </w:r>
      <w:r w:rsidR="00C2633F" w:rsidRPr="00121A6A">
        <w:rPr>
          <w:sz w:val="24"/>
          <w:szCs w:val="24"/>
        </w:rPr>
        <w:t>)</w:t>
      </w:r>
      <w:r w:rsidR="00195196" w:rsidRPr="00121A6A">
        <w:rPr>
          <w:sz w:val="24"/>
          <w:szCs w:val="24"/>
        </w:rPr>
        <w:t xml:space="preserve"> benadering</w:t>
      </w:r>
      <w:r w:rsidR="0033393D" w:rsidRPr="00121A6A">
        <w:rPr>
          <w:sz w:val="24"/>
          <w:szCs w:val="24"/>
        </w:rPr>
        <w:t xml:space="preserve">. </w:t>
      </w:r>
      <w:r w:rsidR="00D455BE">
        <w:rPr>
          <w:sz w:val="24"/>
          <w:szCs w:val="24"/>
        </w:rPr>
        <w:t>Dat geldt te meer nu</w:t>
      </w:r>
      <w:r w:rsidR="0035555B" w:rsidRPr="00121A6A">
        <w:rPr>
          <w:sz w:val="24"/>
          <w:szCs w:val="24"/>
        </w:rPr>
        <w:t xml:space="preserve"> het </w:t>
      </w:r>
      <w:r w:rsidR="00D455BE">
        <w:rPr>
          <w:sz w:val="24"/>
          <w:szCs w:val="24"/>
        </w:rPr>
        <w:t>Straatsburgse Hof</w:t>
      </w:r>
      <w:r w:rsidR="0035555B" w:rsidRPr="00121A6A">
        <w:rPr>
          <w:sz w:val="24"/>
          <w:szCs w:val="24"/>
        </w:rPr>
        <w:t xml:space="preserve"> meermaals </w:t>
      </w:r>
      <w:r w:rsidR="0061365C" w:rsidRPr="00121A6A">
        <w:rPr>
          <w:sz w:val="24"/>
          <w:szCs w:val="24"/>
        </w:rPr>
        <w:t xml:space="preserve">en onverminderd internationale consensus </w:t>
      </w:r>
      <w:r w:rsidR="0035555B" w:rsidRPr="00121A6A">
        <w:rPr>
          <w:sz w:val="24"/>
          <w:szCs w:val="24"/>
        </w:rPr>
        <w:t xml:space="preserve">een ten opzichte van de </w:t>
      </w:r>
      <w:proofErr w:type="spellStart"/>
      <w:r w:rsidR="0035555B" w:rsidRPr="00121A6A">
        <w:rPr>
          <w:sz w:val="24"/>
          <w:szCs w:val="24"/>
        </w:rPr>
        <w:t>CoE</w:t>
      </w:r>
      <w:proofErr w:type="spellEnd"/>
      <w:r w:rsidR="0035555B" w:rsidRPr="00121A6A">
        <w:rPr>
          <w:sz w:val="24"/>
          <w:szCs w:val="24"/>
        </w:rPr>
        <w:t>/CFA en het ECSR</w:t>
      </w:r>
      <w:r w:rsidR="009B490C" w:rsidRPr="00121A6A">
        <w:rPr>
          <w:sz w:val="24"/>
          <w:szCs w:val="24"/>
        </w:rPr>
        <w:t xml:space="preserve"> afwijkend standpunt </w:t>
      </w:r>
      <w:r w:rsidR="00D455BE">
        <w:rPr>
          <w:sz w:val="24"/>
          <w:szCs w:val="24"/>
        </w:rPr>
        <w:t xml:space="preserve">heeft </w:t>
      </w:r>
      <w:r w:rsidR="009B490C" w:rsidRPr="00121A6A">
        <w:rPr>
          <w:sz w:val="24"/>
          <w:szCs w:val="24"/>
        </w:rPr>
        <w:t>ingenomen</w:t>
      </w:r>
      <w:r w:rsidR="0035555B" w:rsidRPr="00121A6A">
        <w:rPr>
          <w:sz w:val="24"/>
          <w:szCs w:val="24"/>
        </w:rPr>
        <w:t>.</w:t>
      </w:r>
      <w:r w:rsidR="0035555B" w:rsidRPr="00121A6A">
        <w:rPr>
          <w:rStyle w:val="FootnoteReference"/>
          <w:sz w:val="24"/>
          <w:szCs w:val="24"/>
        </w:rPr>
        <w:footnoteReference w:id="193"/>
      </w:r>
      <w:r w:rsidR="0033393D" w:rsidRPr="00121A6A">
        <w:rPr>
          <w:i/>
          <w:iCs/>
          <w:sz w:val="24"/>
          <w:szCs w:val="24"/>
        </w:rPr>
        <w:t xml:space="preserve"> </w:t>
      </w:r>
      <w:r w:rsidR="0035555B" w:rsidRPr="00121A6A">
        <w:rPr>
          <w:sz w:val="24"/>
          <w:szCs w:val="24"/>
        </w:rPr>
        <w:t xml:space="preserve">Bovendien is </w:t>
      </w:r>
      <w:r w:rsidR="0033393D" w:rsidRPr="00121A6A">
        <w:rPr>
          <w:sz w:val="24"/>
          <w:szCs w:val="24"/>
        </w:rPr>
        <w:t xml:space="preserve">de </w:t>
      </w:r>
      <w:r w:rsidR="003A7E52" w:rsidRPr="00121A6A">
        <w:rPr>
          <w:sz w:val="24"/>
          <w:szCs w:val="24"/>
        </w:rPr>
        <w:t>op (ander) internationaal recht gerichte interpretatie</w:t>
      </w:r>
      <w:r w:rsidR="0033393D" w:rsidRPr="00121A6A">
        <w:rPr>
          <w:sz w:val="24"/>
          <w:szCs w:val="24"/>
        </w:rPr>
        <w:t>methode van het EHRM</w:t>
      </w:r>
      <w:r w:rsidR="000B6396" w:rsidRPr="00121A6A">
        <w:rPr>
          <w:sz w:val="24"/>
          <w:szCs w:val="24"/>
        </w:rPr>
        <w:t xml:space="preserve"> </w:t>
      </w:r>
      <w:r w:rsidR="0033393D" w:rsidRPr="00121A6A">
        <w:rPr>
          <w:sz w:val="24"/>
          <w:szCs w:val="24"/>
        </w:rPr>
        <w:t>bekritiseerd op de grond dat hiervoor een adequate rechtsgrondslag ontbreekt</w:t>
      </w:r>
      <w:r w:rsidR="00B9621D" w:rsidRPr="00121A6A">
        <w:rPr>
          <w:sz w:val="24"/>
          <w:szCs w:val="24"/>
        </w:rPr>
        <w:t xml:space="preserve"> en </w:t>
      </w:r>
      <w:r w:rsidR="00845D10" w:rsidRPr="00121A6A">
        <w:rPr>
          <w:sz w:val="24"/>
          <w:szCs w:val="24"/>
        </w:rPr>
        <w:t xml:space="preserve">dat </w:t>
      </w:r>
      <w:r w:rsidR="00B9621D" w:rsidRPr="00121A6A">
        <w:rPr>
          <w:sz w:val="24"/>
          <w:szCs w:val="24"/>
        </w:rPr>
        <w:t>sprake is van ‘rechterlijk activisme’</w:t>
      </w:r>
      <w:r w:rsidR="0033393D" w:rsidRPr="00121A6A">
        <w:rPr>
          <w:sz w:val="24"/>
          <w:szCs w:val="24"/>
        </w:rPr>
        <w:t>.</w:t>
      </w:r>
      <w:r w:rsidR="00D10335" w:rsidRPr="00121A6A">
        <w:rPr>
          <w:rStyle w:val="FootnoteReference"/>
          <w:sz w:val="24"/>
          <w:szCs w:val="24"/>
        </w:rPr>
        <w:footnoteReference w:id="194"/>
      </w:r>
      <w:r w:rsidR="0033393D" w:rsidRPr="00121A6A">
        <w:rPr>
          <w:sz w:val="24"/>
          <w:szCs w:val="24"/>
        </w:rPr>
        <w:t xml:space="preserve"> </w:t>
      </w:r>
      <w:r w:rsidR="00424AC0" w:rsidRPr="00121A6A">
        <w:rPr>
          <w:sz w:val="24"/>
          <w:szCs w:val="24"/>
        </w:rPr>
        <w:t>Tot</w:t>
      </w:r>
      <w:r w:rsidR="006D24B4" w:rsidRPr="00121A6A">
        <w:rPr>
          <w:sz w:val="24"/>
          <w:szCs w:val="24"/>
        </w:rPr>
        <w:t xml:space="preserve"> </w:t>
      </w:r>
      <w:r w:rsidR="00424AC0" w:rsidRPr="00121A6A">
        <w:rPr>
          <w:sz w:val="24"/>
          <w:szCs w:val="24"/>
        </w:rPr>
        <w:t xml:space="preserve">slot </w:t>
      </w:r>
      <w:r w:rsidR="006D24B4" w:rsidRPr="00121A6A">
        <w:rPr>
          <w:sz w:val="24"/>
          <w:szCs w:val="24"/>
        </w:rPr>
        <w:t>heeft h</w:t>
      </w:r>
      <w:r w:rsidR="000B6396" w:rsidRPr="00121A6A">
        <w:rPr>
          <w:sz w:val="24"/>
          <w:szCs w:val="24"/>
        </w:rPr>
        <w:t>et</w:t>
      </w:r>
      <w:r w:rsidR="0033393D" w:rsidRPr="00121A6A">
        <w:rPr>
          <w:sz w:val="24"/>
          <w:szCs w:val="24"/>
        </w:rPr>
        <w:t xml:space="preserve"> intern</w:t>
      </w:r>
      <w:r w:rsidR="000B6396" w:rsidRPr="00121A6A">
        <w:rPr>
          <w:sz w:val="24"/>
          <w:szCs w:val="24"/>
        </w:rPr>
        <w:t>e</w:t>
      </w:r>
      <w:r w:rsidR="0033393D" w:rsidRPr="00121A6A">
        <w:rPr>
          <w:sz w:val="24"/>
          <w:szCs w:val="24"/>
        </w:rPr>
        <w:t xml:space="preserve"> conflict binnen de ILO</w:t>
      </w:r>
      <w:r w:rsidR="000B6396" w:rsidRPr="00121A6A">
        <w:rPr>
          <w:sz w:val="24"/>
          <w:szCs w:val="24"/>
        </w:rPr>
        <w:t xml:space="preserve"> </w:t>
      </w:r>
      <w:r w:rsidR="0033393D" w:rsidRPr="00121A6A">
        <w:rPr>
          <w:sz w:val="24"/>
          <w:szCs w:val="24"/>
        </w:rPr>
        <w:t xml:space="preserve">ertoe geleid dat de methodologie van het EHRM </w:t>
      </w:r>
      <w:r w:rsidR="006D24B4" w:rsidRPr="00121A6A">
        <w:rPr>
          <w:sz w:val="24"/>
          <w:szCs w:val="24"/>
        </w:rPr>
        <w:t xml:space="preserve">(verder) </w:t>
      </w:r>
      <w:r w:rsidR="0033393D" w:rsidRPr="00121A6A">
        <w:rPr>
          <w:sz w:val="24"/>
          <w:szCs w:val="24"/>
        </w:rPr>
        <w:t>onder druk is komen te staan.</w:t>
      </w:r>
      <w:r w:rsidR="0033393D" w:rsidRPr="00121A6A">
        <w:rPr>
          <w:rStyle w:val="FootnoteReference"/>
          <w:sz w:val="24"/>
          <w:szCs w:val="24"/>
        </w:rPr>
        <w:footnoteReference w:id="195"/>
      </w:r>
    </w:p>
    <w:p w14:paraId="5C655AE7" w14:textId="3483FAD2" w:rsidR="002439D3" w:rsidRPr="00121A6A" w:rsidRDefault="002439D3" w:rsidP="00DD729D">
      <w:pPr>
        <w:spacing w:after="0"/>
        <w:ind w:firstLine="708"/>
        <w:jc w:val="both"/>
        <w:rPr>
          <w:sz w:val="24"/>
          <w:szCs w:val="24"/>
        </w:rPr>
      </w:pPr>
      <w:r w:rsidRPr="00121A6A">
        <w:rPr>
          <w:sz w:val="24"/>
          <w:szCs w:val="24"/>
        </w:rPr>
        <w:t>Welke weg het EHRM uiteindelijk ook inslaat</w:t>
      </w:r>
      <w:r w:rsidR="00823FFC">
        <w:rPr>
          <w:sz w:val="24"/>
          <w:szCs w:val="24"/>
        </w:rPr>
        <w:t>,</w:t>
      </w:r>
      <w:r w:rsidR="00C51027" w:rsidRPr="00121A6A">
        <w:rPr>
          <w:rStyle w:val="FootnoteReference"/>
          <w:sz w:val="24"/>
          <w:szCs w:val="24"/>
        </w:rPr>
        <w:footnoteReference w:id="196"/>
      </w:r>
      <w:r w:rsidR="00D04A1E" w:rsidRPr="00121A6A">
        <w:rPr>
          <w:sz w:val="24"/>
          <w:szCs w:val="24"/>
        </w:rPr>
        <w:t xml:space="preserve"> </w:t>
      </w:r>
      <w:r w:rsidR="00FA1D9A">
        <w:rPr>
          <w:sz w:val="24"/>
          <w:szCs w:val="24"/>
        </w:rPr>
        <w:t xml:space="preserve">vast staat dat </w:t>
      </w:r>
      <w:r w:rsidR="001E14C0">
        <w:rPr>
          <w:sz w:val="24"/>
          <w:szCs w:val="24"/>
        </w:rPr>
        <w:t>zijn</w:t>
      </w:r>
      <w:r w:rsidR="00DD729D" w:rsidRPr="00121A6A">
        <w:rPr>
          <w:sz w:val="24"/>
          <w:szCs w:val="24"/>
        </w:rPr>
        <w:t xml:space="preserve"> stakingsrechtspraak </w:t>
      </w:r>
      <w:r w:rsidR="00D04A1E" w:rsidRPr="00121A6A">
        <w:rPr>
          <w:sz w:val="24"/>
          <w:szCs w:val="24"/>
        </w:rPr>
        <w:t xml:space="preserve">op gespannen voet </w:t>
      </w:r>
      <w:r w:rsidR="00FA1D9A" w:rsidRPr="00121A6A">
        <w:rPr>
          <w:sz w:val="24"/>
          <w:szCs w:val="24"/>
        </w:rPr>
        <w:t xml:space="preserve">staat </w:t>
      </w:r>
      <w:r w:rsidR="00DD729D" w:rsidRPr="00121A6A">
        <w:rPr>
          <w:sz w:val="24"/>
          <w:szCs w:val="24"/>
        </w:rPr>
        <w:t xml:space="preserve">met </w:t>
      </w:r>
      <w:r w:rsidR="00A82B1C" w:rsidRPr="00121A6A">
        <w:rPr>
          <w:sz w:val="24"/>
          <w:szCs w:val="24"/>
        </w:rPr>
        <w:t>de rechtspraak</w:t>
      </w:r>
      <w:r w:rsidR="00DD729D" w:rsidRPr="00121A6A">
        <w:rPr>
          <w:sz w:val="24"/>
          <w:szCs w:val="24"/>
        </w:rPr>
        <w:t xml:space="preserve"> van het HvJ</w:t>
      </w:r>
      <w:r w:rsidR="00D04A1E" w:rsidRPr="00121A6A">
        <w:rPr>
          <w:sz w:val="24"/>
          <w:szCs w:val="24"/>
        </w:rPr>
        <w:t>. Dit, terwijl</w:t>
      </w:r>
      <w:r w:rsidR="00DD729D" w:rsidRPr="00121A6A">
        <w:rPr>
          <w:sz w:val="24"/>
          <w:szCs w:val="24"/>
        </w:rPr>
        <w:t xml:space="preserve"> </w:t>
      </w:r>
      <w:r w:rsidR="00DB26EE" w:rsidRPr="00121A6A">
        <w:rPr>
          <w:sz w:val="24"/>
          <w:szCs w:val="24"/>
        </w:rPr>
        <w:t>artikel 6 VEU en de artikel</w:t>
      </w:r>
      <w:r w:rsidR="00DF11C0" w:rsidRPr="00121A6A">
        <w:rPr>
          <w:sz w:val="24"/>
          <w:szCs w:val="24"/>
        </w:rPr>
        <w:t>en 52 lid 3 en 53 Hv</w:t>
      </w:r>
      <w:r w:rsidR="00D04A1E" w:rsidRPr="00121A6A">
        <w:rPr>
          <w:sz w:val="24"/>
          <w:szCs w:val="24"/>
        </w:rPr>
        <w:t xml:space="preserve"> juist expliciet en </w:t>
      </w:r>
      <w:r w:rsidR="00165635">
        <w:rPr>
          <w:sz w:val="24"/>
          <w:szCs w:val="24"/>
        </w:rPr>
        <w:t xml:space="preserve">juridisch </w:t>
      </w:r>
      <w:r w:rsidR="00D04A1E" w:rsidRPr="00121A6A">
        <w:rPr>
          <w:sz w:val="24"/>
          <w:szCs w:val="24"/>
        </w:rPr>
        <w:t>bindend voor</w:t>
      </w:r>
      <w:r w:rsidR="00DD729D" w:rsidRPr="00121A6A">
        <w:rPr>
          <w:sz w:val="24"/>
          <w:szCs w:val="24"/>
        </w:rPr>
        <w:t xml:space="preserve">schrijven </w:t>
      </w:r>
      <w:r w:rsidR="00DF11C0" w:rsidRPr="00121A6A">
        <w:rPr>
          <w:sz w:val="24"/>
          <w:szCs w:val="24"/>
        </w:rPr>
        <w:t>dat</w:t>
      </w:r>
      <w:r w:rsidR="00647DD2" w:rsidRPr="00121A6A">
        <w:rPr>
          <w:sz w:val="24"/>
          <w:szCs w:val="24"/>
        </w:rPr>
        <w:t xml:space="preserve"> het </w:t>
      </w:r>
      <w:r w:rsidR="006B7EC1" w:rsidRPr="00121A6A">
        <w:rPr>
          <w:sz w:val="24"/>
          <w:szCs w:val="24"/>
        </w:rPr>
        <w:t>HvJ</w:t>
      </w:r>
      <w:r w:rsidR="00647DD2" w:rsidRPr="00121A6A">
        <w:rPr>
          <w:sz w:val="24"/>
          <w:szCs w:val="24"/>
        </w:rPr>
        <w:t xml:space="preserve"> bij de interpretatie </w:t>
      </w:r>
      <w:r w:rsidR="00647DD2" w:rsidRPr="00121A6A">
        <w:rPr>
          <w:sz w:val="24"/>
          <w:szCs w:val="24"/>
        </w:rPr>
        <w:lastRenderedPageBreak/>
        <w:t>van</w:t>
      </w:r>
      <w:r w:rsidR="00DF11C0" w:rsidRPr="00121A6A">
        <w:rPr>
          <w:sz w:val="24"/>
          <w:szCs w:val="24"/>
        </w:rPr>
        <w:t xml:space="preserve"> </w:t>
      </w:r>
      <w:r w:rsidR="00513429" w:rsidRPr="00121A6A">
        <w:rPr>
          <w:sz w:val="24"/>
          <w:szCs w:val="24"/>
        </w:rPr>
        <w:t>Uniegrondrechten</w:t>
      </w:r>
      <w:r w:rsidR="00DF11C0" w:rsidRPr="00121A6A">
        <w:rPr>
          <w:sz w:val="24"/>
          <w:szCs w:val="24"/>
        </w:rPr>
        <w:t xml:space="preserve"> </w:t>
      </w:r>
      <w:r w:rsidR="00926EB1" w:rsidRPr="00121A6A">
        <w:rPr>
          <w:sz w:val="24"/>
          <w:szCs w:val="24"/>
        </w:rPr>
        <w:t xml:space="preserve">(artikel 28 Hv) </w:t>
      </w:r>
      <w:r w:rsidR="00DF11C0" w:rsidRPr="00121A6A">
        <w:rPr>
          <w:sz w:val="24"/>
          <w:szCs w:val="24"/>
        </w:rPr>
        <w:t>ten minste dezelfde waarborg</w:t>
      </w:r>
      <w:r w:rsidR="001D66C8" w:rsidRPr="00121A6A">
        <w:rPr>
          <w:sz w:val="24"/>
          <w:szCs w:val="24"/>
        </w:rPr>
        <w:t>en</w:t>
      </w:r>
      <w:r w:rsidR="00DF11C0" w:rsidRPr="00121A6A">
        <w:rPr>
          <w:sz w:val="24"/>
          <w:szCs w:val="24"/>
        </w:rPr>
        <w:t xml:space="preserve"> </w:t>
      </w:r>
      <w:r w:rsidR="001D2334" w:rsidRPr="00121A6A">
        <w:rPr>
          <w:sz w:val="24"/>
          <w:szCs w:val="24"/>
        </w:rPr>
        <w:t>moet</w:t>
      </w:r>
      <w:r w:rsidR="00DF11C0" w:rsidRPr="00121A6A">
        <w:rPr>
          <w:sz w:val="24"/>
          <w:szCs w:val="24"/>
        </w:rPr>
        <w:t xml:space="preserve"> bieden als </w:t>
      </w:r>
      <w:r w:rsidR="00647DD2" w:rsidRPr="00121A6A">
        <w:rPr>
          <w:sz w:val="24"/>
          <w:szCs w:val="24"/>
        </w:rPr>
        <w:t>met het Handvest</w:t>
      </w:r>
      <w:r w:rsidR="00513429" w:rsidRPr="00121A6A">
        <w:rPr>
          <w:sz w:val="24"/>
          <w:szCs w:val="24"/>
        </w:rPr>
        <w:t xml:space="preserve"> corresponderende EVRM-rechten</w:t>
      </w:r>
      <w:r w:rsidR="00647DD2" w:rsidRPr="00121A6A">
        <w:rPr>
          <w:sz w:val="24"/>
          <w:szCs w:val="24"/>
        </w:rPr>
        <w:t xml:space="preserve"> </w:t>
      </w:r>
      <w:r w:rsidR="00926EB1" w:rsidRPr="00121A6A">
        <w:rPr>
          <w:sz w:val="24"/>
          <w:szCs w:val="24"/>
        </w:rPr>
        <w:t xml:space="preserve">(artikel 11 EVRM) </w:t>
      </w:r>
      <w:r w:rsidR="00647DD2" w:rsidRPr="00121A6A">
        <w:rPr>
          <w:sz w:val="24"/>
          <w:szCs w:val="24"/>
        </w:rPr>
        <w:t>zoals uitgelegd door het EHRM</w:t>
      </w:r>
      <w:r w:rsidR="00513429" w:rsidRPr="00121A6A">
        <w:rPr>
          <w:sz w:val="24"/>
          <w:szCs w:val="24"/>
        </w:rPr>
        <w:t xml:space="preserve">. </w:t>
      </w:r>
      <w:r w:rsidR="00804F18">
        <w:rPr>
          <w:sz w:val="24"/>
          <w:szCs w:val="24"/>
        </w:rPr>
        <w:t>Bovendien moet de EU op de</w:t>
      </w:r>
      <w:r w:rsidR="00B93EF1">
        <w:rPr>
          <w:sz w:val="24"/>
          <w:szCs w:val="24"/>
        </w:rPr>
        <w:t>n</w:t>
      </w:r>
      <w:r w:rsidR="00804F18">
        <w:rPr>
          <w:sz w:val="24"/>
          <w:szCs w:val="24"/>
        </w:rPr>
        <w:t xml:space="preserve"> duur toetreden tot het EVRM. </w:t>
      </w:r>
      <w:r w:rsidR="00647DD2" w:rsidRPr="00121A6A">
        <w:rPr>
          <w:sz w:val="24"/>
          <w:szCs w:val="24"/>
        </w:rPr>
        <w:t xml:space="preserve">Daarnaast kan artikel 53 Hv aldus worden gelezen dat het </w:t>
      </w:r>
      <w:r w:rsidR="006B7EC1" w:rsidRPr="00121A6A">
        <w:rPr>
          <w:sz w:val="24"/>
          <w:szCs w:val="24"/>
        </w:rPr>
        <w:t>HvJ</w:t>
      </w:r>
      <w:r w:rsidR="00647DD2" w:rsidRPr="00121A6A">
        <w:rPr>
          <w:sz w:val="24"/>
          <w:szCs w:val="24"/>
        </w:rPr>
        <w:t xml:space="preserve"> tevens</w:t>
      </w:r>
      <w:r w:rsidR="00FE4D3E" w:rsidRPr="00121A6A">
        <w:rPr>
          <w:sz w:val="24"/>
          <w:szCs w:val="24"/>
        </w:rPr>
        <w:t xml:space="preserve"> </w:t>
      </w:r>
      <w:r w:rsidR="00647DD2" w:rsidRPr="00121A6A">
        <w:rPr>
          <w:sz w:val="24"/>
          <w:szCs w:val="24"/>
        </w:rPr>
        <w:t xml:space="preserve">acht </w:t>
      </w:r>
      <w:r w:rsidR="001D2334" w:rsidRPr="00121A6A">
        <w:rPr>
          <w:sz w:val="24"/>
          <w:szCs w:val="24"/>
        </w:rPr>
        <w:t>zou moeten</w:t>
      </w:r>
      <w:r w:rsidR="00647DD2" w:rsidRPr="00121A6A">
        <w:rPr>
          <w:sz w:val="24"/>
          <w:szCs w:val="24"/>
        </w:rPr>
        <w:t xml:space="preserve"> slaan op </w:t>
      </w:r>
      <w:r w:rsidR="00F84ABA" w:rsidRPr="00121A6A">
        <w:rPr>
          <w:sz w:val="24"/>
          <w:szCs w:val="24"/>
        </w:rPr>
        <w:t xml:space="preserve">ILO-Verdrag 87 en </w:t>
      </w:r>
      <w:r w:rsidR="00B93EF1">
        <w:rPr>
          <w:sz w:val="24"/>
          <w:szCs w:val="24"/>
        </w:rPr>
        <w:t>het</w:t>
      </w:r>
      <w:r w:rsidR="00647DD2" w:rsidRPr="00121A6A">
        <w:rPr>
          <w:sz w:val="24"/>
          <w:szCs w:val="24"/>
        </w:rPr>
        <w:t xml:space="preserve"> ESH, zoals geïnterpreteerd door </w:t>
      </w:r>
      <w:r w:rsidR="00F84ABA" w:rsidRPr="00121A6A">
        <w:rPr>
          <w:sz w:val="24"/>
          <w:szCs w:val="24"/>
        </w:rPr>
        <w:t xml:space="preserve">de </w:t>
      </w:r>
      <w:proofErr w:type="spellStart"/>
      <w:r w:rsidR="00F84ABA" w:rsidRPr="00121A6A">
        <w:rPr>
          <w:sz w:val="24"/>
          <w:szCs w:val="24"/>
        </w:rPr>
        <w:t>CoE</w:t>
      </w:r>
      <w:proofErr w:type="spellEnd"/>
      <w:r w:rsidR="00F84ABA" w:rsidRPr="00121A6A">
        <w:rPr>
          <w:sz w:val="24"/>
          <w:szCs w:val="24"/>
        </w:rPr>
        <w:t xml:space="preserve">/CFA respectievelijk </w:t>
      </w:r>
      <w:r w:rsidR="00647DD2" w:rsidRPr="00121A6A">
        <w:rPr>
          <w:sz w:val="24"/>
          <w:szCs w:val="24"/>
        </w:rPr>
        <w:t>het ECSR</w:t>
      </w:r>
      <w:r w:rsidR="006B7EC1" w:rsidRPr="00121A6A">
        <w:rPr>
          <w:sz w:val="24"/>
          <w:szCs w:val="24"/>
        </w:rPr>
        <w:t xml:space="preserve">. </w:t>
      </w:r>
      <w:r w:rsidR="00234D49">
        <w:rPr>
          <w:sz w:val="24"/>
          <w:szCs w:val="24"/>
        </w:rPr>
        <w:t>D</w:t>
      </w:r>
      <w:r w:rsidR="00A736B8" w:rsidRPr="00121A6A">
        <w:rPr>
          <w:sz w:val="24"/>
          <w:szCs w:val="24"/>
        </w:rPr>
        <w:t xml:space="preserve">e toetsingskaders van </w:t>
      </w:r>
      <w:r w:rsidRPr="00121A6A">
        <w:rPr>
          <w:sz w:val="24"/>
          <w:szCs w:val="24"/>
        </w:rPr>
        <w:t xml:space="preserve">deze </w:t>
      </w:r>
      <w:r w:rsidR="00070E4D">
        <w:rPr>
          <w:sz w:val="24"/>
          <w:szCs w:val="24"/>
        </w:rPr>
        <w:t>instanties</w:t>
      </w:r>
      <w:r w:rsidR="00234D49">
        <w:rPr>
          <w:sz w:val="24"/>
          <w:szCs w:val="24"/>
        </w:rPr>
        <w:t xml:space="preserve"> zouden dus</w:t>
      </w:r>
      <w:r w:rsidRPr="00121A6A">
        <w:rPr>
          <w:sz w:val="24"/>
          <w:szCs w:val="24"/>
        </w:rPr>
        <w:t xml:space="preserve"> </w:t>
      </w:r>
      <w:r w:rsidR="00C41E53" w:rsidRPr="00121A6A">
        <w:rPr>
          <w:sz w:val="24"/>
          <w:szCs w:val="24"/>
        </w:rPr>
        <w:t>verstrekkende</w:t>
      </w:r>
      <w:r w:rsidR="00A736B8" w:rsidRPr="00121A6A">
        <w:rPr>
          <w:sz w:val="24"/>
          <w:szCs w:val="24"/>
        </w:rPr>
        <w:t xml:space="preserve"> invloed moeten hebben op het </w:t>
      </w:r>
      <w:r w:rsidR="00070E4D">
        <w:rPr>
          <w:sz w:val="24"/>
          <w:szCs w:val="24"/>
        </w:rPr>
        <w:t>toetsings</w:t>
      </w:r>
      <w:r w:rsidR="00A736B8" w:rsidRPr="00121A6A">
        <w:rPr>
          <w:sz w:val="24"/>
          <w:szCs w:val="24"/>
        </w:rPr>
        <w:t>kader van het HvJ</w:t>
      </w:r>
      <w:r w:rsidR="00784903" w:rsidRPr="00121A6A">
        <w:rPr>
          <w:sz w:val="24"/>
          <w:szCs w:val="24"/>
        </w:rPr>
        <w:t>.</w:t>
      </w:r>
    </w:p>
    <w:p w14:paraId="32B5F942" w14:textId="5BF35C29" w:rsidR="00DC38DA" w:rsidRDefault="002439D3" w:rsidP="0008549E">
      <w:pPr>
        <w:spacing w:after="0"/>
        <w:ind w:firstLine="708"/>
        <w:jc w:val="both"/>
        <w:rPr>
          <w:sz w:val="24"/>
          <w:szCs w:val="24"/>
        </w:rPr>
      </w:pPr>
      <w:r w:rsidRPr="00121A6A">
        <w:rPr>
          <w:sz w:val="24"/>
          <w:szCs w:val="24"/>
        </w:rPr>
        <w:t>D</w:t>
      </w:r>
      <w:r w:rsidR="00A736B8" w:rsidRPr="00121A6A">
        <w:rPr>
          <w:sz w:val="24"/>
          <w:szCs w:val="24"/>
        </w:rPr>
        <w:t xml:space="preserve">e vraag </w:t>
      </w:r>
      <w:r w:rsidRPr="00121A6A">
        <w:rPr>
          <w:sz w:val="24"/>
          <w:szCs w:val="24"/>
        </w:rPr>
        <w:t xml:space="preserve">is echter </w:t>
      </w:r>
      <w:r w:rsidR="00091C75" w:rsidRPr="00121A6A">
        <w:rPr>
          <w:sz w:val="24"/>
          <w:szCs w:val="24"/>
        </w:rPr>
        <w:t>welke invloed</w:t>
      </w:r>
      <w:r w:rsidR="00A736B8" w:rsidRPr="00121A6A">
        <w:rPr>
          <w:sz w:val="24"/>
          <w:szCs w:val="24"/>
        </w:rPr>
        <w:t xml:space="preserve"> </w:t>
      </w:r>
      <w:r w:rsidR="003A4757" w:rsidRPr="00121A6A">
        <w:rPr>
          <w:sz w:val="24"/>
          <w:szCs w:val="24"/>
        </w:rPr>
        <w:t>de internationale</w:t>
      </w:r>
      <w:r w:rsidR="00A736B8" w:rsidRPr="00121A6A">
        <w:rPr>
          <w:sz w:val="24"/>
          <w:szCs w:val="24"/>
        </w:rPr>
        <w:t xml:space="preserve"> </w:t>
      </w:r>
      <w:r w:rsidRPr="00121A6A">
        <w:rPr>
          <w:sz w:val="24"/>
          <w:szCs w:val="24"/>
        </w:rPr>
        <w:t>toetsings</w:t>
      </w:r>
      <w:r w:rsidR="00A736B8" w:rsidRPr="00121A6A">
        <w:rPr>
          <w:sz w:val="24"/>
          <w:szCs w:val="24"/>
        </w:rPr>
        <w:t xml:space="preserve">kaders </w:t>
      </w:r>
      <w:r w:rsidR="004802CF" w:rsidRPr="00121A6A">
        <w:rPr>
          <w:sz w:val="24"/>
          <w:szCs w:val="24"/>
        </w:rPr>
        <w:t xml:space="preserve">naar huidig recht </w:t>
      </w:r>
      <w:r w:rsidR="00784903" w:rsidRPr="00121A6A">
        <w:rPr>
          <w:sz w:val="24"/>
          <w:szCs w:val="24"/>
        </w:rPr>
        <w:t>daadwerkelijk</w:t>
      </w:r>
      <w:r w:rsidR="00091C75" w:rsidRPr="00121A6A">
        <w:rPr>
          <w:sz w:val="24"/>
          <w:szCs w:val="24"/>
        </w:rPr>
        <w:t xml:space="preserve"> hebben op </w:t>
      </w:r>
      <w:r w:rsidR="002D635E" w:rsidRPr="00121A6A">
        <w:rPr>
          <w:sz w:val="24"/>
          <w:szCs w:val="24"/>
        </w:rPr>
        <w:t xml:space="preserve">de stakingsrechtspraak </w:t>
      </w:r>
      <w:r w:rsidR="005A2548" w:rsidRPr="00121A6A">
        <w:rPr>
          <w:sz w:val="24"/>
          <w:szCs w:val="24"/>
        </w:rPr>
        <w:t>uit Luxemburg</w:t>
      </w:r>
      <w:r w:rsidR="00A736B8" w:rsidRPr="00121A6A">
        <w:rPr>
          <w:sz w:val="24"/>
          <w:szCs w:val="24"/>
        </w:rPr>
        <w:t xml:space="preserve">. </w:t>
      </w:r>
      <w:bookmarkStart w:id="74" w:name="_Hlk163548332"/>
      <w:r w:rsidR="00520CCE" w:rsidRPr="00121A6A">
        <w:rPr>
          <w:sz w:val="24"/>
          <w:szCs w:val="24"/>
        </w:rPr>
        <w:t>Naar mijn idee</w:t>
      </w:r>
      <w:r w:rsidR="00091C75" w:rsidRPr="00121A6A">
        <w:rPr>
          <w:sz w:val="24"/>
          <w:szCs w:val="24"/>
        </w:rPr>
        <w:t xml:space="preserve"> vormen </w:t>
      </w:r>
      <w:r w:rsidR="00A65911" w:rsidRPr="00121A6A">
        <w:rPr>
          <w:sz w:val="24"/>
          <w:szCs w:val="24"/>
        </w:rPr>
        <w:t>d</w:t>
      </w:r>
      <w:r w:rsidR="00C96141" w:rsidRPr="00121A6A">
        <w:rPr>
          <w:sz w:val="24"/>
          <w:szCs w:val="24"/>
        </w:rPr>
        <w:t xml:space="preserve">e besproken </w:t>
      </w:r>
      <w:r w:rsidR="007061BD" w:rsidRPr="00121A6A">
        <w:rPr>
          <w:sz w:val="24"/>
          <w:szCs w:val="24"/>
        </w:rPr>
        <w:t>ontwikkelingen</w:t>
      </w:r>
      <w:r w:rsidR="00C96141" w:rsidRPr="00121A6A">
        <w:rPr>
          <w:sz w:val="24"/>
          <w:szCs w:val="24"/>
        </w:rPr>
        <w:t xml:space="preserve"> in de stakings</w:t>
      </w:r>
      <w:r w:rsidR="007061BD" w:rsidRPr="00121A6A">
        <w:rPr>
          <w:sz w:val="24"/>
          <w:szCs w:val="24"/>
        </w:rPr>
        <w:t>jurisprudentie</w:t>
      </w:r>
      <w:r w:rsidR="00C96141" w:rsidRPr="00121A6A">
        <w:rPr>
          <w:sz w:val="24"/>
          <w:szCs w:val="24"/>
        </w:rPr>
        <w:t xml:space="preserve"> van het EHRM</w:t>
      </w:r>
      <w:r w:rsidR="007061BD" w:rsidRPr="00121A6A">
        <w:rPr>
          <w:sz w:val="24"/>
          <w:szCs w:val="24"/>
        </w:rPr>
        <w:t xml:space="preserve">, </w:t>
      </w:r>
      <w:r w:rsidR="000606AB" w:rsidRPr="00121A6A">
        <w:rPr>
          <w:sz w:val="24"/>
          <w:szCs w:val="24"/>
        </w:rPr>
        <w:t>die zich allen hebben voorgedaan</w:t>
      </w:r>
      <w:r w:rsidR="00091C75" w:rsidRPr="00121A6A">
        <w:rPr>
          <w:sz w:val="24"/>
          <w:szCs w:val="24"/>
        </w:rPr>
        <w:t xml:space="preserve"> ná </w:t>
      </w:r>
      <w:r w:rsidR="00091C75" w:rsidRPr="00121A6A">
        <w:rPr>
          <w:i/>
          <w:iCs/>
          <w:sz w:val="24"/>
          <w:szCs w:val="24"/>
        </w:rPr>
        <w:t xml:space="preserve">Viking </w:t>
      </w:r>
      <w:r w:rsidR="00091C75" w:rsidRPr="00121A6A">
        <w:rPr>
          <w:sz w:val="24"/>
          <w:szCs w:val="24"/>
        </w:rPr>
        <w:t xml:space="preserve">en </w:t>
      </w:r>
      <w:r w:rsidR="00091C75" w:rsidRPr="00121A6A">
        <w:rPr>
          <w:i/>
          <w:iCs/>
          <w:sz w:val="24"/>
          <w:szCs w:val="24"/>
        </w:rPr>
        <w:t>Laval</w:t>
      </w:r>
      <w:r w:rsidR="00091C75" w:rsidRPr="00121A6A">
        <w:rPr>
          <w:sz w:val="24"/>
          <w:szCs w:val="24"/>
        </w:rPr>
        <w:t xml:space="preserve">, </w:t>
      </w:r>
      <w:bookmarkEnd w:id="74"/>
      <w:r w:rsidR="002466B0" w:rsidRPr="00121A6A">
        <w:rPr>
          <w:sz w:val="24"/>
          <w:szCs w:val="24"/>
        </w:rPr>
        <w:t>tezamen</w:t>
      </w:r>
      <w:r w:rsidR="00091C75" w:rsidRPr="00121A6A">
        <w:rPr>
          <w:sz w:val="24"/>
          <w:szCs w:val="24"/>
        </w:rPr>
        <w:t xml:space="preserve"> met de kritieken van de </w:t>
      </w:r>
      <w:proofErr w:type="spellStart"/>
      <w:r w:rsidR="00091C75" w:rsidRPr="00121A6A">
        <w:rPr>
          <w:sz w:val="24"/>
          <w:szCs w:val="24"/>
        </w:rPr>
        <w:t>CoE</w:t>
      </w:r>
      <w:proofErr w:type="spellEnd"/>
      <w:r w:rsidR="00091C75" w:rsidRPr="00121A6A">
        <w:rPr>
          <w:sz w:val="24"/>
          <w:szCs w:val="24"/>
        </w:rPr>
        <w:t xml:space="preserve">/CFA en het ECSR op </w:t>
      </w:r>
      <w:r w:rsidR="00281847" w:rsidRPr="00121A6A">
        <w:rPr>
          <w:sz w:val="24"/>
          <w:szCs w:val="24"/>
        </w:rPr>
        <w:t xml:space="preserve">de impact van </w:t>
      </w:r>
      <w:r w:rsidR="00091C75" w:rsidRPr="00121A6A">
        <w:rPr>
          <w:i/>
          <w:iCs/>
          <w:sz w:val="24"/>
          <w:szCs w:val="24"/>
        </w:rPr>
        <w:t xml:space="preserve">Viking </w:t>
      </w:r>
      <w:r w:rsidR="00091C75" w:rsidRPr="00121A6A">
        <w:rPr>
          <w:sz w:val="24"/>
          <w:szCs w:val="24"/>
        </w:rPr>
        <w:t xml:space="preserve">en </w:t>
      </w:r>
      <w:r w:rsidR="00091C75" w:rsidRPr="00121A6A">
        <w:rPr>
          <w:i/>
          <w:iCs/>
          <w:sz w:val="24"/>
          <w:szCs w:val="24"/>
        </w:rPr>
        <w:t>Laval</w:t>
      </w:r>
      <w:r w:rsidR="00091C75" w:rsidRPr="00121A6A">
        <w:rPr>
          <w:sz w:val="24"/>
          <w:szCs w:val="24"/>
        </w:rPr>
        <w:t xml:space="preserve">, </w:t>
      </w:r>
      <w:r w:rsidR="00BB44B8" w:rsidRPr="00121A6A">
        <w:rPr>
          <w:sz w:val="24"/>
          <w:szCs w:val="24"/>
        </w:rPr>
        <w:t xml:space="preserve">ten opzichte van de in hoofdstuk </w:t>
      </w:r>
      <w:r w:rsidR="00D064CC">
        <w:rPr>
          <w:sz w:val="24"/>
          <w:szCs w:val="24"/>
        </w:rPr>
        <w:t>2</w:t>
      </w:r>
      <w:r w:rsidR="00BB44B8" w:rsidRPr="00121A6A">
        <w:rPr>
          <w:sz w:val="24"/>
          <w:szCs w:val="24"/>
        </w:rPr>
        <w:t xml:space="preserve"> besproken ontwikkelingen </w:t>
      </w:r>
      <w:r w:rsidR="00091C75" w:rsidRPr="00121A6A">
        <w:rPr>
          <w:sz w:val="24"/>
          <w:szCs w:val="24"/>
        </w:rPr>
        <w:t xml:space="preserve">extra argumenten om te betogen dat de </w:t>
      </w:r>
      <w:r w:rsidR="00091C75" w:rsidRPr="00121A6A">
        <w:rPr>
          <w:i/>
          <w:iCs/>
          <w:sz w:val="24"/>
          <w:szCs w:val="24"/>
        </w:rPr>
        <w:t>ultimum remedium</w:t>
      </w:r>
      <w:r w:rsidR="00091C75" w:rsidRPr="00121A6A">
        <w:rPr>
          <w:sz w:val="24"/>
          <w:szCs w:val="24"/>
        </w:rPr>
        <w:t xml:space="preserve">-toets uit </w:t>
      </w:r>
      <w:r w:rsidR="00091C75" w:rsidRPr="00121A6A">
        <w:rPr>
          <w:i/>
          <w:iCs/>
          <w:sz w:val="24"/>
          <w:szCs w:val="24"/>
        </w:rPr>
        <w:t>Viking</w:t>
      </w:r>
      <w:r w:rsidR="00091C75" w:rsidRPr="00121A6A">
        <w:rPr>
          <w:sz w:val="24"/>
          <w:szCs w:val="24"/>
        </w:rPr>
        <w:t xml:space="preserve"> anno 2024 achterhaald is. </w:t>
      </w:r>
      <w:r w:rsidR="007B2DF5" w:rsidRPr="00121A6A">
        <w:rPr>
          <w:sz w:val="24"/>
          <w:szCs w:val="24"/>
        </w:rPr>
        <w:t xml:space="preserve">Vanuit dit perspectief kan worden bepleit dat </w:t>
      </w:r>
      <w:r w:rsidR="00EE1C06" w:rsidRPr="00121A6A">
        <w:rPr>
          <w:sz w:val="24"/>
          <w:szCs w:val="24"/>
        </w:rPr>
        <w:t xml:space="preserve">het </w:t>
      </w:r>
      <w:r w:rsidR="00A67918" w:rsidRPr="00121A6A">
        <w:rPr>
          <w:sz w:val="24"/>
          <w:szCs w:val="24"/>
        </w:rPr>
        <w:t>HvJ</w:t>
      </w:r>
      <w:r w:rsidR="00EE1C06" w:rsidRPr="00121A6A">
        <w:rPr>
          <w:sz w:val="24"/>
          <w:szCs w:val="24"/>
        </w:rPr>
        <w:t xml:space="preserve"> thans </w:t>
      </w:r>
      <w:r w:rsidR="00F14435" w:rsidRPr="00121A6A">
        <w:rPr>
          <w:sz w:val="24"/>
          <w:szCs w:val="24"/>
        </w:rPr>
        <w:t xml:space="preserve">waarschijnlijk </w:t>
      </w:r>
      <w:r w:rsidR="002B2E3F" w:rsidRPr="00121A6A">
        <w:rPr>
          <w:sz w:val="24"/>
          <w:szCs w:val="24"/>
        </w:rPr>
        <w:t xml:space="preserve">een ‘dubbele proportionaliteitstoets’ zou hanteren en </w:t>
      </w:r>
      <w:r w:rsidR="00C02355" w:rsidRPr="00121A6A">
        <w:rPr>
          <w:sz w:val="24"/>
          <w:szCs w:val="24"/>
        </w:rPr>
        <w:t>aan</w:t>
      </w:r>
      <w:r w:rsidR="000E634F" w:rsidRPr="00121A6A">
        <w:rPr>
          <w:sz w:val="24"/>
          <w:szCs w:val="24"/>
        </w:rPr>
        <w:t xml:space="preserve"> vakbonden en</w:t>
      </w:r>
      <w:r w:rsidR="007B2DF5" w:rsidRPr="00121A6A">
        <w:rPr>
          <w:sz w:val="24"/>
          <w:szCs w:val="24"/>
        </w:rPr>
        <w:t xml:space="preserve"> nationale </w:t>
      </w:r>
      <w:r w:rsidR="00C33356" w:rsidRPr="00121A6A">
        <w:rPr>
          <w:sz w:val="24"/>
          <w:szCs w:val="24"/>
        </w:rPr>
        <w:t>autoriteiten</w:t>
      </w:r>
      <w:r w:rsidR="00F2638F" w:rsidRPr="00121A6A">
        <w:rPr>
          <w:sz w:val="24"/>
          <w:szCs w:val="24"/>
        </w:rPr>
        <w:t xml:space="preserve"> (enige)</w:t>
      </w:r>
      <w:r w:rsidR="000E634F" w:rsidRPr="00121A6A">
        <w:rPr>
          <w:sz w:val="24"/>
          <w:szCs w:val="24"/>
        </w:rPr>
        <w:t xml:space="preserve"> </w:t>
      </w:r>
      <w:r w:rsidR="007B2DF5" w:rsidRPr="00121A6A">
        <w:rPr>
          <w:sz w:val="24"/>
          <w:szCs w:val="24"/>
        </w:rPr>
        <w:t>discretionaire vrijheid</w:t>
      </w:r>
      <w:r w:rsidR="000E634F" w:rsidRPr="00121A6A">
        <w:rPr>
          <w:sz w:val="24"/>
          <w:szCs w:val="24"/>
        </w:rPr>
        <w:t xml:space="preserve"> </w:t>
      </w:r>
      <w:r w:rsidR="00C76AFF" w:rsidRPr="00121A6A">
        <w:rPr>
          <w:sz w:val="24"/>
          <w:szCs w:val="24"/>
        </w:rPr>
        <w:t xml:space="preserve">zou </w:t>
      </w:r>
      <w:r w:rsidR="00D3709B">
        <w:rPr>
          <w:sz w:val="24"/>
          <w:szCs w:val="24"/>
        </w:rPr>
        <w:t>gunnen</w:t>
      </w:r>
      <w:r w:rsidR="00F721D6" w:rsidRPr="00121A6A">
        <w:rPr>
          <w:sz w:val="24"/>
          <w:szCs w:val="24"/>
        </w:rPr>
        <w:t xml:space="preserve"> bij de concrete invulling </w:t>
      </w:r>
      <w:r w:rsidR="002B2E3F" w:rsidRPr="00121A6A">
        <w:rPr>
          <w:sz w:val="24"/>
          <w:szCs w:val="24"/>
        </w:rPr>
        <w:t>daarvan</w:t>
      </w:r>
      <w:r w:rsidR="00D94835" w:rsidRPr="00121A6A">
        <w:rPr>
          <w:sz w:val="24"/>
          <w:szCs w:val="24"/>
        </w:rPr>
        <w:t>.</w:t>
      </w:r>
      <w:r w:rsidR="00D94835" w:rsidRPr="00121A6A">
        <w:rPr>
          <w:rStyle w:val="FootnoteReference"/>
          <w:sz w:val="24"/>
          <w:szCs w:val="24"/>
        </w:rPr>
        <w:footnoteReference w:id="197"/>
      </w:r>
      <w:r w:rsidR="00EE1C06" w:rsidRPr="00121A6A">
        <w:rPr>
          <w:sz w:val="24"/>
          <w:szCs w:val="24"/>
        </w:rPr>
        <w:t xml:space="preserve"> </w:t>
      </w:r>
      <w:bookmarkStart w:id="75" w:name="_Hlk163555970"/>
      <w:r w:rsidR="00847171" w:rsidRPr="00121A6A">
        <w:rPr>
          <w:sz w:val="24"/>
          <w:szCs w:val="24"/>
        </w:rPr>
        <w:t>Toch ben ik er niet zeker van dat</w:t>
      </w:r>
      <w:r w:rsidR="00325453" w:rsidRPr="00121A6A">
        <w:rPr>
          <w:sz w:val="24"/>
          <w:szCs w:val="24"/>
        </w:rPr>
        <w:t xml:space="preserve"> de rechtspraak van het EHRM</w:t>
      </w:r>
      <w:r w:rsidR="00FA4E54">
        <w:rPr>
          <w:sz w:val="24"/>
          <w:szCs w:val="24"/>
        </w:rPr>
        <w:t xml:space="preserve">, laat staan de interpretaties van de </w:t>
      </w:r>
      <w:proofErr w:type="spellStart"/>
      <w:r w:rsidR="00FA4E54">
        <w:rPr>
          <w:sz w:val="24"/>
          <w:szCs w:val="24"/>
        </w:rPr>
        <w:t>CoE</w:t>
      </w:r>
      <w:proofErr w:type="spellEnd"/>
      <w:r w:rsidR="00FA4E54">
        <w:rPr>
          <w:sz w:val="24"/>
          <w:szCs w:val="24"/>
        </w:rPr>
        <w:t>/CFA en het ECSR,</w:t>
      </w:r>
      <w:r w:rsidR="00325453" w:rsidRPr="00121A6A">
        <w:rPr>
          <w:sz w:val="24"/>
          <w:szCs w:val="24"/>
        </w:rPr>
        <w:t xml:space="preserve"> </w:t>
      </w:r>
      <w:r w:rsidR="00EE1C06" w:rsidRPr="00121A6A">
        <w:rPr>
          <w:sz w:val="24"/>
          <w:szCs w:val="24"/>
        </w:rPr>
        <w:t xml:space="preserve">het </w:t>
      </w:r>
      <w:r w:rsidR="009F1DC8" w:rsidRPr="00121A6A">
        <w:rPr>
          <w:sz w:val="24"/>
          <w:szCs w:val="24"/>
        </w:rPr>
        <w:t>HvJ</w:t>
      </w:r>
      <w:r w:rsidR="00932B5F" w:rsidRPr="00121A6A">
        <w:rPr>
          <w:sz w:val="24"/>
          <w:szCs w:val="24"/>
        </w:rPr>
        <w:t xml:space="preserve"> ertoe </w:t>
      </w:r>
      <w:r w:rsidR="001020DF">
        <w:rPr>
          <w:sz w:val="24"/>
          <w:szCs w:val="24"/>
        </w:rPr>
        <w:t>zullen</w:t>
      </w:r>
      <w:r w:rsidR="00932B5F" w:rsidRPr="00121A6A">
        <w:rPr>
          <w:sz w:val="24"/>
          <w:szCs w:val="24"/>
        </w:rPr>
        <w:t xml:space="preserve"> aanzetten</w:t>
      </w:r>
      <w:r w:rsidR="00847171" w:rsidRPr="00121A6A">
        <w:rPr>
          <w:sz w:val="24"/>
          <w:szCs w:val="24"/>
        </w:rPr>
        <w:t xml:space="preserve"> zijn </w:t>
      </w:r>
      <w:r w:rsidR="00847171" w:rsidRPr="00121A6A">
        <w:rPr>
          <w:i/>
          <w:iCs/>
          <w:sz w:val="24"/>
          <w:szCs w:val="24"/>
        </w:rPr>
        <w:t>ultimum remedium</w:t>
      </w:r>
      <w:r w:rsidR="00847171" w:rsidRPr="00121A6A">
        <w:rPr>
          <w:sz w:val="24"/>
          <w:szCs w:val="24"/>
        </w:rPr>
        <w:t xml:space="preserve">-eis </w:t>
      </w:r>
      <w:r w:rsidR="00932B5F" w:rsidRPr="00121A6A">
        <w:rPr>
          <w:sz w:val="24"/>
          <w:szCs w:val="24"/>
        </w:rPr>
        <w:t>te</w:t>
      </w:r>
      <w:r w:rsidR="00847171" w:rsidRPr="00121A6A">
        <w:rPr>
          <w:sz w:val="24"/>
          <w:szCs w:val="24"/>
        </w:rPr>
        <w:t xml:space="preserve"> laten varen</w:t>
      </w:r>
      <w:bookmarkEnd w:id="75"/>
      <w:r w:rsidR="00EE1C06" w:rsidRPr="00121A6A">
        <w:rPr>
          <w:sz w:val="24"/>
          <w:szCs w:val="24"/>
        </w:rPr>
        <w:t>.</w:t>
      </w:r>
      <w:r w:rsidR="00FD4ED8" w:rsidRPr="00121A6A">
        <w:rPr>
          <w:sz w:val="24"/>
          <w:szCs w:val="24"/>
        </w:rPr>
        <w:t xml:space="preserve"> O</w:t>
      </w:r>
      <w:r w:rsidR="00325453" w:rsidRPr="00121A6A">
        <w:rPr>
          <w:sz w:val="24"/>
          <w:szCs w:val="24"/>
        </w:rPr>
        <w:t xml:space="preserve">nderzoek </w:t>
      </w:r>
      <w:r w:rsidR="00FD4ED8" w:rsidRPr="00121A6A">
        <w:rPr>
          <w:sz w:val="24"/>
          <w:szCs w:val="24"/>
        </w:rPr>
        <w:t>heeft</w:t>
      </w:r>
      <w:r w:rsidR="009F1DC8" w:rsidRPr="00121A6A">
        <w:rPr>
          <w:sz w:val="24"/>
          <w:szCs w:val="24"/>
        </w:rPr>
        <w:t xml:space="preserve"> immers</w:t>
      </w:r>
      <w:r w:rsidR="00FD4ED8" w:rsidRPr="00121A6A">
        <w:rPr>
          <w:sz w:val="24"/>
          <w:szCs w:val="24"/>
        </w:rPr>
        <w:t xml:space="preserve"> aangetoond dat in de jurisprudentie van het HvJ een tendens bestaat om Handvestbepalingen los van </w:t>
      </w:r>
      <w:r w:rsidR="00F27A9A">
        <w:rPr>
          <w:sz w:val="24"/>
          <w:szCs w:val="24"/>
        </w:rPr>
        <w:t xml:space="preserve">de </w:t>
      </w:r>
      <w:r w:rsidR="00FD4ED8" w:rsidRPr="00121A6A">
        <w:rPr>
          <w:sz w:val="24"/>
          <w:szCs w:val="24"/>
        </w:rPr>
        <w:t>rechtspraak van het EHRM te interpreteren.</w:t>
      </w:r>
      <w:r w:rsidR="009F1DC8" w:rsidRPr="00121A6A">
        <w:rPr>
          <w:rStyle w:val="FootnoteReference"/>
          <w:sz w:val="24"/>
          <w:szCs w:val="24"/>
        </w:rPr>
        <w:footnoteReference w:id="198"/>
      </w:r>
      <w:r w:rsidR="0094677D" w:rsidRPr="00121A6A">
        <w:rPr>
          <w:sz w:val="24"/>
          <w:szCs w:val="24"/>
        </w:rPr>
        <w:t xml:space="preserve"> Nu bovendien de</w:t>
      </w:r>
      <w:r w:rsidR="00285D49" w:rsidRPr="00121A6A">
        <w:rPr>
          <w:sz w:val="24"/>
          <w:szCs w:val="24"/>
        </w:rPr>
        <w:t xml:space="preserve"> </w:t>
      </w:r>
      <w:r w:rsidR="00812E8D" w:rsidRPr="00812E8D">
        <w:rPr>
          <w:sz w:val="24"/>
          <w:szCs w:val="24"/>
        </w:rPr>
        <w:t xml:space="preserve">op (ander) internationaal recht gerichte </w:t>
      </w:r>
      <w:r w:rsidR="00285D49" w:rsidRPr="00121A6A">
        <w:rPr>
          <w:sz w:val="24"/>
          <w:szCs w:val="24"/>
        </w:rPr>
        <w:t>interpretatiemethode van het EHRM</w:t>
      </w:r>
      <w:r w:rsidR="0094677D" w:rsidRPr="00121A6A">
        <w:rPr>
          <w:sz w:val="24"/>
          <w:szCs w:val="24"/>
        </w:rPr>
        <w:t xml:space="preserve"> ter discussie staat, </w:t>
      </w:r>
      <w:bookmarkStart w:id="76" w:name="_Hlk155969300"/>
      <w:r w:rsidR="0094677D" w:rsidRPr="00121A6A">
        <w:rPr>
          <w:sz w:val="24"/>
          <w:szCs w:val="24"/>
        </w:rPr>
        <w:t xml:space="preserve">is </w:t>
      </w:r>
      <w:r w:rsidR="00210C84" w:rsidRPr="00121A6A">
        <w:rPr>
          <w:sz w:val="24"/>
          <w:szCs w:val="24"/>
        </w:rPr>
        <w:t xml:space="preserve">het </w:t>
      </w:r>
      <w:r w:rsidR="0094677D" w:rsidRPr="00121A6A">
        <w:rPr>
          <w:sz w:val="24"/>
          <w:szCs w:val="24"/>
        </w:rPr>
        <w:t>zeer wel mogelijk dat het HvJ</w:t>
      </w:r>
      <w:r w:rsidR="005623A2" w:rsidRPr="00121A6A">
        <w:rPr>
          <w:sz w:val="24"/>
          <w:szCs w:val="24"/>
        </w:rPr>
        <w:t xml:space="preserve"> </w:t>
      </w:r>
      <w:r w:rsidR="00501EE1" w:rsidRPr="00121A6A">
        <w:rPr>
          <w:sz w:val="24"/>
          <w:szCs w:val="24"/>
        </w:rPr>
        <w:t xml:space="preserve">terughoudend </w:t>
      </w:r>
      <w:r w:rsidR="00FC6CF2" w:rsidRPr="00121A6A">
        <w:rPr>
          <w:sz w:val="24"/>
          <w:szCs w:val="24"/>
        </w:rPr>
        <w:t>zal zijn</w:t>
      </w:r>
      <w:r w:rsidR="00501EE1" w:rsidRPr="00121A6A">
        <w:rPr>
          <w:sz w:val="24"/>
          <w:szCs w:val="24"/>
        </w:rPr>
        <w:t xml:space="preserve"> om eenzelfde benadering te hanteren</w:t>
      </w:r>
      <w:r w:rsidR="005623A2" w:rsidRPr="00121A6A">
        <w:rPr>
          <w:sz w:val="24"/>
          <w:szCs w:val="24"/>
        </w:rPr>
        <w:t xml:space="preserve">. </w:t>
      </w:r>
      <w:r w:rsidR="006B314C" w:rsidRPr="00121A6A">
        <w:rPr>
          <w:sz w:val="24"/>
          <w:szCs w:val="24"/>
        </w:rPr>
        <w:t xml:space="preserve">Dit, </w:t>
      </w:r>
      <w:r w:rsidR="00CC14E2">
        <w:rPr>
          <w:sz w:val="24"/>
          <w:szCs w:val="24"/>
        </w:rPr>
        <w:t>ondanks</w:t>
      </w:r>
      <w:r w:rsidR="006B314C" w:rsidRPr="00121A6A">
        <w:rPr>
          <w:sz w:val="24"/>
          <w:szCs w:val="24"/>
        </w:rPr>
        <w:t xml:space="preserve"> dat </w:t>
      </w:r>
      <w:r w:rsidR="00BA2938">
        <w:rPr>
          <w:sz w:val="24"/>
          <w:szCs w:val="24"/>
        </w:rPr>
        <w:t xml:space="preserve">het </w:t>
      </w:r>
      <w:r w:rsidR="006B314C" w:rsidRPr="00121A6A">
        <w:rPr>
          <w:sz w:val="24"/>
          <w:szCs w:val="24"/>
        </w:rPr>
        <w:t>primair</w:t>
      </w:r>
      <w:r w:rsidR="00BA2938">
        <w:rPr>
          <w:sz w:val="24"/>
          <w:szCs w:val="24"/>
        </w:rPr>
        <w:t>e</w:t>
      </w:r>
      <w:r w:rsidR="006B314C" w:rsidRPr="00121A6A">
        <w:rPr>
          <w:sz w:val="24"/>
          <w:szCs w:val="24"/>
        </w:rPr>
        <w:t xml:space="preserve"> Unierecht, in tegenstelling tot het EVRM</w:t>
      </w:r>
      <w:r w:rsidR="002B2E3F" w:rsidRPr="00121A6A">
        <w:rPr>
          <w:sz w:val="24"/>
          <w:szCs w:val="24"/>
        </w:rPr>
        <w:t>,</w:t>
      </w:r>
      <w:r w:rsidR="006B314C" w:rsidRPr="00121A6A">
        <w:rPr>
          <w:sz w:val="24"/>
          <w:szCs w:val="24"/>
        </w:rPr>
        <w:t xml:space="preserve"> wél een adequate rechtsgrondslag bied</w:t>
      </w:r>
      <w:r w:rsidR="00824B8F" w:rsidRPr="00121A6A">
        <w:rPr>
          <w:sz w:val="24"/>
          <w:szCs w:val="24"/>
        </w:rPr>
        <w:t>t</w:t>
      </w:r>
      <w:r w:rsidR="006B314C" w:rsidRPr="00121A6A">
        <w:rPr>
          <w:sz w:val="24"/>
          <w:szCs w:val="24"/>
        </w:rPr>
        <w:t xml:space="preserve"> voor een </w:t>
      </w:r>
      <w:r w:rsidR="00285D49" w:rsidRPr="00121A6A">
        <w:rPr>
          <w:sz w:val="24"/>
          <w:szCs w:val="24"/>
        </w:rPr>
        <w:t>dergelijke interpretatiemethode</w:t>
      </w:r>
      <w:r w:rsidR="00462489" w:rsidRPr="00121A6A">
        <w:rPr>
          <w:sz w:val="24"/>
          <w:szCs w:val="24"/>
        </w:rPr>
        <w:t xml:space="preserve"> en </w:t>
      </w:r>
      <w:r w:rsidR="004F40B5" w:rsidRPr="00121A6A">
        <w:rPr>
          <w:sz w:val="24"/>
          <w:szCs w:val="24"/>
        </w:rPr>
        <w:t xml:space="preserve">met </w:t>
      </w:r>
      <w:r w:rsidR="00285D49" w:rsidRPr="00121A6A">
        <w:rPr>
          <w:sz w:val="24"/>
          <w:szCs w:val="24"/>
        </w:rPr>
        <w:t xml:space="preserve">zo’n </w:t>
      </w:r>
      <w:r w:rsidR="00462489" w:rsidRPr="00121A6A">
        <w:rPr>
          <w:sz w:val="24"/>
          <w:szCs w:val="24"/>
        </w:rPr>
        <w:t>methodiek een coherent juridisch kader</w:t>
      </w:r>
      <w:r w:rsidR="004F40B5" w:rsidRPr="00121A6A">
        <w:rPr>
          <w:sz w:val="24"/>
          <w:szCs w:val="24"/>
        </w:rPr>
        <w:t xml:space="preserve"> kan worden nagestreefd</w:t>
      </w:r>
      <w:r w:rsidR="00462489" w:rsidRPr="00121A6A">
        <w:rPr>
          <w:sz w:val="24"/>
          <w:szCs w:val="24"/>
        </w:rPr>
        <w:t>.</w:t>
      </w:r>
      <w:bookmarkEnd w:id="76"/>
      <w:r w:rsidR="00462489" w:rsidRPr="00121A6A">
        <w:rPr>
          <w:rStyle w:val="FootnoteReference"/>
          <w:sz w:val="24"/>
          <w:szCs w:val="24"/>
        </w:rPr>
        <w:footnoteReference w:id="199"/>
      </w:r>
    </w:p>
    <w:p w14:paraId="6169F7EC" w14:textId="459D25F4" w:rsidR="00D1602E" w:rsidRPr="00121A6A" w:rsidRDefault="00253270" w:rsidP="0008549E">
      <w:pPr>
        <w:spacing w:after="0"/>
        <w:ind w:firstLine="708"/>
        <w:jc w:val="both"/>
        <w:rPr>
          <w:sz w:val="24"/>
          <w:szCs w:val="24"/>
        </w:rPr>
      </w:pPr>
      <w:r w:rsidRPr="00121A6A">
        <w:rPr>
          <w:sz w:val="24"/>
          <w:szCs w:val="24"/>
        </w:rPr>
        <w:t>Ook al zou het HvJ thans</w:t>
      </w:r>
      <w:r w:rsidR="006B314C" w:rsidRPr="00121A6A">
        <w:rPr>
          <w:sz w:val="24"/>
          <w:szCs w:val="24"/>
        </w:rPr>
        <w:t xml:space="preserve"> (derhalve)</w:t>
      </w:r>
      <w:r w:rsidRPr="00121A6A">
        <w:rPr>
          <w:sz w:val="24"/>
          <w:szCs w:val="24"/>
        </w:rPr>
        <w:t xml:space="preserve"> iets zijn opgeschoven in de richting van </w:t>
      </w:r>
      <w:r w:rsidR="00AC6581" w:rsidRPr="00121A6A">
        <w:rPr>
          <w:sz w:val="24"/>
          <w:szCs w:val="24"/>
        </w:rPr>
        <w:t>het EHRM</w:t>
      </w:r>
      <w:r w:rsidRPr="00121A6A">
        <w:rPr>
          <w:sz w:val="24"/>
          <w:szCs w:val="24"/>
        </w:rPr>
        <w:t>,</w:t>
      </w:r>
      <w:r w:rsidR="00F27A9A">
        <w:rPr>
          <w:sz w:val="24"/>
          <w:szCs w:val="24"/>
        </w:rPr>
        <w:t xml:space="preserve"> de </w:t>
      </w:r>
      <w:proofErr w:type="spellStart"/>
      <w:r w:rsidR="00F27A9A">
        <w:rPr>
          <w:sz w:val="24"/>
          <w:szCs w:val="24"/>
        </w:rPr>
        <w:t>CoE</w:t>
      </w:r>
      <w:proofErr w:type="spellEnd"/>
      <w:r w:rsidR="00F27A9A">
        <w:rPr>
          <w:sz w:val="24"/>
          <w:szCs w:val="24"/>
        </w:rPr>
        <w:t>/CFA en het ECSR,</w:t>
      </w:r>
      <w:r w:rsidRPr="00121A6A">
        <w:rPr>
          <w:sz w:val="24"/>
          <w:szCs w:val="24"/>
        </w:rPr>
        <w:t xml:space="preserve"> </w:t>
      </w:r>
      <w:bookmarkStart w:id="77" w:name="_Hlk163651024"/>
      <w:r w:rsidRPr="00121A6A">
        <w:rPr>
          <w:sz w:val="24"/>
          <w:szCs w:val="24"/>
        </w:rPr>
        <w:t>nog steeds</w:t>
      </w:r>
      <w:r w:rsidR="004A56D7" w:rsidRPr="00121A6A">
        <w:rPr>
          <w:sz w:val="24"/>
          <w:szCs w:val="24"/>
        </w:rPr>
        <w:t xml:space="preserve"> is</w:t>
      </w:r>
      <w:r w:rsidR="006B314C" w:rsidRPr="00121A6A">
        <w:rPr>
          <w:sz w:val="24"/>
          <w:szCs w:val="24"/>
        </w:rPr>
        <w:t xml:space="preserve"> mijns inziens</w:t>
      </w:r>
      <w:r w:rsidR="004A56D7" w:rsidRPr="00121A6A">
        <w:rPr>
          <w:sz w:val="24"/>
          <w:szCs w:val="24"/>
        </w:rPr>
        <w:t xml:space="preserve"> geen sprake van een gelijk afwegingskader</w:t>
      </w:r>
      <w:r w:rsidR="001020DF">
        <w:rPr>
          <w:sz w:val="24"/>
          <w:szCs w:val="24"/>
        </w:rPr>
        <w:t>.</w:t>
      </w:r>
      <w:r w:rsidR="00C76A61">
        <w:rPr>
          <w:sz w:val="24"/>
          <w:szCs w:val="24"/>
        </w:rPr>
        <w:t xml:space="preserve"> </w:t>
      </w:r>
      <w:r w:rsidR="001020DF">
        <w:rPr>
          <w:sz w:val="24"/>
          <w:szCs w:val="24"/>
        </w:rPr>
        <w:t>H</w:t>
      </w:r>
      <w:r w:rsidR="00DD7474" w:rsidRPr="00121A6A">
        <w:rPr>
          <w:sz w:val="24"/>
          <w:szCs w:val="24"/>
        </w:rPr>
        <w:t xml:space="preserve">et </w:t>
      </w:r>
      <w:r w:rsidR="00F75622" w:rsidRPr="00121A6A">
        <w:rPr>
          <w:sz w:val="24"/>
          <w:szCs w:val="24"/>
        </w:rPr>
        <w:t xml:space="preserve">verschillende </w:t>
      </w:r>
      <w:r w:rsidR="00DD7474" w:rsidRPr="00121A6A">
        <w:rPr>
          <w:sz w:val="24"/>
          <w:szCs w:val="24"/>
        </w:rPr>
        <w:t xml:space="preserve">vertrekpunt van toetsing </w:t>
      </w:r>
      <w:r w:rsidR="00F75622" w:rsidRPr="00121A6A">
        <w:rPr>
          <w:sz w:val="24"/>
          <w:szCs w:val="24"/>
        </w:rPr>
        <w:t>(</w:t>
      </w:r>
      <w:r w:rsidR="00AB355F" w:rsidRPr="00121A6A">
        <w:rPr>
          <w:sz w:val="24"/>
          <w:szCs w:val="24"/>
        </w:rPr>
        <w:t xml:space="preserve">marktvrijheden versus stakingsrecht) </w:t>
      </w:r>
      <w:r w:rsidR="00DD7474" w:rsidRPr="00121A6A">
        <w:rPr>
          <w:sz w:val="24"/>
          <w:szCs w:val="24"/>
        </w:rPr>
        <w:t xml:space="preserve">is </w:t>
      </w:r>
      <w:r w:rsidR="006B314C" w:rsidRPr="00121A6A">
        <w:rPr>
          <w:sz w:val="24"/>
          <w:szCs w:val="24"/>
        </w:rPr>
        <w:t xml:space="preserve">naar ik meen </w:t>
      </w:r>
      <w:r w:rsidR="00DD7474" w:rsidRPr="00121A6A">
        <w:rPr>
          <w:sz w:val="24"/>
          <w:szCs w:val="24"/>
        </w:rPr>
        <w:t>onveranderd gebleven</w:t>
      </w:r>
      <w:bookmarkEnd w:id="77"/>
      <w:r w:rsidR="00DD7474" w:rsidRPr="00121A6A">
        <w:rPr>
          <w:sz w:val="24"/>
          <w:szCs w:val="24"/>
        </w:rPr>
        <w:t>.</w:t>
      </w:r>
      <w:r w:rsidR="002B3A0B" w:rsidRPr="00121A6A">
        <w:rPr>
          <w:rStyle w:val="FootnoteReference"/>
          <w:sz w:val="24"/>
          <w:szCs w:val="24"/>
        </w:rPr>
        <w:footnoteReference w:id="200"/>
      </w:r>
      <w:r w:rsidR="004A56D7" w:rsidRPr="00121A6A">
        <w:rPr>
          <w:sz w:val="24"/>
          <w:szCs w:val="24"/>
        </w:rPr>
        <w:t xml:space="preserve"> </w:t>
      </w:r>
      <w:r w:rsidR="00030BA6" w:rsidRPr="00121A6A">
        <w:rPr>
          <w:sz w:val="24"/>
          <w:szCs w:val="24"/>
        </w:rPr>
        <w:t>Dat houdt verband met het systeem van het Handvest</w:t>
      </w:r>
      <w:r w:rsidR="00E01632" w:rsidRPr="00121A6A">
        <w:rPr>
          <w:sz w:val="24"/>
          <w:szCs w:val="24"/>
        </w:rPr>
        <w:t xml:space="preserve"> (artikel 51 lid 1 Hv)</w:t>
      </w:r>
      <w:r w:rsidR="00030BA6" w:rsidRPr="00121A6A">
        <w:rPr>
          <w:sz w:val="24"/>
          <w:szCs w:val="24"/>
        </w:rPr>
        <w:t>, op grond waarvan Uniegrondrechten slechts gericht zijn tot</w:t>
      </w:r>
      <w:r w:rsidR="00E01632" w:rsidRPr="00121A6A">
        <w:rPr>
          <w:sz w:val="24"/>
          <w:szCs w:val="24"/>
        </w:rPr>
        <w:t xml:space="preserve"> EU-instellingen en</w:t>
      </w:r>
      <w:r w:rsidR="00030BA6" w:rsidRPr="00121A6A">
        <w:rPr>
          <w:sz w:val="24"/>
          <w:szCs w:val="24"/>
        </w:rPr>
        <w:t xml:space="preserve"> </w:t>
      </w:r>
      <w:r w:rsidR="00E01632" w:rsidRPr="00121A6A">
        <w:rPr>
          <w:sz w:val="24"/>
          <w:szCs w:val="24"/>
        </w:rPr>
        <w:t xml:space="preserve">tot </w:t>
      </w:r>
      <w:r w:rsidR="00030BA6" w:rsidRPr="00121A6A">
        <w:rPr>
          <w:sz w:val="24"/>
          <w:szCs w:val="24"/>
        </w:rPr>
        <w:t>lidstaten</w:t>
      </w:r>
      <w:r w:rsidR="00E01632" w:rsidRPr="00121A6A">
        <w:rPr>
          <w:sz w:val="24"/>
          <w:szCs w:val="24"/>
        </w:rPr>
        <w:t xml:space="preserve"> mits een</w:t>
      </w:r>
      <w:r w:rsidR="00030BA6" w:rsidRPr="00121A6A">
        <w:rPr>
          <w:sz w:val="24"/>
          <w:szCs w:val="24"/>
        </w:rPr>
        <w:t xml:space="preserve"> link met </w:t>
      </w:r>
      <w:r w:rsidR="00970AF6">
        <w:rPr>
          <w:sz w:val="24"/>
          <w:szCs w:val="24"/>
        </w:rPr>
        <w:t xml:space="preserve">(ander) </w:t>
      </w:r>
      <w:r w:rsidR="00030BA6" w:rsidRPr="00121A6A">
        <w:rPr>
          <w:sz w:val="24"/>
          <w:szCs w:val="24"/>
        </w:rPr>
        <w:t xml:space="preserve">Unierecht </w:t>
      </w:r>
      <w:r w:rsidR="00E01632" w:rsidRPr="00121A6A">
        <w:rPr>
          <w:sz w:val="24"/>
          <w:szCs w:val="24"/>
        </w:rPr>
        <w:t xml:space="preserve">aanwezig </w:t>
      </w:r>
      <w:r w:rsidR="00030BA6" w:rsidRPr="00121A6A">
        <w:rPr>
          <w:sz w:val="24"/>
          <w:szCs w:val="24"/>
        </w:rPr>
        <w:t xml:space="preserve">is. </w:t>
      </w:r>
      <w:r w:rsidR="009267EB">
        <w:rPr>
          <w:sz w:val="24"/>
          <w:szCs w:val="24"/>
        </w:rPr>
        <w:t>De vraag o</w:t>
      </w:r>
      <w:r w:rsidR="00EB1311" w:rsidRPr="00121A6A">
        <w:rPr>
          <w:sz w:val="24"/>
          <w:szCs w:val="24"/>
        </w:rPr>
        <w:t>f</w:t>
      </w:r>
      <w:r w:rsidR="00922187" w:rsidRPr="00121A6A">
        <w:rPr>
          <w:sz w:val="24"/>
          <w:szCs w:val="24"/>
        </w:rPr>
        <w:t xml:space="preserve">, en zo ja, in hoeverre, </w:t>
      </w:r>
      <w:r w:rsidR="00EB1311" w:rsidRPr="00121A6A">
        <w:rPr>
          <w:sz w:val="24"/>
          <w:szCs w:val="24"/>
        </w:rPr>
        <w:t>het HvJ</w:t>
      </w:r>
      <w:r w:rsidR="006A2B65" w:rsidRPr="00121A6A">
        <w:rPr>
          <w:sz w:val="24"/>
          <w:szCs w:val="24"/>
        </w:rPr>
        <w:t xml:space="preserve"> binnen het huidige </w:t>
      </w:r>
      <w:r w:rsidR="00C52C30" w:rsidRPr="00121A6A">
        <w:rPr>
          <w:sz w:val="24"/>
          <w:szCs w:val="24"/>
        </w:rPr>
        <w:t xml:space="preserve">Unierechtelijke </w:t>
      </w:r>
      <w:r w:rsidR="006A2B65" w:rsidRPr="00121A6A">
        <w:rPr>
          <w:sz w:val="24"/>
          <w:szCs w:val="24"/>
        </w:rPr>
        <w:t>systeem</w:t>
      </w:r>
      <w:r w:rsidR="00CC4625" w:rsidRPr="00121A6A">
        <w:rPr>
          <w:sz w:val="24"/>
          <w:szCs w:val="24"/>
        </w:rPr>
        <w:t xml:space="preserve"> voor wat betreft het uitgangspunt van toetsing</w:t>
      </w:r>
      <w:r w:rsidR="00EB1311" w:rsidRPr="00121A6A">
        <w:rPr>
          <w:sz w:val="24"/>
          <w:szCs w:val="24"/>
        </w:rPr>
        <w:t xml:space="preserve"> </w:t>
      </w:r>
      <w:r w:rsidR="00922187" w:rsidRPr="00121A6A">
        <w:rPr>
          <w:sz w:val="24"/>
          <w:szCs w:val="24"/>
        </w:rPr>
        <w:t xml:space="preserve">(meer) </w:t>
      </w:r>
      <w:r w:rsidR="00EB1311" w:rsidRPr="00121A6A">
        <w:rPr>
          <w:sz w:val="24"/>
          <w:szCs w:val="24"/>
        </w:rPr>
        <w:t xml:space="preserve">zou kunnen aansluiten </w:t>
      </w:r>
      <w:r w:rsidR="00922187" w:rsidRPr="00121A6A">
        <w:rPr>
          <w:sz w:val="24"/>
          <w:szCs w:val="24"/>
        </w:rPr>
        <w:t xml:space="preserve">bij </w:t>
      </w:r>
      <w:r w:rsidR="009267EB">
        <w:rPr>
          <w:sz w:val="24"/>
          <w:szCs w:val="24"/>
        </w:rPr>
        <w:t>de andere instanties</w:t>
      </w:r>
      <w:r w:rsidR="00922187" w:rsidRPr="00121A6A">
        <w:rPr>
          <w:sz w:val="24"/>
          <w:szCs w:val="24"/>
        </w:rPr>
        <w:t>, wordt besproken in het hoofdstuk</w:t>
      </w:r>
      <w:r w:rsidR="00587CB4">
        <w:rPr>
          <w:sz w:val="24"/>
          <w:szCs w:val="24"/>
        </w:rPr>
        <w:t xml:space="preserve"> hierna</w:t>
      </w:r>
      <w:r w:rsidR="00922187" w:rsidRPr="00121A6A">
        <w:rPr>
          <w:sz w:val="24"/>
          <w:szCs w:val="24"/>
        </w:rPr>
        <w:t>.</w:t>
      </w:r>
    </w:p>
    <w:bookmarkEnd w:id="73"/>
    <w:p w14:paraId="65453A60" w14:textId="7A25ABEA" w:rsidR="00BA3986" w:rsidRPr="00121A6A" w:rsidRDefault="00BA3986" w:rsidP="00E534A3">
      <w:pPr>
        <w:pStyle w:val="Heading1"/>
        <w:rPr>
          <w:szCs w:val="24"/>
        </w:rPr>
      </w:pPr>
      <w:r w:rsidRPr="00121A6A">
        <w:rPr>
          <w:szCs w:val="24"/>
        </w:rPr>
        <w:br w:type="page"/>
      </w:r>
      <w:bookmarkStart w:id="78" w:name="_Toc169963072"/>
      <w:r w:rsidRPr="00121A6A">
        <w:rPr>
          <w:szCs w:val="24"/>
        </w:rPr>
        <w:lastRenderedPageBreak/>
        <w:t>Hoofdstuk 4</w:t>
      </w:r>
      <w:r w:rsidR="009F557F" w:rsidRPr="00121A6A">
        <w:rPr>
          <w:szCs w:val="24"/>
        </w:rPr>
        <w:t>.</w:t>
      </w:r>
      <w:r w:rsidRPr="00121A6A">
        <w:rPr>
          <w:szCs w:val="24"/>
        </w:rPr>
        <w:t xml:space="preserve"> </w:t>
      </w:r>
      <w:r w:rsidR="00D33B14" w:rsidRPr="00121A6A">
        <w:rPr>
          <w:szCs w:val="24"/>
        </w:rPr>
        <w:t>Eenwording van conflicterende regimes: feit of fictie?</w:t>
      </w:r>
      <w:bookmarkEnd w:id="78"/>
    </w:p>
    <w:p w14:paraId="7BAB41E7" w14:textId="77777777" w:rsidR="00BA3986" w:rsidRPr="00121A6A" w:rsidRDefault="00BA3986" w:rsidP="00BA3986">
      <w:pPr>
        <w:spacing w:after="0"/>
        <w:jc w:val="both"/>
        <w:rPr>
          <w:sz w:val="24"/>
          <w:szCs w:val="24"/>
        </w:rPr>
      </w:pPr>
    </w:p>
    <w:p w14:paraId="10D54D96" w14:textId="048EADCB" w:rsidR="00BA3986" w:rsidRPr="00121A6A" w:rsidRDefault="00BA3986" w:rsidP="00BA3986">
      <w:pPr>
        <w:pStyle w:val="Heading2"/>
        <w:rPr>
          <w:sz w:val="24"/>
          <w:szCs w:val="24"/>
        </w:rPr>
      </w:pPr>
      <w:bookmarkStart w:id="79" w:name="_Toc169963073"/>
      <w:r w:rsidRPr="00121A6A">
        <w:rPr>
          <w:sz w:val="24"/>
          <w:szCs w:val="24"/>
        </w:rPr>
        <w:t>4.1 Inhoud</w:t>
      </w:r>
      <w:bookmarkEnd w:id="79"/>
    </w:p>
    <w:p w14:paraId="15B5CF69" w14:textId="5378F6B7" w:rsidR="00C7543D" w:rsidRPr="00121A6A" w:rsidRDefault="00786D1E" w:rsidP="00D00F28">
      <w:pPr>
        <w:spacing w:after="0"/>
        <w:jc w:val="both"/>
        <w:rPr>
          <w:sz w:val="24"/>
          <w:szCs w:val="24"/>
        </w:rPr>
      </w:pPr>
      <w:r w:rsidRPr="00121A6A">
        <w:rPr>
          <w:sz w:val="24"/>
          <w:szCs w:val="24"/>
        </w:rPr>
        <w:t xml:space="preserve">Dit </w:t>
      </w:r>
      <w:r w:rsidR="00957D82" w:rsidRPr="00121A6A">
        <w:rPr>
          <w:sz w:val="24"/>
          <w:szCs w:val="24"/>
        </w:rPr>
        <w:t xml:space="preserve">laatste </w:t>
      </w:r>
      <w:r w:rsidRPr="00121A6A">
        <w:rPr>
          <w:sz w:val="24"/>
          <w:szCs w:val="24"/>
        </w:rPr>
        <w:t>hoofdstuk staat in het teken van de vraag</w:t>
      </w:r>
      <w:r w:rsidR="001E612C" w:rsidRPr="00121A6A">
        <w:rPr>
          <w:sz w:val="24"/>
          <w:szCs w:val="24"/>
        </w:rPr>
        <w:t xml:space="preserve"> </w:t>
      </w:r>
      <w:r w:rsidR="001C2F0D" w:rsidRPr="00121A6A">
        <w:rPr>
          <w:sz w:val="24"/>
          <w:szCs w:val="24"/>
        </w:rPr>
        <w:t>welke ruimte binnen het huidige Unierechtelijke (grondrechten)systeem bestaat om</w:t>
      </w:r>
      <w:r w:rsidR="00CF484A" w:rsidRPr="00121A6A">
        <w:rPr>
          <w:sz w:val="24"/>
          <w:szCs w:val="24"/>
        </w:rPr>
        <w:t>, conform de artikelen 52 lid 3 en 53 Hv,</w:t>
      </w:r>
      <w:r w:rsidR="00CB41B6" w:rsidRPr="00121A6A">
        <w:rPr>
          <w:sz w:val="24"/>
          <w:szCs w:val="24"/>
        </w:rPr>
        <w:t xml:space="preserve"> </w:t>
      </w:r>
      <w:r w:rsidR="00957D82" w:rsidRPr="00121A6A">
        <w:rPr>
          <w:sz w:val="24"/>
          <w:szCs w:val="24"/>
        </w:rPr>
        <w:t xml:space="preserve">het </w:t>
      </w:r>
      <w:r w:rsidR="00383397" w:rsidRPr="00121A6A">
        <w:rPr>
          <w:sz w:val="24"/>
          <w:szCs w:val="24"/>
        </w:rPr>
        <w:t>op de interne markt gerichte</w:t>
      </w:r>
      <w:r w:rsidR="00EE19D7" w:rsidRPr="00121A6A">
        <w:rPr>
          <w:sz w:val="24"/>
          <w:szCs w:val="24"/>
        </w:rPr>
        <w:t xml:space="preserve"> </w:t>
      </w:r>
      <w:r w:rsidR="00383397" w:rsidRPr="00121A6A">
        <w:rPr>
          <w:sz w:val="24"/>
          <w:szCs w:val="24"/>
        </w:rPr>
        <w:t xml:space="preserve">stakingskader van </w:t>
      </w:r>
      <w:r w:rsidR="003F03A9" w:rsidRPr="00121A6A">
        <w:rPr>
          <w:sz w:val="24"/>
          <w:szCs w:val="24"/>
        </w:rPr>
        <w:t>het HvJ</w:t>
      </w:r>
      <w:r w:rsidR="001C2F0D" w:rsidRPr="00121A6A">
        <w:rPr>
          <w:sz w:val="24"/>
          <w:szCs w:val="24"/>
        </w:rPr>
        <w:t xml:space="preserve"> </w:t>
      </w:r>
      <w:r w:rsidR="00150B47" w:rsidRPr="00121A6A">
        <w:rPr>
          <w:sz w:val="24"/>
          <w:szCs w:val="24"/>
        </w:rPr>
        <w:t xml:space="preserve">(meer) </w:t>
      </w:r>
      <w:r w:rsidR="00CB41B6" w:rsidRPr="00121A6A">
        <w:rPr>
          <w:sz w:val="24"/>
          <w:szCs w:val="24"/>
        </w:rPr>
        <w:t xml:space="preserve">te laten </w:t>
      </w:r>
      <w:r w:rsidR="001C2F0D" w:rsidRPr="00121A6A">
        <w:rPr>
          <w:sz w:val="24"/>
          <w:szCs w:val="24"/>
        </w:rPr>
        <w:t xml:space="preserve">aansluiten bij </w:t>
      </w:r>
      <w:r w:rsidR="003F03A9" w:rsidRPr="00121A6A">
        <w:rPr>
          <w:sz w:val="24"/>
          <w:szCs w:val="24"/>
        </w:rPr>
        <w:t xml:space="preserve">het kader van het EHRM, de </w:t>
      </w:r>
      <w:proofErr w:type="spellStart"/>
      <w:r w:rsidR="003F03A9" w:rsidRPr="00121A6A">
        <w:rPr>
          <w:sz w:val="24"/>
          <w:szCs w:val="24"/>
        </w:rPr>
        <w:t>CoE</w:t>
      </w:r>
      <w:proofErr w:type="spellEnd"/>
      <w:r w:rsidR="003F03A9" w:rsidRPr="00121A6A">
        <w:rPr>
          <w:sz w:val="24"/>
          <w:szCs w:val="24"/>
        </w:rPr>
        <w:t>/CFA en het ECSR</w:t>
      </w:r>
      <w:r w:rsidR="00957D82" w:rsidRPr="00121A6A">
        <w:rPr>
          <w:sz w:val="24"/>
          <w:szCs w:val="24"/>
        </w:rPr>
        <w:t>.</w:t>
      </w:r>
      <w:r w:rsidR="00006058" w:rsidRPr="00121A6A">
        <w:rPr>
          <w:sz w:val="24"/>
          <w:szCs w:val="24"/>
        </w:rPr>
        <w:t xml:space="preserve"> </w:t>
      </w:r>
      <w:r w:rsidR="00C7543D" w:rsidRPr="00121A6A">
        <w:rPr>
          <w:sz w:val="24"/>
          <w:szCs w:val="24"/>
        </w:rPr>
        <w:t xml:space="preserve">De focus ligt daarbij op de beperkte invulling die in </w:t>
      </w:r>
      <w:r w:rsidR="00C7543D" w:rsidRPr="00121A6A">
        <w:rPr>
          <w:i/>
          <w:iCs/>
          <w:sz w:val="24"/>
          <w:szCs w:val="24"/>
        </w:rPr>
        <w:t>Viking</w:t>
      </w:r>
      <w:r w:rsidR="00587CB4" w:rsidRPr="00587CB4">
        <w:rPr>
          <w:sz w:val="24"/>
          <w:szCs w:val="24"/>
        </w:rPr>
        <w:t xml:space="preserve"> </w:t>
      </w:r>
      <w:r w:rsidR="00587CB4" w:rsidRPr="00121A6A">
        <w:rPr>
          <w:sz w:val="24"/>
          <w:szCs w:val="24"/>
        </w:rPr>
        <w:t xml:space="preserve">middels de </w:t>
      </w:r>
      <w:r w:rsidR="00587CB4" w:rsidRPr="00121A6A">
        <w:rPr>
          <w:i/>
          <w:iCs/>
          <w:sz w:val="24"/>
          <w:szCs w:val="24"/>
        </w:rPr>
        <w:t>ultimum remedium</w:t>
      </w:r>
      <w:r w:rsidR="00587CB4" w:rsidRPr="00121A6A">
        <w:rPr>
          <w:sz w:val="24"/>
          <w:szCs w:val="24"/>
        </w:rPr>
        <w:t xml:space="preserve">-eis </w:t>
      </w:r>
      <w:r w:rsidR="00C7543D" w:rsidRPr="00121A6A">
        <w:rPr>
          <w:sz w:val="24"/>
          <w:szCs w:val="24"/>
        </w:rPr>
        <w:t>aan het stakingsrecht is gegeven, aangezien ik</w:t>
      </w:r>
      <w:r w:rsidR="00056FD7" w:rsidRPr="00121A6A">
        <w:rPr>
          <w:sz w:val="24"/>
          <w:szCs w:val="24"/>
        </w:rPr>
        <w:t>,</w:t>
      </w:r>
      <w:r w:rsidR="00C7543D" w:rsidRPr="00121A6A">
        <w:rPr>
          <w:sz w:val="24"/>
          <w:szCs w:val="24"/>
        </w:rPr>
        <w:t xml:space="preserve"> als gezegd (par. 2.</w:t>
      </w:r>
      <w:r w:rsidR="00981A1E" w:rsidRPr="00121A6A">
        <w:rPr>
          <w:sz w:val="24"/>
          <w:szCs w:val="24"/>
        </w:rPr>
        <w:t>3</w:t>
      </w:r>
      <w:r w:rsidR="00C7543D" w:rsidRPr="00121A6A">
        <w:rPr>
          <w:sz w:val="24"/>
          <w:szCs w:val="24"/>
        </w:rPr>
        <w:t>)</w:t>
      </w:r>
      <w:r w:rsidR="00056FD7" w:rsidRPr="00121A6A">
        <w:rPr>
          <w:sz w:val="24"/>
          <w:szCs w:val="24"/>
        </w:rPr>
        <w:t>,</w:t>
      </w:r>
      <w:r w:rsidR="00C7543D" w:rsidRPr="00121A6A">
        <w:rPr>
          <w:sz w:val="24"/>
          <w:szCs w:val="24"/>
        </w:rPr>
        <w:t xml:space="preserve"> niet verwacht dat het Hof zal terugkomen op zijn beslissing in </w:t>
      </w:r>
      <w:r w:rsidR="00C7543D" w:rsidRPr="00121A6A">
        <w:rPr>
          <w:i/>
          <w:iCs/>
          <w:sz w:val="24"/>
          <w:szCs w:val="24"/>
        </w:rPr>
        <w:t>Laval</w:t>
      </w:r>
      <w:r w:rsidR="00981A1E" w:rsidRPr="00121A6A">
        <w:rPr>
          <w:sz w:val="24"/>
          <w:szCs w:val="24"/>
        </w:rPr>
        <w:t>.</w:t>
      </w:r>
      <w:r w:rsidR="00750F46" w:rsidRPr="00121A6A">
        <w:rPr>
          <w:sz w:val="24"/>
          <w:szCs w:val="24"/>
        </w:rPr>
        <w:t xml:space="preserve"> </w:t>
      </w:r>
      <w:r w:rsidR="00D00F28" w:rsidRPr="00121A6A">
        <w:rPr>
          <w:sz w:val="24"/>
          <w:szCs w:val="24"/>
        </w:rPr>
        <w:t xml:space="preserve">Beoogd wordt te achterhalen </w:t>
      </w:r>
      <w:r w:rsidR="00750F46" w:rsidRPr="00121A6A">
        <w:rPr>
          <w:sz w:val="24"/>
          <w:szCs w:val="24"/>
        </w:rPr>
        <w:t>of</w:t>
      </w:r>
      <w:r w:rsidR="003755C0">
        <w:rPr>
          <w:sz w:val="24"/>
          <w:szCs w:val="24"/>
        </w:rPr>
        <w:t xml:space="preserve"> </w:t>
      </w:r>
      <w:r w:rsidR="00750F46" w:rsidRPr="00121A6A">
        <w:rPr>
          <w:sz w:val="24"/>
          <w:szCs w:val="24"/>
        </w:rPr>
        <w:t>het Unierechtelijke stakingsrecht bij een botsing met de vestigingsvrijheid</w:t>
      </w:r>
      <w:r w:rsidR="00324C02" w:rsidRPr="00121A6A">
        <w:rPr>
          <w:sz w:val="24"/>
          <w:szCs w:val="24"/>
        </w:rPr>
        <w:t xml:space="preserve"> – </w:t>
      </w:r>
      <w:r w:rsidR="00227120">
        <w:rPr>
          <w:sz w:val="24"/>
          <w:szCs w:val="24"/>
        </w:rPr>
        <w:t>inclusief</w:t>
      </w:r>
      <w:r w:rsidR="00324C02" w:rsidRPr="00121A6A">
        <w:rPr>
          <w:sz w:val="24"/>
          <w:szCs w:val="24"/>
        </w:rPr>
        <w:t xml:space="preserve"> de </w:t>
      </w:r>
      <w:r w:rsidR="005A1F21">
        <w:rPr>
          <w:sz w:val="24"/>
          <w:szCs w:val="24"/>
        </w:rPr>
        <w:t xml:space="preserve">daarmee samenhangende </w:t>
      </w:r>
      <w:r w:rsidR="00A60D1D" w:rsidRPr="00121A6A">
        <w:rPr>
          <w:sz w:val="24"/>
          <w:szCs w:val="24"/>
        </w:rPr>
        <w:t>vrijheid van ondernemerschap</w:t>
      </w:r>
      <w:r w:rsidR="00324C02" w:rsidRPr="00121A6A">
        <w:rPr>
          <w:sz w:val="24"/>
          <w:szCs w:val="24"/>
        </w:rPr>
        <w:t xml:space="preserve"> </w:t>
      </w:r>
      <w:r w:rsidR="005F543F" w:rsidRPr="00121A6A">
        <w:rPr>
          <w:sz w:val="24"/>
          <w:szCs w:val="24"/>
        </w:rPr>
        <w:t xml:space="preserve">(par. </w:t>
      </w:r>
      <w:r w:rsidR="00C6044D">
        <w:rPr>
          <w:sz w:val="24"/>
          <w:szCs w:val="24"/>
        </w:rPr>
        <w:t>2</w:t>
      </w:r>
      <w:r w:rsidR="002513F6" w:rsidRPr="00121A6A">
        <w:rPr>
          <w:sz w:val="24"/>
          <w:szCs w:val="24"/>
        </w:rPr>
        <w:t>.</w:t>
      </w:r>
      <w:r w:rsidR="00C6044D">
        <w:rPr>
          <w:sz w:val="24"/>
          <w:szCs w:val="24"/>
        </w:rPr>
        <w:t>4</w:t>
      </w:r>
      <w:r w:rsidR="00324C02" w:rsidRPr="00121A6A">
        <w:rPr>
          <w:sz w:val="24"/>
          <w:szCs w:val="24"/>
        </w:rPr>
        <w:t>) –</w:t>
      </w:r>
      <w:r w:rsidR="00750F46" w:rsidRPr="00121A6A">
        <w:rPr>
          <w:sz w:val="24"/>
          <w:szCs w:val="24"/>
        </w:rPr>
        <w:t xml:space="preserve"> </w:t>
      </w:r>
      <w:r w:rsidR="001106D2">
        <w:rPr>
          <w:sz w:val="24"/>
          <w:szCs w:val="24"/>
        </w:rPr>
        <w:t>net als onder</w:t>
      </w:r>
      <w:r w:rsidR="00E514B9">
        <w:rPr>
          <w:sz w:val="24"/>
          <w:szCs w:val="24"/>
        </w:rPr>
        <w:t xml:space="preserve"> artikel 11</w:t>
      </w:r>
      <w:r w:rsidR="00661CD4">
        <w:rPr>
          <w:sz w:val="24"/>
          <w:szCs w:val="24"/>
        </w:rPr>
        <w:t xml:space="preserve"> EVRM, ILO-Verdrag 87 en </w:t>
      </w:r>
      <w:r w:rsidR="00E514B9">
        <w:rPr>
          <w:sz w:val="24"/>
          <w:szCs w:val="24"/>
        </w:rPr>
        <w:t>artikel 6 lid 4</w:t>
      </w:r>
      <w:r w:rsidR="00661CD4">
        <w:rPr>
          <w:sz w:val="24"/>
          <w:szCs w:val="24"/>
        </w:rPr>
        <w:t xml:space="preserve"> ESH</w:t>
      </w:r>
      <w:r w:rsidR="00E514B9">
        <w:rPr>
          <w:sz w:val="24"/>
          <w:szCs w:val="24"/>
        </w:rPr>
        <w:t>,</w:t>
      </w:r>
      <w:r w:rsidR="00750F46" w:rsidRPr="00121A6A">
        <w:rPr>
          <w:sz w:val="24"/>
          <w:szCs w:val="24"/>
        </w:rPr>
        <w:t xml:space="preserve"> (mede) het uitgangspunt van toetsing </w:t>
      </w:r>
      <w:r w:rsidR="002513F6" w:rsidRPr="00121A6A">
        <w:rPr>
          <w:sz w:val="24"/>
          <w:szCs w:val="24"/>
        </w:rPr>
        <w:t>kan</w:t>
      </w:r>
      <w:r w:rsidR="00750F46" w:rsidRPr="00121A6A">
        <w:rPr>
          <w:sz w:val="24"/>
          <w:szCs w:val="24"/>
        </w:rPr>
        <w:t xml:space="preserve"> zijn</w:t>
      </w:r>
      <w:r w:rsidR="00D00F28" w:rsidRPr="00121A6A">
        <w:rPr>
          <w:sz w:val="24"/>
          <w:szCs w:val="24"/>
        </w:rPr>
        <w:t xml:space="preserve">. </w:t>
      </w:r>
      <w:r w:rsidR="003010F0" w:rsidRPr="00121A6A">
        <w:rPr>
          <w:sz w:val="24"/>
          <w:szCs w:val="24"/>
        </w:rPr>
        <w:t>Via die weg zou artikel 28 Hv namelijk meer kracht kunnen krijgen en zou het Hof ertoe gedwongen kunnen worden</w:t>
      </w:r>
      <w:r w:rsidR="00D83B91" w:rsidRPr="00121A6A">
        <w:rPr>
          <w:sz w:val="24"/>
          <w:szCs w:val="24"/>
        </w:rPr>
        <w:t xml:space="preserve"> om</w:t>
      </w:r>
      <w:r w:rsidR="00734998">
        <w:rPr>
          <w:sz w:val="24"/>
          <w:szCs w:val="24"/>
        </w:rPr>
        <w:t xml:space="preserve">, </w:t>
      </w:r>
      <w:r w:rsidR="00806462" w:rsidRPr="00121A6A">
        <w:rPr>
          <w:sz w:val="24"/>
          <w:szCs w:val="24"/>
        </w:rPr>
        <w:t>onder omstandigheden</w:t>
      </w:r>
      <w:r w:rsidR="00734998">
        <w:rPr>
          <w:sz w:val="24"/>
          <w:szCs w:val="24"/>
        </w:rPr>
        <w:t>,</w:t>
      </w:r>
      <w:r w:rsidR="003010F0" w:rsidRPr="00121A6A">
        <w:rPr>
          <w:sz w:val="24"/>
          <w:szCs w:val="24"/>
        </w:rPr>
        <w:t xml:space="preserve"> </w:t>
      </w:r>
      <w:r w:rsidR="00661CD4">
        <w:rPr>
          <w:sz w:val="24"/>
          <w:szCs w:val="24"/>
        </w:rPr>
        <w:t>zijn</w:t>
      </w:r>
      <w:r w:rsidR="003010F0" w:rsidRPr="00121A6A">
        <w:rPr>
          <w:sz w:val="24"/>
          <w:szCs w:val="24"/>
        </w:rPr>
        <w:t xml:space="preserve"> </w:t>
      </w:r>
      <w:r w:rsidR="003010F0" w:rsidRPr="00121A6A">
        <w:rPr>
          <w:i/>
          <w:iCs/>
          <w:sz w:val="24"/>
          <w:szCs w:val="24"/>
        </w:rPr>
        <w:t>ultimum remedium</w:t>
      </w:r>
      <w:r w:rsidR="003010F0" w:rsidRPr="00121A6A">
        <w:rPr>
          <w:sz w:val="24"/>
          <w:szCs w:val="24"/>
        </w:rPr>
        <w:t>-eis</w:t>
      </w:r>
      <w:r w:rsidR="00806462" w:rsidRPr="00121A6A">
        <w:rPr>
          <w:sz w:val="24"/>
          <w:szCs w:val="24"/>
        </w:rPr>
        <w:t xml:space="preserve"> </w:t>
      </w:r>
      <w:r w:rsidR="000D0FC1">
        <w:rPr>
          <w:sz w:val="24"/>
          <w:szCs w:val="24"/>
        </w:rPr>
        <w:t>te laten varen</w:t>
      </w:r>
      <w:r w:rsidR="003010F0" w:rsidRPr="00121A6A">
        <w:rPr>
          <w:sz w:val="24"/>
          <w:szCs w:val="24"/>
        </w:rPr>
        <w:t>.</w:t>
      </w:r>
    </w:p>
    <w:p w14:paraId="04577A59" w14:textId="5E269FFB" w:rsidR="00610A7A" w:rsidRPr="00121A6A" w:rsidRDefault="00981A1E" w:rsidP="006E014F">
      <w:pPr>
        <w:spacing w:after="0"/>
        <w:ind w:firstLine="708"/>
        <w:jc w:val="both"/>
        <w:rPr>
          <w:sz w:val="24"/>
          <w:szCs w:val="24"/>
        </w:rPr>
      </w:pPr>
      <w:r w:rsidRPr="00121A6A">
        <w:rPr>
          <w:sz w:val="24"/>
          <w:szCs w:val="24"/>
        </w:rPr>
        <w:t xml:space="preserve">In het onderzoek naar de vraag </w:t>
      </w:r>
      <w:r w:rsidR="000A3A9A" w:rsidRPr="00121A6A">
        <w:rPr>
          <w:sz w:val="24"/>
          <w:szCs w:val="24"/>
        </w:rPr>
        <w:t>hoe</w:t>
      </w:r>
      <w:r w:rsidRPr="00121A6A">
        <w:rPr>
          <w:sz w:val="24"/>
          <w:szCs w:val="24"/>
        </w:rPr>
        <w:t xml:space="preserve"> het Hof</w:t>
      </w:r>
      <w:r w:rsidR="00F81098" w:rsidRPr="00121A6A">
        <w:rPr>
          <w:sz w:val="24"/>
          <w:szCs w:val="24"/>
        </w:rPr>
        <w:t xml:space="preserve"> </w:t>
      </w:r>
      <w:r w:rsidR="005F543F" w:rsidRPr="00121A6A">
        <w:rPr>
          <w:sz w:val="24"/>
          <w:szCs w:val="24"/>
        </w:rPr>
        <w:t>binnen</w:t>
      </w:r>
      <w:r w:rsidRPr="00121A6A">
        <w:rPr>
          <w:sz w:val="24"/>
          <w:szCs w:val="24"/>
        </w:rPr>
        <w:t xml:space="preserve"> het huidige systeem van het Handvest kan worden uitgedaagd</w:t>
      </w:r>
      <w:r w:rsidR="006E0348" w:rsidRPr="00121A6A">
        <w:rPr>
          <w:sz w:val="24"/>
          <w:szCs w:val="24"/>
        </w:rPr>
        <w:t xml:space="preserve"> </w:t>
      </w:r>
      <w:r w:rsidR="000D0FC1">
        <w:rPr>
          <w:sz w:val="24"/>
          <w:szCs w:val="24"/>
        </w:rPr>
        <w:t xml:space="preserve">om </w:t>
      </w:r>
      <w:r w:rsidR="006E0348" w:rsidRPr="00121A6A">
        <w:rPr>
          <w:sz w:val="24"/>
          <w:szCs w:val="24"/>
        </w:rPr>
        <w:t>aan</w:t>
      </w:r>
      <w:r w:rsidRPr="00121A6A">
        <w:rPr>
          <w:sz w:val="24"/>
          <w:szCs w:val="24"/>
        </w:rPr>
        <w:t xml:space="preserve"> </w:t>
      </w:r>
      <w:r w:rsidR="00865BAF" w:rsidRPr="00121A6A">
        <w:rPr>
          <w:sz w:val="24"/>
          <w:szCs w:val="24"/>
        </w:rPr>
        <w:t>artikel</w:t>
      </w:r>
      <w:r w:rsidRPr="00121A6A">
        <w:rPr>
          <w:sz w:val="24"/>
          <w:szCs w:val="24"/>
        </w:rPr>
        <w:t xml:space="preserve"> 28 Hv </w:t>
      </w:r>
      <w:r w:rsidR="00865BAF" w:rsidRPr="00121A6A">
        <w:rPr>
          <w:sz w:val="24"/>
          <w:szCs w:val="24"/>
        </w:rPr>
        <w:t>een prominente</w:t>
      </w:r>
      <w:r w:rsidR="00A60D1D" w:rsidRPr="00121A6A">
        <w:rPr>
          <w:sz w:val="24"/>
          <w:szCs w:val="24"/>
        </w:rPr>
        <w:t>(</w:t>
      </w:r>
      <w:r w:rsidR="00865BAF" w:rsidRPr="00121A6A">
        <w:rPr>
          <w:sz w:val="24"/>
          <w:szCs w:val="24"/>
        </w:rPr>
        <w:t>re</w:t>
      </w:r>
      <w:r w:rsidR="00A60D1D" w:rsidRPr="00121A6A">
        <w:rPr>
          <w:sz w:val="24"/>
          <w:szCs w:val="24"/>
        </w:rPr>
        <w:t>)</w:t>
      </w:r>
      <w:r w:rsidR="00865BAF" w:rsidRPr="00121A6A">
        <w:rPr>
          <w:sz w:val="24"/>
          <w:szCs w:val="24"/>
        </w:rPr>
        <w:t xml:space="preserve"> rol </w:t>
      </w:r>
      <w:r w:rsidR="006E0348" w:rsidRPr="00121A6A">
        <w:rPr>
          <w:sz w:val="24"/>
          <w:szCs w:val="24"/>
        </w:rPr>
        <w:t>toe te kennen</w:t>
      </w:r>
      <w:r w:rsidRPr="00121A6A">
        <w:rPr>
          <w:sz w:val="24"/>
          <w:szCs w:val="24"/>
        </w:rPr>
        <w:t>,</w:t>
      </w:r>
      <w:r w:rsidR="00610A7A" w:rsidRPr="00121A6A">
        <w:rPr>
          <w:sz w:val="24"/>
          <w:szCs w:val="24"/>
        </w:rPr>
        <w:t xml:space="preserve"> worden </w:t>
      </w:r>
      <w:r w:rsidR="00F81098" w:rsidRPr="00121A6A">
        <w:rPr>
          <w:sz w:val="24"/>
          <w:szCs w:val="24"/>
        </w:rPr>
        <w:t>twee</w:t>
      </w:r>
      <w:r w:rsidR="00610A7A" w:rsidRPr="00121A6A">
        <w:rPr>
          <w:sz w:val="24"/>
          <w:szCs w:val="24"/>
        </w:rPr>
        <w:t xml:space="preserve"> verschillende situaties</w:t>
      </w:r>
      <w:r w:rsidR="00AE0E32" w:rsidRPr="00121A6A">
        <w:rPr>
          <w:sz w:val="24"/>
          <w:szCs w:val="24"/>
        </w:rPr>
        <w:t>, beide betrekking hebben</w:t>
      </w:r>
      <w:r w:rsidR="00056FD7" w:rsidRPr="00121A6A">
        <w:rPr>
          <w:sz w:val="24"/>
          <w:szCs w:val="24"/>
        </w:rPr>
        <w:t>d</w:t>
      </w:r>
      <w:r w:rsidR="00AE0E32" w:rsidRPr="00121A6A">
        <w:rPr>
          <w:sz w:val="24"/>
          <w:szCs w:val="24"/>
        </w:rPr>
        <w:t xml:space="preserve"> op </w:t>
      </w:r>
      <w:r w:rsidR="002513F6" w:rsidRPr="00121A6A">
        <w:rPr>
          <w:sz w:val="24"/>
          <w:szCs w:val="24"/>
        </w:rPr>
        <w:t xml:space="preserve">de vraag naar </w:t>
      </w:r>
      <w:r w:rsidR="00C10B81">
        <w:rPr>
          <w:sz w:val="24"/>
          <w:szCs w:val="24"/>
        </w:rPr>
        <w:t xml:space="preserve">de </w:t>
      </w:r>
      <w:r w:rsidR="00AE0E32" w:rsidRPr="00121A6A">
        <w:rPr>
          <w:sz w:val="24"/>
          <w:szCs w:val="24"/>
        </w:rPr>
        <w:t>directe werking van artikel 28 Hv</w:t>
      </w:r>
      <w:r w:rsidR="00817933" w:rsidRPr="00121A6A">
        <w:rPr>
          <w:sz w:val="24"/>
          <w:szCs w:val="24"/>
        </w:rPr>
        <w:t xml:space="preserve"> in de nationale rechtsorde</w:t>
      </w:r>
      <w:r w:rsidR="00AE0E32" w:rsidRPr="00121A6A">
        <w:rPr>
          <w:sz w:val="24"/>
          <w:szCs w:val="24"/>
        </w:rPr>
        <w:t>,</w:t>
      </w:r>
      <w:r w:rsidR="00610A7A" w:rsidRPr="00121A6A">
        <w:rPr>
          <w:sz w:val="24"/>
          <w:szCs w:val="24"/>
        </w:rPr>
        <w:t xml:space="preserve"> onderzocht. Allereerst wordt gekeken naar </w:t>
      </w:r>
      <w:r w:rsidR="00D83B91" w:rsidRPr="00121A6A">
        <w:rPr>
          <w:sz w:val="24"/>
          <w:szCs w:val="24"/>
        </w:rPr>
        <w:t xml:space="preserve">de (on)mogelijkheid van </w:t>
      </w:r>
      <w:r w:rsidR="00C74B99">
        <w:rPr>
          <w:sz w:val="24"/>
          <w:szCs w:val="24"/>
        </w:rPr>
        <w:t>rechtstreekse werking</w:t>
      </w:r>
      <w:r w:rsidR="00817933" w:rsidRPr="00121A6A">
        <w:rPr>
          <w:sz w:val="24"/>
          <w:szCs w:val="24"/>
        </w:rPr>
        <w:t xml:space="preserve"> </w:t>
      </w:r>
      <w:r w:rsidR="00C74B99">
        <w:rPr>
          <w:sz w:val="24"/>
          <w:szCs w:val="24"/>
        </w:rPr>
        <w:t xml:space="preserve">van artikel 28 Hv </w:t>
      </w:r>
      <w:r w:rsidR="006410C4">
        <w:rPr>
          <w:sz w:val="24"/>
          <w:szCs w:val="24"/>
        </w:rPr>
        <w:t xml:space="preserve">indien </w:t>
      </w:r>
      <w:r w:rsidR="004073D2" w:rsidRPr="00121A6A">
        <w:rPr>
          <w:sz w:val="24"/>
          <w:szCs w:val="24"/>
        </w:rPr>
        <w:t xml:space="preserve">het belangenconflict dat ten grondslag ligt aan de staking </w:t>
      </w:r>
      <w:r w:rsidR="006410C4">
        <w:rPr>
          <w:sz w:val="24"/>
          <w:szCs w:val="24"/>
        </w:rPr>
        <w:t>verband houdt met</w:t>
      </w:r>
      <w:r w:rsidR="004073D2" w:rsidRPr="00121A6A">
        <w:rPr>
          <w:sz w:val="24"/>
          <w:szCs w:val="24"/>
        </w:rPr>
        <w:t xml:space="preserve"> een</w:t>
      </w:r>
      <w:r w:rsidR="00CF3ABC">
        <w:rPr>
          <w:sz w:val="24"/>
          <w:szCs w:val="24"/>
        </w:rPr>
        <w:t xml:space="preserve"> materiële</w:t>
      </w:r>
      <w:r w:rsidR="004073D2" w:rsidRPr="00121A6A">
        <w:rPr>
          <w:sz w:val="24"/>
          <w:szCs w:val="24"/>
        </w:rPr>
        <w:t xml:space="preserve"> Unierichtlijn </w:t>
      </w:r>
      <w:r w:rsidR="00610A7A" w:rsidRPr="00121A6A">
        <w:rPr>
          <w:sz w:val="24"/>
          <w:szCs w:val="24"/>
        </w:rPr>
        <w:t>(par. 4.2).</w:t>
      </w:r>
      <w:r w:rsidRPr="00121A6A">
        <w:rPr>
          <w:sz w:val="24"/>
          <w:szCs w:val="24"/>
        </w:rPr>
        <w:t xml:space="preserve"> </w:t>
      </w:r>
      <w:r w:rsidR="00162889">
        <w:rPr>
          <w:sz w:val="24"/>
          <w:szCs w:val="24"/>
        </w:rPr>
        <w:t>Bij a</w:t>
      </w:r>
      <w:r w:rsidR="00E049DF" w:rsidRPr="00121A6A">
        <w:rPr>
          <w:sz w:val="24"/>
          <w:szCs w:val="24"/>
        </w:rPr>
        <w:t>anvaarding van deze</w:t>
      </w:r>
      <w:r w:rsidR="00E04F9D" w:rsidRPr="00121A6A">
        <w:rPr>
          <w:sz w:val="24"/>
          <w:szCs w:val="24"/>
        </w:rPr>
        <w:t xml:space="preserve"> </w:t>
      </w:r>
      <w:r w:rsidR="00E049DF" w:rsidRPr="00121A6A">
        <w:rPr>
          <w:sz w:val="24"/>
          <w:szCs w:val="24"/>
        </w:rPr>
        <w:t xml:space="preserve">mogelijkheid zou </w:t>
      </w:r>
      <w:r w:rsidR="004D4468" w:rsidRPr="00121A6A">
        <w:rPr>
          <w:sz w:val="24"/>
          <w:szCs w:val="24"/>
        </w:rPr>
        <w:t>de rechtmatigheid van</w:t>
      </w:r>
      <w:r w:rsidR="00D83B91" w:rsidRPr="00121A6A">
        <w:rPr>
          <w:sz w:val="24"/>
          <w:szCs w:val="24"/>
        </w:rPr>
        <w:t xml:space="preserve"> </w:t>
      </w:r>
      <w:r w:rsidR="006E014F">
        <w:rPr>
          <w:sz w:val="24"/>
          <w:szCs w:val="24"/>
        </w:rPr>
        <w:t>een staking</w:t>
      </w:r>
      <w:r w:rsidR="00056FD7" w:rsidRPr="00121A6A">
        <w:rPr>
          <w:sz w:val="24"/>
          <w:szCs w:val="24"/>
        </w:rPr>
        <w:t>,</w:t>
      </w:r>
      <w:r w:rsidR="00E049DF" w:rsidRPr="00121A6A">
        <w:rPr>
          <w:sz w:val="24"/>
          <w:szCs w:val="24"/>
        </w:rPr>
        <w:t xml:space="preserve"> </w:t>
      </w:r>
      <w:r w:rsidR="00E514B9">
        <w:rPr>
          <w:sz w:val="24"/>
          <w:szCs w:val="24"/>
        </w:rPr>
        <w:t>net als onder</w:t>
      </w:r>
      <w:r w:rsidR="00D83B91" w:rsidRPr="00121A6A">
        <w:rPr>
          <w:sz w:val="24"/>
          <w:szCs w:val="24"/>
        </w:rPr>
        <w:t xml:space="preserve"> het EVRM, ILO-Verdrag 87 en het ESH</w:t>
      </w:r>
      <w:r w:rsidR="00056FD7" w:rsidRPr="00121A6A">
        <w:rPr>
          <w:sz w:val="24"/>
          <w:szCs w:val="24"/>
        </w:rPr>
        <w:t>,</w:t>
      </w:r>
      <w:r w:rsidR="00A46221" w:rsidRPr="00121A6A">
        <w:rPr>
          <w:sz w:val="24"/>
          <w:szCs w:val="24"/>
        </w:rPr>
        <w:t xml:space="preserve"> </w:t>
      </w:r>
      <w:r w:rsidR="00610A7A" w:rsidRPr="00121A6A">
        <w:rPr>
          <w:sz w:val="24"/>
          <w:szCs w:val="24"/>
        </w:rPr>
        <w:t xml:space="preserve">de hoofdregel </w:t>
      </w:r>
      <w:r w:rsidR="003B24D5">
        <w:rPr>
          <w:sz w:val="24"/>
          <w:szCs w:val="24"/>
        </w:rPr>
        <w:t>vormen</w:t>
      </w:r>
      <w:r w:rsidR="00E049DF" w:rsidRPr="00121A6A">
        <w:rPr>
          <w:sz w:val="24"/>
          <w:szCs w:val="24"/>
        </w:rPr>
        <w:t xml:space="preserve"> </w:t>
      </w:r>
      <w:r w:rsidR="00610A7A" w:rsidRPr="00121A6A">
        <w:rPr>
          <w:sz w:val="24"/>
          <w:szCs w:val="24"/>
        </w:rPr>
        <w:t xml:space="preserve">en </w:t>
      </w:r>
      <w:r w:rsidR="0056798D">
        <w:rPr>
          <w:sz w:val="24"/>
          <w:szCs w:val="24"/>
        </w:rPr>
        <w:t xml:space="preserve">zou </w:t>
      </w:r>
      <w:r w:rsidR="00CA5FAF">
        <w:rPr>
          <w:sz w:val="24"/>
          <w:szCs w:val="24"/>
        </w:rPr>
        <w:t xml:space="preserve">een </w:t>
      </w:r>
      <w:r w:rsidR="004073D2" w:rsidRPr="00121A6A">
        <w:rPr>
          <w:sz w:val="24"/>
          <w:szCs w:val="24"/>
        </w:rPr>
        <w:t>inperking</w:t>
      </w:r>
      <w:r w:rsidR="00610A7A" w:rsidRPr="00121A6A">
        <w:rPr>
          <w:sz w:val="24"/>
          <w:szCs w:val="24"/>
        </w:rPr>
        <w:t xml:space="preserve"> </w:t>
      </w:r>
      <w:r w:rsidR="00ED7910">
        <w:rPr>
          <w:sz w:val="24"/>
          <w:szCs w:val="24"/>
        </w:rPr>
        <w:t>van</w:t>
      </w:r>
      <w:r w:rsidR="004073D2" w:rsidRPr="00121A6A">
        <w:rPr>
          <w:sz w:val="24"/>
          <w:szCs w:val="24"/>
        </w:rPr>
        <w:t xml:space="preserve"> </w:t>
      </w:r>
      <w:r w:rsidR="006E014F">
        <w:rPr>
          <w:sz w:val="24"/>
          <w:szCs w:val="24"/>
        </w:rPr>
        <w:t>het</w:t>
      </w:r>
      <w:r w:rsidR="004D4468" w:rsidRPr="00121A6A">
        <w:rPr>
          <w:sz w:val="24"/>
          <w:szCs w:val="24"/>
        </w:rPr>
        <w:t xml:space="preserve"> </w:t>
      </w:r>
      <w:r w:rsidR="006E014F">
        <w:rPr>
          <w:sz w:val="24"/>
          <w:szCs w:val="24"/>
        </w:rPr>
        <w:t>stakings</w:t>
      </w:r>
      <w:r w:rsidR="004D4468" w:rsidRPr="00121A6A">
        <w:rPr>
          <w:sz w:val="24"/>
          <w:szCs w:val="24"/>
        </w:rPr>
        <w:t>recht</w:t>
      </w:r>
      <w:r w:rsidR="003B24D5">
        <w:rPr>
          <w:sz w:val="24"/>
          <w:szCs w:val="24"/>
        </w:rPr>
        <w:t xml:space="preserve"> </w:t>
      </w:r>
      <w:r w:rsidR="00E049DF" w:rsidRPr="00121A6A">
        <w:rPr>
          <w:sz w:val="24"/>
          <w:szCs w:val="24"/>
        </w:rPr>
        <w:t>moet</w:t>
      </w:r>
      <w:r w:rsidR="003B24D5">
        <w:rPr>
          <w:sz w:val="24"/>
          <w:szCs w:val="24"/>
        </w:rPr>
        <w:t>en</w:t>
      </w:r>
      <w:r w:rsidR="00E049DF" w:rsidRPr="00121A6A">
        <w:rPr>
          <w:sz w:val="24"/>
          <w:szCs w:val="24"/>
        </w:rPr>
        <w:t xml:space="preserve"> </w:t>
      </w:r>
      <w:r w:rsidR="00610A7A" w:rsidRPr="00121A6A">
        <w:rPr>
          <w:sz w:val="24"/>
          <w:szCs w:val="24"/>
        </w:rPr>
        <w:t xml:space="preserve">voldoen aan de </w:t>
      </w:r>
      <w:r w:rsidR="00BB47E1" w:rsidRPr="00121A6A">
        <w:rPr>
          <w:sz w:val="24"/>
          <w:szCs w:val="24"/>
        </w:rPr>
        <w:t xml:space="preserve">(strikte) </w:t>
      </w:r>
      <w:r w:rsidR="00610A7A" w:rsidRPr="00121A6A">
        <w:rPr>
          <w:sz w:val="24"/>
          <w:szCs w:val="24"/>
        </w:rPr>
        <w:t>beperkingsclausule van artikel 52 lid 1 Hv.</w:t>
      </w:r>
      <w:r w:rsidR="00BA1C97" w:rsidRPr="00121A6A">
        <w:rPr>
          <w:rStyle w:val="FootnoteReference"/>
          <w:sz w:val="24"/>
          <w:szCs w:val="24"/>
        </w:rPr>
        <w:footnoteReference w:id="201"/>
      </w:r>
      <w:r w:rsidR="00205D65" w:rsidRPr="00121A6A">
        <w:rPr>
          <w:sz w:val="24"/>
          <w:szCs w:val="24"/>
        </w:rPr>
        <w:t xml:space="preserve"> </w:t>
      </w:r>
      <w:r w:rsidR="004073D2" w:rsidRPr="00121A6A">
        <w:rPr>
          <w:sz w:val="24"/>
          <w:szCs w:val="24"/>
        </w:rPr>
        <w:t>In</w:t>
      </w:r>
      <w:r w:rsidR="00E049DF" w:rsidRPr="00121A6A">
        <w:rPr>
          <w:sz w:val="24"/>
          <w:szCs w:val="24"/>
        </w:rPr>
        <w:t xml:space="preserve"> horizontale verhoudingen zou</w:t>
      </w:r>
      <w:r w:rsidR="0034778B" w:rsidRPr="00121A6A">
        <w:rPr>
          <w:sz w:val="24"/>
          <w:szCs w:val="24"/>
        </w:rPr>
        <w:t xml:space="preserve"> </w:t>
      </w:r>
      <w:r w:rsidR="00E049DF" w:rsidRPr="00121A6A">
        <w:rPr>
          <w:sz w:val="24"/>
          <w:szCs w:val="24"/>
        </w:rPr>
        <w:t xml:space="preserve">bij de vraag naar een gerechtvaardigde beperking </w:t>
      </w:r>
      <w:r w:rsidR="006410C4">
        <w:rPr>
          <w:sz w:val="24"/>
          <w:szCs w:val="24"/>
        </w:rPr>
        <w:t xml:space="preserve">van het stakingsrecht </w:t>
      </w:r>
      <w:r w:rsidR="00E049DF" w:rsidRPr="00121A6A">
        <w:rPr>
          <w:sz w:val="24"/>
          <w:szCs w:val="24"/>
        </w:rPr>
        <w:t>de ondernemingsvrijheid van artikel 16 Hv aan bod kunnen komen.</w:t>
      </w:r>
      <w:r w:rsidR="004073D2" w:rsidRPr="00121A6A">
        <w:rPr>
          <w:sz w:val="24"/>
          <w:szCs w:val="24"/>
        </w:rPr>
        <w:t xml:space="preserve"> </w:t>
      </w:r>
      <w:r w:rsidR="00495360" w:rsidRPr="00121A6A">
        <w:rPr>
          <w:sz w:val="24"/>
          <w:szCs w:val="24"/>
        </w:rPr>
        <w:t xml:space="preserve">Anders dan in </w:t>
      </w:r>
      <w:r w:rsidR="00495360" w:rsidRPr="00121A6A">
        <w:rPr>
          <w:i/>
          <w:iCs/>
          <w:sz w:val="24"/>
          <w:szCs w:val="24"/>
        </w:rPr>
        <w:t>Viking</w:t>
      </w:r>
      <w:r w:rsidR="008F6F21">
        <w:rPr>
          <w:sz w:val="24"/>
          <w:szCs w:val="24"/>
        </w:rPr>
        <w:t>, waar het vrij verkeersrecht</w:t>
      </w:r>
      <w:r w:rsidR="008F6F21" w:rsidRPr="00121A6A">
        <w:rPr>
          <w:sz w:val="24"/>
          <w:szCs w:val="24"/>
        </w:rPr>
        <w:t xml:space="preserve"> ‘van bovenaf’ als uitgangspunt van toetsing</w:t>
      </w:r>
      <w:r w:rsidR="008F6F21">
        <w:rPr>
          <w:sz w:val="24"/>
          <w:szCs w:val="24"/>
        </w:rPr>
        <w:t xml:space="preserve"> door</w:t>
      </w:r>
      <w:r w:rsidR="00495360" w:rsidRPr="00121A6A">
        <w:rPr>
          <w:sz w:val="24"/>
          <w:szCs w:val="24"/>
        </w:rPr>
        <w:t>werkt</w:t>
      </w:r>
      <w:r w:rsidR="008F6F21">
        <w:rPr>
          <w:sz w:val="24"/>
          <w:szCs w:val="24"/>
        </w:rPr>
        <w:t>e</w:t>
      </w:r>
      <w:r w:rsidR="00495360" w:rsidRPr="00121A6A">
        <w:rPr>
          <w:sz w:val="24"/>
          <w:szCs w:val="24"/>
        </w:rPr>
        <w:t>,</w:t>
      </w:r>
      <w:r w:rsidR="008F6F21">
        <w:rPr>
          <w:sz w:val="24"/>
          <w:szCs w:val="24"/>
        </w:rPr>
        <w:t xml:space="preserve"> </w:t>
      </w:r>
      <w:r w:rsidR="003B24D5">
        <w:rPr>
          <w:sz w:val="24"/>
          <w:szCs w:val="24"/>
        </w:rPr>
        <w:t>zou</w:t>
      </w:r>
      <w:r w:rsidR="008F6F21">
        <w:rPr>
          <w:sz w:val="24"/>
          <w:szCs w:val="24"/>
        </w:rPr>
        <w:t xml:space="preserve"> </w:t>
      </w:r>
      <w:r w:rsidR="006E014F">
        <w:rPr>
          <w:sz w:val="24"/>
          <w:szCs w:val="24"/>
        </w:rPr>
        <w:t>de</w:t>
      </w:r>
      <w:r w:rsidR="008F6F21">
        <w:rPr>
          <w:sz w:val="24"/>
          <w:szCs w:val="24"/>
        </w:rPr>
        <w:t xml:space="preserve"> economische </w:t>
      </w:r>
      <w:r w:rsidR="001A1F5A">
        <w:rPr>
          <w:sz w:val="24"/>
          <w:szCs w:val="24"/>
        </w:rPr>
        <w:t>vrijheid</w:t>
      </w:r>
      <w:r w:rsidR="00495360" w:rsidRPr="00121A6A">
        <w:rPr>
          <w:sz w:val="24"/>
          <w:szCs w:val="24"/>
        </w:rPr>
        <w:t xml:space="preserve"> </w:t>
      </w:r>
      <w:r w:rsidR="008F6F21">
        <w:rPr>
          <w:sz w:val="24"/>
          <w:szCs w:val="24"/>
        </w:rPr>
        <w:t>dan</w:t>
      </w:r>
      <w:r w:rsidR="00495360" w:rsidRPr="00121A6A">
        <w:rPr>
          <w:sz w:val="24"/>
          <w:szCs w:val="24"/>
        </w:rPr>
        <w:t xml:space="preserve"> juist ‘van onderaf’</w:t>
      </w:r>
      <w:r w:rsidR="0092407F" w:rsidRPr="00121A6A">
        <w:rPr>
          <w:sz w:val="24"/>
          <w:szCs w:val="24"/>
        </w:rPr>
        <w:t xml:space="preserve"> </w:t>
      </w:r>
      <w:r w:rsidR="00056FD7" w:rsidRPr="00121A6A">
        <w:rPr>
          <w:sz w:val="24"/>
          <w:szCs w:val="24"/>
        </w:rPr>
        <w:t xml:space="preserve">als legitiem doel </w:t>
      </w:r>
      <w:r w:rsidR="0092407F" w:rsidRPr="00121A6A">
        <w:rPr>
          <w:sz w:val="24"/>
          <w:szCs w:val="24"/>
        </w:rPr>
        <w:t>door</w:t>
      </w:r>
      <w:r w:rsidR="003B24D5">
        <w:rPr>
          <w:sz w:val="24"/>
          <w:szCs w:val="24"/>
        </w:rPr>
        <w:t>werken</w:t>
      </w:r>
      <w:r w:rsidR="0092407F" w:rsidRPr="00121A6A">
        <w:rPr>
          <w:sz w:val="24"/>
          <w:szCs w:val="24"/>
        </w:rPr>
        <w:t xml:space="preserve"> </w:t>
      </w:r>
      <w:r w:rsidR="00236DA8">
        <w:rPr>
          <w:sz w:val="24"/>
          <w:szCs w:val="24"/>
        </w:rPr>
        <w:t>in</w:t>
      </w:r>
      <w:r w:rsidR="0092407F" w:rsidRPr="00121A6A">
        <w:rPr>
          <w:sz w:val="24"/>
          <w:szCs w:val="24"/>
        </w:rPr>
        <w:t xml:space="preserve"> de </w:t>
      </w:r>
      <w:r w:rsidR="00C27E20" w:rsidRPr="00121A6A">
        <w:rPr>
          <w:sz w:val="24"/>
          <w:szCs w:val="24"/>
        </w:rPr>
        <w:t xml:space="preserve">private </w:t>
      </w:r>
      <w:r w:rsidR="0092407F" w:rsidRPr="00121A6A">
        <w:rPr>
          <w:sz w:val="24"/>
          <w:szCs w:val="24"/>
        </w:rPr>
        <w:t>rechtsverhouding</w:t>
      </w:r>
      <w:r w:rsidR="008F6F21">
        <w:rPr>
          <w:sz w:val="24"/>
          <w:szCs w:val="24"/>
        </w:rPr>
        <w:t xml:space="preserve">. </w:t>
      </w:r>
      <w:r w:rsidR="005A636B">
        <w:rPr>
          <w:sz w:val="24"/>
          <w:szCs w:val="24"/>
        </w:rPr>
        <w:t>D</w:t>
      </w:r>
      <w:r w:rsidR="005D49AC" w:rsidRPr="00121A6A">
        <w:rPr>
          <w:sz w:val="24"/>
          <w:szCs w:val="24"/>
        </w:rPr>
        <w:t>e</w:t>
      </w:r>
      <w:r w:rsidR="00C27E20" w:rsidRPr="00121A6A">
        <w:rPr>
          <w:sz w:val="24"/>
          <w:szCs w:val="24"/>
        </w:rPr>
        <w:t xml:space="preserve"> beperkte</w:t>
      </w:r>
      <w:r w:rsidR="005A636B">
        <w:rPr>
          <w:sz w:val="24"/>
          <w:szCs w:val="24"/>
        </w:rPr>
        <w:t>(</w:t>
      </w:r>
      <w:r w:rsidR="00C27E20" w:rsidRPr="00121A6A">
        <w:rPr>
          <w:sz w:val="24"/>
          <w:szCs w:val="24"/>
        </w:rPr>
        <w:t>re</w:t>
      </w:r>
      <w:r w:rsidR="005A636B">
        <w:rPr>
          <w:sz w:val="24"/>
          <w:szCs w:val="24"/>
        </w:rPr>
        <w:t>)</w:t>
      </w:r>
      <w:r w:rsidR="005D49AC" w:rsidRPr="00121A6A">
        <w:rPr>
          <w:sz w:val="24"/>
          <w:szCs w:val="24"/>
        </w:rPr>
        <w:t xml:space="preserve"> kracht die </w:t>
      </w:r>
      <w:r w:rsidR="005A636B">
        <w:rPr>
          <w:sz w:val="24"/>
          <w:szCs w:val="24"/>
        </w:rPr>
        <w:t xml:space="preserve">in dit stramien mogelijk aan artikel 16 Hv </w:t>
      </w:r>
      <w:r w:rsidR="008B397A">
        <w:rPr>
          <w:sz w:val="24"/>
          <w:szCs w:val="24"/>
        </w:rPr>
        <w:t xml:space="preserve">zou </w:t>
      </w:r>
      <w:r w:rsidR="005A636B">
        <w:rPr>
          <w:sz w:val="24"/>
          <w:szCs w:val="24"/>
        </w:rPr>
        <w:t>toekom</w:t>
      </w:r>
      <w:r w:rsidR="008B397A">
        <w:rPr>
          <w:sz w:val="24"/>
          <w:szCs w:val="24"/>
        </w:rPr>
        <w:t>en</w:t>
      </w:r>
      <w:r w:rsidR="008F6F21">
        <w:rPr>
          <w:sz w:val="24"/>
          <w:szCs w:val="24"/>
        </w:rPr>
        <w:t xml:space="preserve">, </w:t>
      </w:r>
      <w:r w:rsidR="005A636B">
        <w:rPr>
          <w:sz w:val="24"/>
          <w:szCs w:val="24"/>
        </w:rPr>
        <w:t>zou</w:t>
      </w:r>
      <w:r w:rsidR="00495360" w:rsidRPr="00121A6A">
        <w:rPr>
          <w:sz w:val="24"/>
          <w:szCs w:val="24"/>
        </w:rPr>
        <w:t xml:space="preserve"> </w:t>
      </w:r>
      <w:r w:rsidR="00BA1C97" w:rsidRPr="00121A6A">
        <w:rPr>
          <w:sz w:val="24"/>
          <w:szCs w:val="24"/>
        </w:rPr>
        <w:t>op zijn beurt effect kunnen sorteren</w:t>
      </w:r>
      <w:r w:rsidR="00495360" w:rsidRPr="00121A6A">
        <w:rPr>
          <w:sz w:val="24"/>
          <w:szCs w:val="24"/>
        </w:rPr>
        <w:t xml:space="preserve"> op </w:t>
      </w:r>
      <w:r w:rsidR="006368F1">
        <w:rPr>
          <w:sz w:val="24"/>
          <w:szCs w:val="24"/>
        </w:rPr>
        <w:t xml:space="preserve">de verhouding tussen artikel 49 VwEU en artikel 28 Hv in een casus als </w:t>
      </w:r>
      <w:r w:rsidR="006368F1">
        <w:rPr>
          <w:i/>
          <w:iCs/>
          <w:sz w:val="24"/>
          <w:szCs w:val="24"/>
        </w:rPr>
        <w:t>Viking</w:t>
      </w:r>
      <w:r w:rsidR="00495360" w:rsidRPr="00121A6A">
        <w:rPr>
          <w:sz w:val="24"/>
          <w:szCs w:val="24"/>
        </w:rPr>
        <w:t>.</w:t>
      </w:r>
    </w:p>
    <w:p w14:paraId="356DD54B" w14:textId="20B7CA39" w:rsidR="00F81098" w:rsidRDefault="003D1CFB" w:rsidP="008F6F21">
      <w:pPr>
        <w:spacing w:after="0"/>
        <w:ind w:firstLine="708"/>
        <w:jc w:val="both"/>
        <w:rPr>
          <w:sz w:val="24"/>
          <w:szCs w:val="24"/>
        </w:rPr>
      </w:pPr>
      <w:r w:rsidRPr="00121A6A">
        <w:rPr>
          <w:sz w:val="24"/>
          <w:szCs w:val="24"/>
        </w:rPr>
        <w:t>In</w:t>
      </w:r>
      <w:r w:rsidR="00902F84" w:rsidRPr="00121A6A">
        <w:rPr>
          <w:sz w:val="24"/>
          <w:szCs w:val="24"/>
        </w:rPr>
        <w:t xml:space="preserve"> de </w:t>
      </w:r>
      <w:r w:rsidR="00F81098" w:rsidRPr="00121A6A">
        <w:rPr>
          <w:sz w:val="24"/>
          <w:szCs w:val="24"/>
        </w:rPr>
        <w:t>tweede</w:t>
      </w:r>
      <w:r w:rsidR="00902F84" w:rsidRPr="00121A6A">
        <w:rPr>
          <w:sz w:val="24"/>
          <w:szCs w:val="24"/>
        </w:rPr>
        <w:t xml:space="preserve"> situatie die wordt onderzocht</w:t>
      </w:r>
      <w:r w:rsidR="0099571E" w:rsidRPr="00121A6A">
        <w:rPr>
          <w:sz w:val="24"/>
          <w:szCs w:val="24"/>
        </w:rPr>
        <w:t>,</w:t>
      </w:r>
      <w:r w:rsidRPr="00121A6A">
        <w:rPr>
          <w:sz w:val="24"/>
          <w:szCs w:val="24"/>
        </w:rPr>
        <w:t xml:space="preserve"> staat</w:t>
      </w:r>
      <w:r w:rsidR="00902F84" w:rsidRPr="00121A6A">
        <w:rPr>
          <w:sz w:val="24"/>
          <w:szCs w:val="24"/>
        </w:rPr>
        <w:t xml:space="preserve"> de vraag </w:t>
      </w:r>
      <w:r w:rsidRPr="00121A6A">
        <w:rPr>
          <w:sz w:val="24"/>
          <w:szCs w:val="24"/>
        </w:rPr>
        <w:t xml:space="preserve">centraal </w:t>
      </w:r>
      <w:r w:rsidR="00902F84" w:rsidRPr="00121A6A">
        <w:rPr>
          <w:sz w:val="24"/>
          <w:szCs w:val="24"/>
        </w:rPr>
        <w:t xml:space="preserve">naar </w:t>
      </w:r>
      <w:r w:rsidR="006A2D91">
        <w:rPr>
          <w:sz w:val="24"/>
          <w:szCs w:val="24"/>
        </w:rPr>
        <w:t xml:space="preserve">de </w:t>
      </w:r>
      <w:r w:rsidR="00902F84" w:rsidRPr="00121A6A">
        <w:rPr>
          <w:sz w:val="24"/>
          <w:szCs w:val="24"/>
        </w:rPr>
        <w:t xml:space="preserve">horizontale </w:t>
      </w:r>
      <w:r w:rsidR="00D94A50" w:rsidRPr="00121A6A">
        <w:rPr>
          <w:sz w:val="24"/>
          <w:szCs w:val="24"/>
        </w:rPr>
        <w:t xml:space="preserve">rechtstreekse </w:t>
      </w:r>
      <w:r w:rsidR="00902F84" w:rsidRPr="00121A6A">
        <w:rPr>
          <w:sz w:val="24"/>
          <w:szCs w:val="24"/>
        </w:rPr>
        <w:t xml:space="preserve">werking van artikel 28 Hv </w:t>
      </w:r>
      <w:r w:rsidRPr="00121A6A">
        <w:rPr>
          <w:sz w:val="24"/>
          <w:szCs w:val="24"/>
        </w:rPr>
        <w:t>bij een</w:t>
      </w:r>
      <w:r w:rsidR="00902F84" w:rsidRPr="00121A6A">
        <w:rPr>
          <w:sz w:val="24"/>
          <w:szCs w:val="24"/>
        </w:rPr>
        <w:t xml:space="preserve"> link met </w:t>
      </w:r>
      <w:r w:rsidR="004A5206">
        <w:rPr>
          <w:sz w:val="24"/>
          <w:szCs w:val="24"/>
        </w:rPr>
        <w:t xml:space="preserve">het </w:t>
      </w:r>
      <w:r w:rsidR="00902F84" w:rsidRPr="00121A6A">
        <w:rPr>
          <w:sz w:val="24"/>
          <w:szCs w:val="24"/>
        </w:rPr>
        <w:t xml:space="preserve">Unierecht </w:t>
      </w:r>
      <w:r w:rsidR="00B861D8" w:rsidRPr="00121A6A">
        <w:rPr>
          <w:sz w:val="24"/>
          <w:szCs w:val="24"/>
        </w:rPr>
        <w:t xml:space="preserve">vanwege een belemmering van </w:t>
      </w:r>
      <w:r w:rsidR="00734998">
        <w:rPr>
          <w:sz w:val="24"/>
          <w:szCs w:val="24"/>
        </w:rPr>
        <w:t>het vrij verkeer</w:t>
      </w:r>
      <w:r w:rsidR="00341F40" w:rsidRPr="00121A6A">
        <w:rPr>
          <w:sz w:val="24"/>
          <w:szCs w:val="24"/>
        </w:rPr>
        <w:t xml:space="preserve"> </w:t>
      </w:r>
      <w:r w:rsidR="00F81098" w:rsidRPr="00121A6A">
        <w:rPr>
          <w:sz w:val="24"/>
          <w:szCs w:val="24"/>
        </w:rPr>
        <w:t>(par. 4.3)</w:t>
      </w:r>
      <w:r w:rsidR="00CF0A09" w:rsidRPr="00121A6A">
        <w:rPr>
          <w:sz w:val="24"/>
          <w:szCs w:val="24"/>
        </w:rPr>
        <w:t>.</w:t>
      </w:r>
      <w:r w:rsidR="00B861D8" w:rsidRPr="00121A6A">
        <w:rPr>
          <w:sz w:val="24"/>
          <w:szCs w:val="24"/>
        </w:rPr>
        <w:t xml:space="preserve"> </w:t>
      </w:r>
      <w:r w:rsidR="00CF0A09" w:rsidRPr="00121A6A">
        <w:rPr>
          <w:sz w:val="24"/>
          <w:szCs w:val="24"/>
        </w:rPr>
        <w:t xml:space="preserve">In </w:t>
      </w:r>
      <w:r w:rsidR="00CF0A09" w:rsidRPr="00121A6A">
        <w:rPr>
          <w:i/>
          <w:iCs/>
          <w:sz w:val="24"/>
          <w:szCs w:val="24"/>
        </w:rPr>
        <w:t>Viking</w:t>
      </w:r>
      <w:r w:rsidR="00CF0A09" w:rsidRPr="00121A6A">
        <w:rPr>
          <w:sz w:val="24"/>
          <w:szCs w:val="24"/>
        </w:rPr>
        <w:t xml:space="preserve"> </w:t>
      </w:r>
      <w:r w:rsidR="004C2C57" w:rsidRPr="00121A6A">
        <w:rPr>
          <w:sz w:val="24"/>
          <w:szCs w:val="24"/>
        </w:rPr>
        <w:t>kon de vakbond</w:t>
      </w:r>
      <w:r w:rsidR="00CC3465">
        <w:rPr>
          <w:sz w:val="24"/>
          <w:szCs w:val="24"/>
        </w:rPr>
        <w:t xml:space="preserve"> zich namelijk niet </w:t>
      </w:r>
      <w:r w:rsidR="0086030A">
        <w:rPr>
          <w:sz w:val="24"/>
          <w:szCs w:val="24"/>
        </w:rPr>
        <w:t>rechtstreeks op</w:t>
      </w:r>
      <w:r w:rsidR="00CF0A09" w:rsidRPr="00121A6A">
        <w:rPr>
          <w:sz w:val="24"/>
          <w:szCs w:val="24"/>
        </w:rPr>
        <w:t xml:space="preserve"> </w:t>
      </w:r>
      <w:r w:rsidR="00F7235D" w:rsidRPr="00121A6A">
        <w:rPr>
          <w:sz w:val="24"/>
          <w:szCs w:val="24"/>
        </w:rPr>
        <w:t>artikel 28 Hv</w:t>
      </w:r>
      <w:r w:rsidR="004C2C57" w:rsidRPr="00121A6A">
        <w:rPr>
          <w:sz w:val="24"/>
          <w:szCs w:val="24"/>
        </w:rPr>
        <w:t xml:space="preserve"> </w:t>
      </w:r>
      <w:r w:rsidR="0086030A">
        <w:rPr>
          <w:sz w:val="24"/>
          <w:szCs w:val="24"/>
        </w:rPr>
        <w:t>beroepen ter autonome toetsing van het door de private werkgever gevorderde stakingsverbod (particulier handelen)</w:t>
      </w:r>
      <w:r w:rsidR="00D94A50" w:rsidRPr="00121A6A">
        <w:rPr>
          <w:sz w:val="24"/>
          <w:szCs w:val="24"/>
        </w:rPr>
        <w:t xml:space="preserve">, </w:t>
      </w:r>
      <w:r w:rsidR="00CF0A09" w:rsidRPr="00121A6A">
        <w:rPr>
          <w:sz w:val="24"/>
          <w:szCs w:val="24"/>
        </w:rPr>
        <w:t xml:space="preserve">maar kon </w:t>
      </w:r>
      <w:r w:rsidR="00F7235D" w:rsidRPr="00121A6A">
        <w:rPr>
          <w:sz w:val="24"/>
          <w:szCs w:val="24"/>
        </w:rPr>
        <w:t>het grondrecht op collectieve actie</w:t>
      </w:r>
      <w:r w:rsidR="00D94A50" w:rsidRPr="00121A6A">
        <w:rPr>
          <w:sz w:val="24"/>
          <w:szCs w:val="24"/>
        </w:rPr>
        <w:t xml:space="preserve"> </w:t>
      </w:r>
      <w:r w:rsidR="004409D7" w:rsidRPr="00121A6A">
        <w:rPr>
          <w:sz w:val="24"/>
          <w:szCs w:val="24"/>
        </w:rPr>
        <w:t>hooguit</w:t>
      </w:r>
      <w:r w:rsidR="00EE666B" w:rsidRPr="00121A6A">
        <w:rPr>
          <w:sz w:val="24"/>
          <w:szCs w:val="24"/>
        </w:rPr>
        <w:t xml:space="preserve"> ‘van onderaf’</w:t>
      </w:r>
      <w:r w:rsidR="00CF0A09" w:rsidRPr="00121A6A">
        <w:rPr>
          <w:sz w:val="24"/>
          <w:szCs w:val="24"/>
        </w:rPr>
        <w:t xml:space="preserve"> als mogelijke rechtvaardiging</w:t>
      </w:r>
      <w:r w:rsidR="005A636B">
        <w:rPr>
          <w:sz w:val="24"/>
          <w:szCs w:val="24"/>
        </w:rPr>
        <w:t xml:space="preserve"> voor de inbreuk op de vestigingsvrijheid</w:t>
      </w:r>
      <w:r w:rsidR="00CF0A09" w:rsidRPr="00121A6A">
        <w:rPr>
          <w:sz w:val="24"/>
          <w:szCs w:val="24"/>
        </w:rPr>
        <w:t xml:space="preserve"> dienen.</w:t>
      </w:r>
      <w:r w:rsidR="004E212E" w:rsidRPr="00121A6A">
        <w:rPr>
          <w:sz w:val="24"/>
          <w:szCs w:val="24"/>
        </w:rPr>
        <w:t xml:space="preserve"> Als de</w:t>
      </w:r>
      <w:r w:rsidR="00CF0A09" w:rsidRPr="00121A6A">
        <w:rPr>
          <w:sz w:val="24"/>
          <w:szCs w:val="24"/>
        </w:rPr>
        <w:t xml:space="preserve"> vakbond </w:t>
      </w:r>
      <w:r w:rsidR="006C651B" w:rsidRPr="00121A6A">
        <w:rPr>
          <w:sz w:val="24"/>
          <w:szCs w:val="24"/>
        </w:rPr>
        <w:t xml:space="preserve">daarentegen </w:t>
      </w:r>
      <w:r w:rsidR="00CF0A09" w:rsidRPr="00121A6A">
        <w:rPr>
          <w:sz w:val="24"/>
          <w:szCs w:val="24"/>
        </w:rPr>
        <w:t xml:space="preserve">artikel 28 Hv </w:t>
      </w:r>
      <w:r w:rsidR="004E212E" w:rsidRPr="00121A6A">
        <w:rPr>
          <w:sz w:val="24"/>
          <w:szCs w:val="24"/>
        </w:rPr>
        <w:t>in plaats van op defensieve wijze op offensieve wijze in rechte zou kunnen betrekken</w:t>
      </w:r>
      <w:r w:rsidR="00757BAD" w:rsidRPr="00121A6A">
        <w:rPr>
          <w:sz w:val="24"/>
          <w:szCs w:val="24"/>
        </w:rPr>
        <w:t xml:space="preserve">, </w:t>
      </w:r>
      <w:r w:rsidR="00CF0A09" w:rsidRPr="00121A6A">
        <w:rPr>
          <w:sz w:val="24"/>
          <w:szCs w:val="24"/>
        </w:rPr>
        <w:t xml:space="preserve">zou </w:t>
      </w:r>
      <w:r w:rsidR="002513F6" w:rsidRPr="00121A6A">
        <w:rPr>
          <w:sz w:val="24"/>
          <w:szCs w:val="24"/>
        </w:rPr>
        <w:t xml:space="preserve">het </w:t>
      </w:r>
      <w:r w:rsidR="002F6917" w:rsidRPr="00121A6A">
        <w:rPr>
          <w:i/>
          <w:iCs/>
          <w:sz w:val="24"/>
          <w:szCs w:val="24"/>
        </w:rPr>
        <w:t>Viking</w:t>
      </w:r>
      <w:r w:rsidR="002F6917" w:rsidRPr="00121A6A">
        <w:rPr>
          <w:sz w:val="24"/>
          <w:szCs w:val="24"/>
        </w:rPr>
        <w:t>-</w:t>
      </w:r>
      <w:r w:rsidR="002513F6" w:rsidRPr="00121A6A">
        <w:rPr>
          <w:sz w:val="24"/>
          <w:szCs w:val="24"/>
        </w:rPr>
        <w:t xml:space="preserve">kader </w:t>
      </w:r>
      <w:r w:rsidR="004E212E" w:rsidRPr="00121A6A">
        <w:rPr>
          <w:sz w:val="24"/>
          <w:szCs w:val="24"/>
        </w:rPr>
        <w:t xml:space="preserve">mogelijk </w:t>
      </w:r>
      <w:r w:rsidR="00CF0A09" w:rsidRPr="00121A6A">
        <w:rPr>
          <w:sz w:val="24"/>
          <w:szCs w:val="24"/>
        </w:rPr>
        <w:t>meer in lijn</w:t>
      </w:r>
      <w:r w:rsidR="00734998">
        <w:rPr>
          <w:sz w:val="24"/>
          <w:szCs w:val="24"/>
        </w:rPr>
        <w:t xml:space="preserve"> kunnen</w:t>
      </w:r>
      <w:r w:rsidR="00CF0A09" w:rsidRPr="00121A6A">
        <w:rPr>
          <w:sz w:val="24"/>
          <w:szCs w:val="24"/>
        </w:rPr>
        <w:t xml:space="preserve"> </w:t>
      </w:r>
      <w:r w:rsidR="002513F6" w:rsidRPr="00121A6A">
        <w:rPr>
          <w:sz w:val="24"/>
          <w:szCs w:val="24"/>
        </w:rPr>
        <w:t xml:space="preserve">komen </w:t>
      </w:r>
      <w:r w:rsidR="00CF0A09" w:rsidRPr="00121A6A">
        <w:rPr>
          <w:sz w:val="24"/>
          <w:szCs w:val="24"/>
        </w:rPr>
        <w:t xml:space="preserve">met </w:t>
      </w:r>
      <w:r w:rsidR="002F6917" w:rsidRPr="00121A6A">
        <w:rPr>
          <w:sz w:val="24"/>
          <w:szCs w:val="24"/>
        </w:rPr>
        <w:t xml:space="preserve">het toetsingskader </w:t>
      </w:r>
      <w:r w:rsidR="0099571E" w:rsidRPr="00121A6A">
        <w:rPr>
          <w:sz w:val="24"/>
          <w:szCs w:val="24"/>
        </w:rPr>
        <w:t xml:space="preserve">van </w:t>
      </w:r>
      <w:r w:rsidR="002F6917" w:rsidRPr="00121A6A">
        <w:rPr>
          <w:sz w:val="24"/>
          <w:szCs w:val="24"/>
        </w:rPr>
        <w:t>de andere instituties</w:t>
      </w:r>
      <w:r w:rsidR="00CF0A09" w:rsidRPr="00121A6A">
        <w:rPr>
          <w:sz w:val="24"/>
          <w:szCs w:val="24"/>
        </w:rPr>
        <w:t>.</w:t>
      </w:r>
      <w:r w:rsidR="00BF44AB" w:rsidRPr="00121A6A">
        <w:rPr>
          <w:sz w:val="24"/>
          <w:szCs w:val="24"/>
        </w:rPr>
        <w:t xml:space="preserve"> De vraag is dus of </w:t>
      </w:r>
      <w:r w:rsidR="00F874F8" w:rsidRPr="00121A6A">
        <w:rPr>
          <w:sz w:val="24"/>
          <w:szCs w:val="24"/>
        </w:rPr>
        <w:t xml:space="preserve">het huidige systeem van het Handvest </w:t>
      </w:r>
      <w:r w:rsidR="00BF44AB" w:rsidRPr="00121A6A">
        <w:rPr>
          <w:sz w:val="24"/>
          <w:szCs w:val="24"/>
        </w:rPr>
        <w:t xml:space="preserve">een dergelijke offensieve toepassing </w:t>
      </w:r>
      <w:r w:rsidR="004E212E" w:rsidRPr="00121A6A">
        <w:rPr>
          <w:sz w:val="24"/>
          <w:szCs w:val="24"/>
        </w:rPr>
        <w:t xml:space="preserve">via horizontale </w:t>
      </w:r>
      <w:r w:rsidR="00734998" w:rsidRPr="00121A6A">
        <w:rPr>
          <w:sz w:val="24"/>
          <w:szCs w:val="24"/>
        </w:rPr>
        <w:t xml:space="preserve">directe </w:t>
      </w:r>
      <w:r w:rsidR="004E212E" w:rsidRPr="00121A6A">
        <w:rPr>
          <w:sz w:val="24"/>
          <w:szCs w:val="24"/>
        </w:rPr>
        <w:t xml:space="preserve">werking </w:t>
      </w:r>
      <w:r w:rsidR="00BF44AB" w:rsidRPr="00121A6A">
        <w:rPr>
          <w:sz w:val="24"/>
          <w:szCs w:val="24"/>
        </w:rPr>
        <w:t xml:space="preserve">van artikel 28 Hv </w:t>
      </w:r>
      <w:r w:rsidR="00F874F8" w:rsidRPr="00121A6A">
        <w:rPr>
          <w:sz w:val="24"/>
          <w:szCs w:val="24"/>
        </w:rPr>
        <w:t>toelaat</w:t>
      </w:r>
      <w:r w:rsidR="00BF44AB" w:rsidRPr="00121A6A">
        <w:rPr>
          <w:sz w:val="24"/>
          <w:szCs w:val="24"/>
        </w:rPr>
        <w:t>.</w:t>
      </w:r>
    </w:p>
    <w:p w14:paraId="7F7B01C5" w14:textId="77777777" w:rsidR="008F6F21" w:rsidRPr="00121A6A" w:rsidRDefault="008F6F21" w:rsidP="008F6F21">
      <w:pPr>
        <w:spacing w:after="0"/>
        <w:ind w:firstLine="708"/>
        <w:jc w:val="both"/>
        <w:rPr>
          <w:sz w:val="24"/>
          <w:szCs w:val="24"/>
        </w:rPr>
      </w:pPr>
    </w:p>
    <w:p w14:paraId="7B898C38" w14:textId="4557EC98" w:rsidR="00F81098" w:rsidRPr="00121A6A" w:rsidRDefault="00341F40" w:rsidP="00CB686F">
      <w:pPr>
        <w:pStyle w:val="Heading2"/>
        <w:jc w:val="both"/>
        <w:rPr>
          <w:sz w:val="24"/>
          <w:szCs w:val="24"/>
        </w:rPr>
      </w:pPr>
      <w:bookmarkStart w:id="80" w:name="_Toc169963074"/>
      <w:r w:rsidRPr="00121A6A">
        <w:rPr>
          <w:sz w:val="24"/>
          <w:szCs w:val="24"/>
        </w:rPr>
        <w:lastRenderedPageBreak/>
        <w:t xml:space="preserve">4.2 </w:t>
      </w:r>
      <w:r w:rsidR="00DF5CF6">
        <w:rPr>
          <w:sz w:val="24"/>
          <w:szCs w:val="24"/>
        </w:rPr>
        <w:t>Rechtstreekse</w:t>
      </w:r>
      <w:r w:rsidRPr="00121A6A">
        <w:rPr>
          <w:sz w:val="24"/>
          <w:szCs w:val="24"/>
        </w:rPr>
        <w:t xml:space="preserve"> werking </w:t>
      </w:r>
      <w:r w:rsidR="00F50AC1">
        <w:rPr>
          <w:sz w:val="24"/>
          <w:szCs w:val="24"/>
        </w:rPr>
        <w:t xml:space="preserve">van </w:t>
      </w:r>
      <w:r w:rsidRPr="00121A6A">
        <w:rPr>
          <w:sz w:val="24"/>
          <w:szCs w:val="24"/>
        </w:rPr>
        <w:t xml:space="preserve">artikel 28 Hv bij een link </w:t>
      </w:r>
      <w:r w:rsidR="009407D8" w:rsidRPr="00121A6A">
        <w:rPr>
          <w:sz w:val="24"/>
          <w:szCs w:val="24"/>
        </w:rPr>
        <w:t xml:space="preserve">tussen </w:t>
      </w:r>
      <w:r w:rsidR="00DF5CF6">
        <w:rPr>
          <w:sz w:val="24"/>
          <w:szCs w:val="24"/>
        </w:rPr>
        <w:t>de</w:t>
      </w:r>
      <w:r w:rsidR="00EF3BCB">
        <w:rPr>
          <w:sz w:val="24"/>
          <w:szCs w:val="24"/>
        </w:rPr>
        <w:t xml:space="preserve"> staking en een </w:t>
      </w:r>
      <w:r w:rsidR="00DF5CF6">
        <w:rPr>
          <w:sz w:val="24"/>
          <w:szCs w:val="24"/>
        </w:rPr>
        <w:t>EU-</w:t>
      </w:r>
      <w:r w:rsidR="00826AD3">
        <w:rPr>
          <w:sz w:val="24"/>
          <w:szCs w:val="24"/>
        </w:rPr>
        <w:t>r</w:t>
      </w:r>
      <w:r w:rsidRPr="00121A6A">
        <w:rPr>
          <w:sz w:val="24"/>
          <w:szCs w:val="24"/>
        </w:rPr>
        <w:t>ichtlijn</w:t>
      </w:r>
      <w:bookmarkEnd w:id="80"/>
    </w:p>
    <w:p w14:paraId="2788B213" w14:textId="0FE2CF61" w:rsidR="00CF0A09" w:rsidRPr="00121A6A" w:rsidRDefault="00341F40" w:rsidP="00341F40">
      <w:pPr>
        <w:spacing w:after="0"/>
        <w:jc w:val="both"/>
        <w:rPr>
          <w:sz w:val="24"/>
          <w:szCs w:val="24"/>
        </w:rPr>
      </w:pPr>
      <w:r w:rsidRPr="00121A6A">
        <w:rPr>
          <w:sz w:val="24"/>
          <w:szCs w:val="24"/>
        </w:rPr>
        <w:t>In deze paragraaf wordt het potentieel van rechtstreekse werking van artikel 28 Hv in de nationale rechtsorde onderzocht</w:t>
      </w:r>
      <w:r w:rsidR="004325B8" w:rsidRPr="00121A6A">
        <w:rPr>
          <w:sz w:val="24"/>
          <w:szCs w:val="24"/>
        </w:rPr>
        <w:t>,</w:t>
      </w:r>
      <w:r w:rsidR="00177F7D" w:rsidRPr="00121A6A">
        <w:rPr>
          <w:sz w:val="24"/>
          <w:szCs w:val="24"/>
        </w:rPr>
        <w:t xml:space="preserve"> </w:t>
      </w:r>
      <w:r w:rsidR="00F54CD6" w:rsidRPr="00121A6A">
        <w:rPr>
          <w:sz w:val="24"/>
          <w:szCs w:val="24"/>
        </w:rPr>
        <w:t>waarbij</w:t>
      </w:r>
      <w:r w:rsidR="00177F7D" w:rsidRPr="00121A6A">
        <w:rPr>
          <w:sz w:val="24"/>
          <w:szCs w:val="24"/>
        </w:rPr>
        <w:t xml:space="preserve"> </w:t>
      </w:r>
      <w:r w:rsidR="00A11A4F" w:rsidRPr="00121A6A">
        <w:rPr>
          <w:sz w:val="24"/>
          <w:szCs w:val="24"/>
        </w:rPr>
        <w:t xml:space="preserve">de voor </w:t>
      </w:r>
      <w:r w:rsidR="009D2362">
        <w:rPr>
          <w:sz w:val="24"/>
          <w:szCs w:val="24"/>
        </w:rPr>
        <w:t xml:space="preserve">de </w:t>
      </w:r>
      <w:r w:rsidR="00A11A4F" w:rsidRPr="00121A6A">
        <w:rPr>
          <w:sz w:val="24"/>
          <w:szCs w:val="24"/>
        </w:rPr>
        <w:t xml:space="preserve">toepassing van het Handvest vereiste link met </w:t>
      </w:r>
      <w:r w:rsidR="004A5206">
        <w:rPr>
          <w:sz w:val="24"/>
          <w:szCs w:val="24"/>
        </w:rPr>
        <w:t xml:space="preserve">het </w:t>
      </w:r>
      <w:r w:rsidR="00A11A4F" w:rsidRPr="00121A6A">
        <w:rPr>
          <w:sz w:val="24"/>
          <w:szCs w:val="24"/>
        </w:rPr>
        <w:t xml:space="preserve">Unierecht wordt gezocht in </w:t>
      </w:r>
      <w:r w:rsidR="00F54CD6" w:rsidRPr="00121A6A">
        <w:rPr>
          <w:sz w:val="24"/>
          <w:szCs w:val="24"/>
        </w:rPr>
        <w:t xml:space="preserve">een verband tussen </w:t>
      </w:r>
      <w:r w:rsidR="004325B8" w:rsidRPr="00121A6A">
        <w:rPr>
          <w:sz w:val="24"/>
          <w:szCs w:val="24"/>
        </w:rPr>
        <w:t>het onderliggende</w:t>
      </w:r>
      <w:r w:rsidR="00F54CD6" w:rsidRPr="00121A6A">
        <w:rPr>
          <w:sz w:val="24"/>
          <w:szCs w:val="24"/>
        </w:rPr>
        <w:t xml:space="preserve"> </w:t>
      </w:r>
      <w:r w:rsidR="004325B8" w:rsidRPr="00121A6A">
        <w:rPr>
          <w:sz w:val="24"/>
          <w:szCs w:val="24"/>
        </w:rPr>
        <w:t xml:space="preserve">conflict dat aanleiding gaf </w:t>
      </w:r>
      <w:r w:rsidR="007C1CD7" w:rsidRPr="00121A6A">
        <w:rPr>
          <w:sz w:val="24"/>
          <w:szCs w:val="24"/>
        </w:rPr>
        <w:t xml:space="preserve">om </w:t>
      </w:r>
      <w:r w:rsidR="004325B8" w:rsidRPr="00121A6A">
        <w:rPr>
          <w:sz w:val="24"/>
          <w:szCs w:val="24"/>
        </w:rPr>
        <w:t>te gaan staken</w:t>
      </w:r>
      <w:r w:rsidR="00F54CD6" w:rsidRPr="00121A6A">
        <w:rPr>
          <w:sz w:val="24"/>
          <w:szCs w:val="24"/>
        </w:rPr>
        <w:t xml:space="preserve"> en een</w:t>
      </w:r>
      <w:r w:rsidR="009407D8" w:rsidRPr="00121A6A">
        <w:rPr>
          <w:sz w:val="24"/>
          <w:szCs w:val="24"/>
        </w:rPr>
        <w:t xml:space="preserve"> </w:t>
      </w:r>
      <w:r w:rsidR="004325B8" w:rsidRPr="00121A6A">
        <w:rPr>
          <w:sz w:val="24"/>
          <w:szCs w:val="24"/>
        </w:rPr>
        <w:t xml:space="preserve">materiële </w:t>
      </w:r>
      <w:r w:rsidR="00A11A4F" w:rsidRPr="00121A6A">
        <w:rPr>
          <w:sz w:val="24"/>
          <w:szCs w:val="24"/>
        </w:rPr>
        <w:t>Unierichtlijn. Met ‘rechtstreekse werking’ van artikel 28 Hv wordt bedoeld</w:t>
      </w:r>
      <w:r w:rsidR="00BF3F1E" w:rsidRPr="00121A6A">
        <w:rPr>
          <w:sz w:val="24"/>
          <w:szCs w:val="24"/>
        </w:rPr>
        <w:t xml:space="preserve"> </w:t>
      </w:r>
      <w:r w:rsidRPr="00121A6A">
        <w:rPr>
          <w:sz w:val="24"/>
          <w:szCs w:val="24"/>
        </w:rPr>
        <w:t>dat de bepaling, net als artikel 6 lid 4 ESH in de Nederlandse rechtsorde</w:t>
      </w:r>
      <w:r w:rsidR="00E52386">
        <w:rPr>
          <w:sz w:val="24"/>
          <w:szCs w:val="24"/>
        </w:rPr>
        <w:t xml:space="preserve"> (par. 3.2)</w:t>
      </w:r>
      <w:r w:rsidRPr="00121A6A">
        <w:rPr>
          <w:sz w:val="24"/>
          <w:szCs w:val="24"/>
        </w:rPr>
        <w:t xml:space="preserve">, in een nationaal rechtsgeschil als zelfstandige toetsingsmaatstaf </w:t>
      </w:r>
      <w:r w:rsidR="00545A9E" w:rsidRPr="00121A6A">
        <w:rPr>
          <w:sz w:val="24"/>
          <w:szCs w:val="24"/>
        </w:rPr>
        <w:t>wordt</w:t>
      </w:r>
      <w:r w:rsidRPr="00121A6A">
        <w:rPr>
          <w:sz w:val="24"/>
          <w:szCs w:val="24"/>
        </w:rPr>
        <w:t xml:space="preserve"> </w:t>
      </w:r>
      <w:r w:rsidR="00545A9E" w:rsidRPr="00121A6A">
        <w:rPr>
          <w:sz w:val="24"/>
          <w:szCs w:val="24"/>
        </w:rPr>
        <w:t>gehanteerd</w:t>
      </w:r>
      <w:r w:rsidRPr="00121A6A">
        <w:rPr>
          <w:sz w:val="24"/>
          <w:szCs w:val="24"/>
        </w:rPr>
        <w:t xml:space="preserve"> teneinde de </w:t>
      </w:r>
      <w:r w:rsidR="009D2362">
        <w:rPr>
          <w:sz w:val="24"/>
          <w:szCs w:val="24"/>
        </w:rPr>
        <w:t>toewijsbaarheid</w:t>
      </w:r>
      <w:r w:rsidRPr="00121A6A">
        <w:rPr>
          <w:sz w:val="24"/>
          <w:szCs w:val="24"/>
        </w:rPr>
        <w:t xml:space="preserve"> van een door een werkgever gevorderd stakingsverbod te toetsen. </w:t>
      </w:r>
      <w:r w:rsidR="00E52386">
        <w:rPr>
          <w:sz w:val="24"/>
          <w:szCs w:val="24"/>
        </w:rPr>
        <w:t xml:space="preserve">Al naargelang deze werkgever een publieke dan wel een private entiteit is, wordt gesproken van </w:t>
      </w:r>
      <w:r w:rsidR="009D2362">
        <w:rPr>
          <w:sz w:val="24"/>
          <w:szCs w:val="24"/>
        </w:rPr>
        <w:t>‘</w:t>
      </w:r>
      <w:r w:rsidR="00E52386">
        <w:rPr>
          <w:sz w:val="24"/>
          <w:szCs w:val="24"/>
        </w:rPr>
        <w:t>verticale</w:t>
      </w:r>
      <w:r w:rsidR="009D2362">
        <w:rPr>
          <w:sz w:val="24"/>
          <w:szCs w:val="24"/>
        </w:rPr>
        <w:t>’</w:t>
      </w:r>
      <w:r w:rsidR="00E52386">
        <w:rPr>
          <w:sz w:val="24"/>
          <w:szCs w:val="24"/>
        </w:rPr>
        <w:t xml:space="preserve"> dan wel </w:t>
      </w:r>
      <w:r w:rsidR="009D2362">
        <w:rPr>
          <w:sz w:val="24"/>
          <w:szCs w:val="24"/>
        </w:rPr>
        <w:t>‘</w:t>
      </w:r>
      <w:r w:rsidR="00E52386">
        <w:rPr>
          <w:sz w:val="24"/>
          <w:szCs w:val="24"/>
        </w:rPr>
        <w:t>horizontale</w:t>
      </w:r>
      <w:r w:rsidR="009D2362">
        <w:rPr>
          <w:sz w:val="24"/>
          <w:szCs w:val="24"/>
        </w:rPr>
        <w:t>’</w:t>
      </w:r>
      <w:r w:rsidR="00E52386">
        <w:rPr>
          <w:sz w:val="24"/>
          <w:szCs w:val="24"/>
        </w:rPr>
        <w:t xml:space="preserve"> rechtstreekse werking.</w:t>
      </w:r>
      <w:r w:rsidR="00E52386" w:rsidRPr="00121A6A">
        <w:rPr>
          <w:rStyle w:val="FootnoteReference"/>
          <w:sz w:val="24"/>
          <w:szCs w:val="24"/>
        </w:rPr>
        <w:footnoteReference w:id="202"/>
      </w:r>
      <w:r w:rsidR="00E52386">
        <w:rPr>
          <w:sz w:val="24"/>
          <w:szCs w:val="24"/>
        </w:rPr>
        <w:t xml:space="preserve"> Zo is sprake van verticale rechtstreekse werking indien een vakbond zich in conflict met</w:t>
      </w:r>
      <w:r w:rsidR="007D60E6" w:rsidRPr="00121A6A">
        <w:rPr>
          <w:sz w:val="24"/>
          <w:szCs w:val="24"/>
        </w:rPr>
        <w:t xml:space="preserve"> een gemeente of de Rijksoverheid</w:t>
      </w:r>
      <w:r w:rsidR="00E52386">
        <w:rPr>
          <w:sz w:val="24"/>
          <w:szCs w:val="24"/>
        </w:rPr>
        <w:t xml:space="preserve"> direct in rechte op artikel 28 Hv </w:t>
      </w:r>
      <w:r w:rsidR="009D2362">
        <w:rPr>
          <w:sz w:val="24"/>
          <w:szCs w:val="24"/>
        </w:rPr>
        <w:t xml:space="preserve">kan </w:t>
      </w:r>
      <w:r w:rsidR="00E52386">
        <w:rPr>
          <w:sz w:val="24"/>
          <w:szCs w:val="24"/>
        </w:rPr>
        <w:t>beroep</w:t>
      </w:r>
      <w:r w:rsidR="009D2362">
        <w:rPr>
          <w:sz w:val="24"/>
          <w:szCs w:val="24"/>
        </w:rPr>
        <w:t>en</w:t>
      </w:r>
      <w:r w:rsidR="00E52386">
        <w:rPr>
          <w:sz w:val="24"/>
          <w:szCs w:val="24"/>
        </w:rPr>
        <w:t>.</w:t>
      </w:r>
      <w:r w:rsidR="007D60E6" w:rsidRPr="00121A6A">
        <w:rPr>
          <w:sz w:val="24"/>
          <w:szCs w:val="24"/>
        </w:rPr>
        <w:t xml:space="preserve"> </w:t>
      </w:r>
      <w:r w:rsidR="00E52386">
        <w:rPr>
          <w:sz w:val="24"/>
          <w:szCs w:val="24"/>
        </w:rPr>
        <w:t>Van</w:t>
      </w:r>
      <w:r w:rsidR="002C29EB" w:rsidRPr="00121A6A">
        <w:rPr>
          <w:sz w:val="24"/>
          <w:szCs w:val="24"/>
        </w:rPr>
        <w:t xml:space="preserve"> </w:t>
      </w:r>
      <w:r w:rsidR="00E52386">
        <w:rPr>
          <w:sz w:val="24"/>
          <w:szCs w:val="24"/>
        </w:rPr>
        <w:t>horizontale rechtstreekse werking is sprake</w:t>
      </w:r>
      <w:r w:rsidR="00404ABE" w:rsidRPr="00121A6A">
        <w:rPr>
          <w:sz w:val="24"/>
          <w:szCs w:val="24"/>
        </w:rPr>
        <w:t xml:space="preserve"> </w:t>
      </w:r>
      <w:r w:rsidR="00E52386">
        <w:rPr>
          <w:sz w:val="24"/>
          <w:szCs w:val="24"/>
        </w:rPr>
        <w:t>indien</w:t>
      </w:r>
      <w:r w:rsidR="00404ABE" w:rsidRPr="00121A6A">
        <w:rPr>
          <w:sz w:val="24"/>
          <w:szCs w:val="24"/>
        </w:rPr>
        <w:t xml:space="preserve"> </w:t>
      </w:r>
      <w:r w:rsidR="00E52386">
        <w:rPr>
          <w:sz w:val="24"/>
          <w:szCs w:val="24"/>
        </w:rPr>
        <w:t>artikel 28 Hv</w:t>
      </w:r>
      <w:r w:rsidR="00404ABE" w:rsidRPr="00121A6A">
        <w:rPr>
          <w:sz w:val="24"/>
          <w:szCs w:val="24"/>
        </w:rPr>
        <w:t xml:space="preserve"> </w:t>
      </w:r>
      <w:r w:rsidR="002C29EB" w:rsidRPr="00121A6A">
        <w:rPr>
          <w:sz w:val="24"/>
          <w:szCs w:val="24"/>
        </w:rPr>
        <w:t>als autonome bron van subjectieve rechten</w:t>
      </w:r>
      <w:r w:rsidR="004325B8" w:rsidRPr="00121A6A">
        <w:rPr>
          <w:sz w:val="24"/>
          <w:szCs w:val="24"/>
        </w:rPr>
        <w:t xml:space="preserve"> </w:t>
      </w:r>
      <w:r w:rsidR="009D2362">
        <w:rPr>
          <w:sz w:val="24"/>
          <w:szCs w:val="24"/>
        </w:rPr>
        <w:t xml:space="preserve">kan </w:t>
      </w:r>
      <w:r w:rsidR="00404ABE" w:rsidRPr="00121A6A">
        <w:rPr>
          <w:sz w:val="24"/>
          <w:szCs w:val="24"/>
        </w:rPr>
        <w:t>word</w:t>
      </w:r>
      <w:r w:rsidR="009D2362">
        <w:rPr>
          <w:sz w:val="24"/>
          <w:szCs w:val="24"/>
        </w:rPr>
        <w:t xml:space="preserve">en </w:t>
      </w:r>
      <w:r w:rsidR="00404ABE" w:rsidRPr="00121A6A">
        <w:rPr>
          <w:sz w:val="24"/>
          <w:szCs w:val="24"/>
        </w:rPr>
        <w:t xml:space="preserve">ingeroepen </w:t>
      </w:r>
      <w:r w:rsidR="009D2362">
        <w:rPr>
          <w:sz w:val="24"/>
          <w:szCs w:val="24"/>
        </w:rPr>
        <w:t>jegens</w:t>
      </w:r>
      <w:r w:rsidR="009762B2">
        <w:rPr>
          <w:sz w:val="24"/>
          <w:szCs w:val="24"/>
        </w:rPr>
        <w:t xml:space="preserve"> een particuliere werkgever</w:t>
      </w:r>
      <w:r w:rsidR="001B27B2">
        <w:rPr>
          <w:sz w:val="24"/>
          <w:szCs w:val="24"/>
        </w:rPr>
        <w:t>.</w:t>
      </w:r>
    </w:p>
    <w:p w14:paraId="401D232D" w14:textId="55AE2794" w:rsidR="00AE2F85" w:rsidRPr="00121A6A" w:rsidRDefault="00B40097" w:rsidP="00AE2F85">
      <w:pPr>
        <w:spacing w:after="0"/>
        <w:ind w:firstLine="708"/>
        <w:jc w:val="both"/>
        <w:rPr>
          <w:sz w:val="24"/>
          <w:szCs w:val="24"/>
        </w:rPr>
      </w:pPr>
      <w:r w:rsidRPr="00121A6A">
        <w:rPr>
          <w:sz w:val="24"/>
          <w:szCs w:val="24"/>
        </w:rPr>
        <w:t xml:space="preserve">Voorafgaand moet worden </w:t>
      </w:r>
      <w:r w:rsidR="00F159A5" w:rsidRPr="00121A6A">
        <w:rPr>
          <w:sz w:val="24"/>
          <w:szCs w:val="24"/>
        </w:rPr>
        <w:t>opgemerkt</w:t>
      </w:r>
      <w:r w:rsidRPr="00121A6A">
        <w:rPr>
          <w:sz w:val="24"/>
          <w:szCs w:val="24"/>
        </w:rPr>
        <w:t xml:space="preserve"> dat de kans klein is dat Nederlandse vakbonden zich </w:t>
      </w:r>
      <w:r w:rsidR="00501ACE" w:rsidRPr="00121A6A">
        <w:rPr>
          <w:sz w:val="24"/>
          <w:szCs w:val="24"/>
        </w:rPr>
        <w:t xml:space="preserve">in </w:t>
      </w:r>
      <w:r w:rsidRPr="00121A6A">
        <w:rPr>
          <w:sz w:val="24"/>
          <w:szCs w:val="24"/>
        </w:rPr>
        <w:t>de praktijk behalve op artikel 6 lid 4 ESH (herzien) ook op artikel 28 Hv (zouden willen) beroepen. Immers, dit brengt voor hen een risico met zich: indien wordt aangenomen dat het Handvest van toepassing is</w:t>
      </w:r>
      <w:r w:rsidR="00805F3B" w:rsidRPr="00121A6A">
        <w:rPr>
          <w:sz w:val="24"/>
          <w:szCs w:val="24"/>
        </w:rPr>
        <w:t xml:space="preserve"> en artikel 28 Hv</w:t>
      </w:r>
      <w:r w:rsidR="00501ACE" w:rsidRPr="00121A6A">
        <w:rPr>
          <w:sz w:val="24"/>
          <w:szCs w:val="24"/>
        </w:rPr>
        <w:t xml:space="preserve"> </w:t>
      </w:r>
      <w:r w:rsidR="00805F3B" w:rsidRPr="00121A6A">
        <w:rPr>
          <w:sz w:val="24"/>
          <w:szCs w:val="24"/>
        </w:rPr>
        <w:t xml:space="preserve">rechtstreekse werking </w:t>
      </w:r>
      <w:r w:rsidR="00C10B81">
        <w:rPr>
          <w:sz w:val="24"/>
          <w:szCs w:val="24"/>
        </w:rPr>
        <w:t>heeft</w:t>
      </w:r>
      <w:r w:rsidRPr="00121A6A">
        <w:rPr>
          <w:sz w:val="24"/>
          <w:szCs w:val="24"/>
        </w:rPr>
        <w:t xml:space="preserve">, </w:t>
      </w:r>
      <w:r w:rsidR="00805F3B" w:rsidRPr="00121A6A">
        <w:rPr>
          <w:sz w:val="24"/>
          <w:szCs w:val="24"/>
        </w:rPr>
        <w:t>komt</w:t>
      </w:r>
      <w:r w:rsidRPr="00121A6A">
        <w:rPr>
          <w:sz w:val="24"/>
          <w:szCs w:val="24"/>
        </w:rPr>
        <w:t xml:space="preserve"> </w:t>
      </w:r>
      <w:r w:rsidR="00390E03" w:rsidRPr="00121A6A">
        <w:rPr>
          <w:sz w:val="24"/>
          <w:szCs w:val="24"/>
        </w:rPr>
        <w:t xml:space="preserve">in horizontale stakingsgeschillen </w:t>
      </w:r>
      <w:r w:rsidRPr="00121A6A">
        <w:rPr>
          <w:sz w:val="24"/>
          <w:szCs w:val="24"/>
        </w:rPr>
        <w:t>ook</w:t>
      </w:r>
      <w:r w:rsidR="00997779" w:rsidRPr="00121A6A">
        <w:rPr>
          <w:sz w:val="24"/>
          <w:szCs w:val="24"/>
        </w:rPr>
        <w:t xml:space="preserve"> </w:t>
      </w:r>
      <w:r w:rsidRPr="00121A6A">
        <w:rPr>
          <w:sz w:val="24"/>
          <w:szCs w:val="24"/>
        </w:rPr>
        <w:t>artikel 16 Hv</w:t>
      </w:r>
      <w:r w:rsidR="00805F3B" w:rsidRPr="00121A6A">
        <w:rPr>
          <w:sz w:val="24"/>
          <w:szCs w:val="24"/>
        </w:rPr>
        <w:t xml:space="preserve"> in beeld</w:t>
      </w:r>
      <w:r w:rsidRPr="00121A6A">
        <w:rPr>
          <w:sz w:val="24"/>
          <w:szCs w:val="24"/>
        </w:rPr>
        <w:t>.</w:t>
      </w:r>
      <w:r w:rsidR="00B6385F" w:rsidRPr="00121A6A">
        <w:rPr>
          <w:sz w:val="24"/>
          <w:szCs w:val="24"/>
        </w:rPr>
        <w:t xml:space="preserve"> Een private werkgever </w:t>
      </w:r>
      <w:r w:rsidR="00F159A5" w:rsidRPr="00121A6A">
        <w:rPr>
          <w:sz w:val="24"/>
          <w:szCs w:val="24"/>
        </w:rPr>
        <w:t>zou</w:t>
      </w:r>
      <w:r w:rsidR="00B6385F" w:rsidRPr="00121A6A">
        <w:rPr>
          <w:sz w:val="24"/>
          <w:szCs w:val="24"/>
        </w:rPr>
        <w:t xml:space="preserve"> zich ter rechtvaardiging voor een inbreuk op het stakingsrecht op zijn vrijheid van ondernemerschap</w:t>
      </w:r>
      <w:r w:rsidR="00F159A5" w:rsidRPr="00121A6A">
        <w:rPr>
          <w:sz w:val="24"/>
          <w:szCs w:val="24"/>
        </w:rPr>
        <w:t xml:space="preserve"> kunnen</w:t>
      </w:r>
      <w:r w:rsidR="00B6385F" w:rsidRPr="00121A6A">
        <w:rPr>
          <w:sz w:val="24"/>
          <w:szCs w:val="24"/>
        </w:rPr>
        <w:t xml:space="preserve"> beroepen.</w:t>
      </w:r>
      <w:r w:rsidR="00B6385F" w:rsidRPr="00121A6A">
        <w:rPr>
          <w:rStyle w:val="FootnoteReference"/>
          <w:sz w:val="24"/>
          <w:szCs w:val="24"/>
        </w:rPr>
        <w:footnoteReference w:id="203"/>
      </w:r>
      <w:r w:rsidR="00B6385F" w:rsidRPr="00121A6A">
        <w:rPr>
          <w:sz w:val="24"/>
          <w:szCs w:val="24"/>
        </w:rPr>
        <w:t xml:space="preserve"> </w:t>
      </w:r>
      <w:r w:rsidR="00AE2F85" w:rsidRPr="00121A6A">
        <w:rPr>
          <w:sz w:val="24"/>
          <w:szCs w:val="24"/>
        </w:rPr>
        <w:t xml:space="preserve">Hoe de balansoefening tussen deze twee botsende </w:t>
      </w:r>
      <w:r w:rsidR="008844B3">
        <w:rPr>
          <w:sz w:val="24"/>
          <w:szCs w:val="24"/>
        </w:rPr>
        <w:t>(</w:t>
      </w:r>
      <w:r w:rsidR="00AE2F85" w:rsidRPr="00121A6A">
        <w:rPr>
          <w:sz w:val="24"/>
          <w:szCs w:val="24"/>
        </w:rPr>
        <w:t>grond</w:t>
      </w:r>
      <w:r w:rsidR="008844B3">
        <w:rPr>
          <w:sz w:val="24"/>
          <w:szCs w:val="24"/>
        </w:rPr>
        <w:t>)</w:t>
      </w:r>
      <w:r w:rsidR="00AE2F85" w:rsidRPr="00121A6A">
        <w:rPr>
          <w:sz w:val="24"/>
          <w:szCs w:val="24"/>
        </w:rPr>
        <w:t xml:space="preserve">rechten uitvalt, is bij gebrek aan rechtspraak onduidelijk. </w:t>
      </w:r>
      <w:r w:rsidR="00B6385F" w:rsidRPr="00121A6A">
        <w:rPr>
          <w:sz w:val="24"/>
          <w:szCs w:val="24"/>
        </w:rPr>
        <w:t>G</w:t>
      </w:r>
      <w:r w:rsidRPr="00121A6A">
        <w:rPr>
          <w:sz w:val="24"/>
          <w:szCs w:val="24"/>
        </w:rPr>
        <w:t xml:space="preserve">elet op </w:t>
      </w:r>
      <w:r w:rsidR="00B6385F" w:rsidRPr="00121A6A">
        <w:rPr>
          <w:sz w:val="24"/>
          <w:szCs w:val="24"/>
        </w:rPr>
        <w:t xml:space="preserve">het zwaarwegende belang dat het Hof doorgaans toekent aan economische </w:t>
      </w:r>
      <w:r w:rsidR="008844B3">
        <w:rPr>
          <w:sz w:val="24"/>
          <w:szCs w:val="24"/>
        </w:rPr>
        <w:t>vrijheden</w:t>
      </w:r>
      <w:r w:rsidRPr="00121A6A">
        <w:rPr>
          <w:sz w:val="24"/>
          <w:szCs w:val="24"/>
        </w:rPr>
        <w:t>,</w:t>
      </w:r>
      <w:r w:rsidR="00AE2F85" w:rsidRPr="00121A6A">
        <w:rPr>
          <w:rStyle w:val="FootnoteReference"/>
          <w:sz w:val="24"/>
          <w:szCs w:val="24"/>
        </w:rPr>
        <w:footnoteReference w:id="204"/>
      </w:r>
      <w:r w:rsidRPr="00121A6A">
        <w:rPr>
          <w:sz w:val="24"/>
          <w:szCs w:val="24"/>
        </w:rPr>
        <w:t xml:space="preserve"> zullen vakbonden </w:t>
      </w:r>
      <w:r w:rsidR="00AE2F85" w:rsidRPr="00121A6A">
        <w:rPr>
          <w:sz w:val="24"/>
          <w:szCs w:val="24"/>
        </w:rPr>
        <w:t xml:space="preserve">evenwel </w:t>
      </w:r>
      <w:r w:rsidRPr="00121A6A">
        <w:rPr>
          <w:sz w:val="24"/>
          <w:szCs w:val="24"/>
        </w:rPr>
        <w:t xml:space="preserve">huiverig zijn </w:t>
      </w:r>
      <w:r w:rsidR="00DF5CF6">
        <w:rPr>
          <w:sz w:val="24"/>
          <w:szCs w:val="24"/>
        </w:rPr>
        <w:t xml:space="preserve">om </w:t>
      </w:r>
      <w:r w:rsidRPr="00121A6A">
        <w:rPr>
          <w:sz w:val="24"/>
          <w:szCs w:val="24"/>
        </w:rPr>
        <w:t xml:space="preserve">dit pad te bewandelen. </w:t>
      </w:r>
      <w:r w:rsidR="00683BEC" w:rsidRPr="00121A6A">
        <w:rPr>
          <w:sz w:val="24"/>
          <w:szCs w:val="24"/>
        </w:rPr>
        <w:t>Desondanks</w:t>
      </w:r>
      <w:r w:rsidRPr="00121A6A">
        <w:rPr>
          <w:sz w:val="24"/>
          <w:szCs w:val="24"/>
        </w:rPr>
        <w:t xml:space="preserve"> </w:t>
      </w:r>
      <w:r w:rsidR="008B6407" w:rsidRPr="00121A6A">
        <w:rPr>
          <w:sz w:val="24"/>
          <w:szCs w:val="24"/>
        </w:rPr>
        <w:t>bestaat een kans</w:t>
      </w:r>
      <w:r w:rsidR="00056FD7" w:rsidRPr="00121A6A">
        <w:rPr>
          <w:sz w:val="24"/>
          <w:szCs w:val="24"/>
        </w:rPr>
        <w:t xml:space="preserve"> dat het Hof in dit ‘omgekeerde toetsingskader’ </w:t>
      </w:r>
      <w:r w:rsidR="008B6407" w:rsidRPr="00121A6A">
        <w:rPr>
          <w:sz w:val="24"/>
          <w:szCs w:val="24"/>
        </w:rPr>
        <w:t xml:space="preserve">de conflicterende </w:t>
      </w:r>
      <w:r w:rsidR="008844B3">
        <w:rPr>
          <w:sz w:val="24"/>
          <w:szCs w:val="24"/>
        </w:rPr>
        <w:t>(</w:t>
      </w:r>
      <w:r w:rsidR="008B6407" w:rsidRPr="00121A6A">
        <w:rPr>
          <w:sz w:val="24"/>
          <w:szCs w:val="24"/>
        </w:rPr>
        <w:t>grond</w:t>
      </w:r>
      <w:r w:rsidR="008844B3">
        <w:rPr>
          <w:sz w:val="24"/>
          <w:szCs w:val="24"/>
        </w:rPr>
        <w:t>)</w:t>
      </w:r>
      <w:r w:rsidR="008B6407" w:rsidRPr="00121A6A">
        <w:rPr>
          <w:sz w:val="24"/>
          <w:szCs w:val="24"/>
        </w:rPr>
        <w:t>rechten anders tegen elkaar zou afwegen</w:t>
      </w:r>
      <w:r w:rsidR="00056FD7" w:rsidRPr="00121A6A">
        <w:rPr>
          <w:sz w:val="24"/>
          <w:szCs w:val="24"/>
        </w:rPr>
        <w:t>.</w:t>
      </w:r>
      <w:r w:rsidRPr="00121A6A">
        <w:rPr>
          <w:sz w:val="24"/>
          <w:szCs w:val="24"/>
        </w:rPr>
        <w:t xml:space="preserve"> </w:t>
      </w:r>
      <w:r w:rsidR="008B6407" w:rsidRPr="00121A6A">
        <w:rPr>
          <w:sz w:val="24"/>
          <w:szCs w:val="24"/>
        </w:rPr>
        <w:t>E</w:t>
      </w:r>
      <w:r w:rsidRPr="00121A6A">
        <w:rPr>
          <w:sz w:val="24"/>
          <w:szCs w:val="24"/>
        </w:rPr>
        <w:t>en analyse van het</w:t>
      </w:r>
      <w:r w:rsidR="00BE1A67" w:rsidRPr="00121A6A">
        <w:rPr>
          <w:sz w:val="24"/>
          <w:szCs w:val="24"/>
        </w:rPr>
        <w:t xml:space="preserve"> al dan niet</w:t>
      </w:r>
      <w:r w:rsidRPr="00121A6A">
        <w:rPr>
          <w:sz w:val="24"/>
          <w:szCs w:val="24"/>
        </w:rPr>
        <w:t xml:space="preserve"> rechtstreeks </w:t>
      </w:r>
      <w:r w:rsidR="00BE1A67" w:rsidRPr="00121A6A">
        <w:rPr>
          <w:sz w:val="24"/>
          <w:szCs w:val="24"/>
        </w:rPr>
        <w:t xml:space="preserve">kunnen </w:t>
      </w:r>
      <w:r w:rsidRPr="00121A6A">
        <w:rPr>
          <w:sz w:val="24"/>
          <w:szCs w:val="24"/>
        </w:rPr>
        <w:t>inroepen van artikel 28 Hv</w:t>
      </w:r>
      <w:r w:rsidR="008B6407" w:rsidRPr="00121A6A">
        <w:rPr>
          <w:sz w:val="24"/>
          <w:szCs w:val="24"/>
        </w:rPr>
        <w:t xml:space="preserve"> is dan ook</w:t>
      </w:r>
      <w:r w:rsidRPr="00121A6A">
        <w:rPr>
          <w:sz w:val="24"/>
          <w:szCs w:val="24"/>
        </w:rPr>
        <w:t xml:space="preserve"> nuttig</w:t>
      </w:r>
      <w:r w:rsidR="008B6407" w:rsidRPr="00121A6A">
        <w:rPr>
          <w:sz w:val="24"/>
          <w:szCs w:val="24"/>
        </w:rPr>
        <w:t xml:space="preserve">: </w:t>
      </w:r>
      <w:r w:rsidRPr="00121A6A">
        <w:rPr>
          <w:sz w:val="24"/>
          <w:szCs w:val="24"/>
        </w:rPr>
        <w:t>het</w:t>
      </w:r>
      <w:r w:rsidR="008B6407" w:rsidRPr="00121A6A">
        <w:rPr>
          <w:sz w:val="24"/>
          <w:szCs w:val="24"/>
        </w:rPr>
        <w:t xml:space="preserve"> verschaft</w:t>
      </w:r>
      <w:r w:rsidRPr="00121A6A">
        <w:rPr>
          <w:sz w:val="24"/>
          <w:szCs w:val="24"/>
        </w:rPr>
        <w:t xml:space="preserve"> inzicht in </w:t>
      </w:r>
      <w:r w:rsidR="006E294E" w:rsidRPr="00121A6A">
        <w:rPr>
          <w:sz w:val="24"/>
          <w:szCs w:val="24"/>
        </w:rPr>
        <w:t>de</w:t>
      </w:r>
      <w:r w:rsidR="00B6385F" w:rsidRPr="00121A6A">
        <w:rPr>
          <w:sz w:val="24"/>
          <w:szCs w:val="24"/>
        </w:rPr>
        <w:t xml:space="preserve"> </w:t>
      </w:r>
      <w:r w:rsidR="006E294E" w:rsidRPr="00121A6A">
        <w:rPr>
          <w:sz w:val="24"/>
          <w:szCs w:val="24"/>
        </w:rPr>
        <w:t xml:space="preserve">potentie van </w:t>
      </w:r>
      <w:r w:rsidR="00997779" w:rsidRPr="00121A6A">
        <w:rPr>
          <w:sz w:val="24"/>
          <w:szCs w:val="24"/>
        </w:rPr>
        <w:t>de bepaling</w:t>
      </w:r>
      <w:r w:rsidR="006E294E" w:rsidRPr="00121A6A">
        <w:rPr>
          <w:sz w:val="24"/>
          <w:szCs w:val="24"/>
        </w:rPr>
        <w:t xml:space="preserve"> </w:t>
      </w:r>
      <w:r w:rsidR="001D0703" w:rsidRPr="00121A6A">
        <w:rPr>
          <w:sz w:val="24"/>
          <w:szCs w:val="24"/>
        </w:rPr>
        <w:t>om</w:t>
      </w:r>
      <w:r w:rsidR="00832F82" w:rsidRPr="00121A6A">
        <w:rPr>
          <w:sz w:val="24"/>
          <w:szCs w:val="24"/>
        </w:rPr>
        <w:t>,</w:t>
      </w:r>
      <w:r w:rsidR="001D0703" w:rsidRPr="00121A6A">
        <w:rPr>
          <w:sz w:val="24"/>
          <w:szCs w:val="24"/>
        </w:rPr>
        <w:t xml:space="preserve"> conform artikel 11 EVRM, ILO-Verdrag 87 en artikel 6 lid 4 ESH</w:t>
      </w:r>
      <w:r w:rsidR="00832F82" w:rsidRPr="00121A6A">
        <w:rPr>
          <w:sz w:val="24"/>
          <w:szCs w:val="24"/>
        </w:rPr>
        <w:t>,</w:t>
      </w:r>
      <w:r w:rsidR="001D0703" w:rsidRPr="00121A6A">
        <w:rPr>
          <w:sz w:val="24"/>
          <w:szCs w:val="24"/>
        </w:rPr>
        <w:t xml:space="preserve"> als</w:t>
      </w:r>
      <w:r w:rsidR="006E294E" w:rsidRPr="00121A6A">
        <w:rPr>
          <w:sz w:val="24"/>
          <w:szCs w:val="24"/>
        </w:rPr>
        <w:t xml:space="preserve"> </w:t>
      </w:r>
      <w:r w:rsidR="00FE0695" w:rsidRPr="00121A6A">
        <w:rPr>
          <w:sz w:val="24"/>
          <w:szCs w:val="24"/>
        </w:rPr>
        <w:t>uitgangspunt van toetsing te fungeren</w:t>
      </w:r>
      <w:r w:rsidR="006E294E" w:rsidRPr="00121A6A">
        <w:rPr>
          <w:sz w:val="24"/>
          <w:szCs w:val="24"/>
        </w:rPr>
        <w:t>.</w:t>
      </w:r>
      <w:r w:rsidR="00DF168C" w:rsidRPr="00121A6A">
        <w:rPr>
          <w:sz w:val="24"/>
          <w:szCs w:val="24"/>
        </w:rPr>
        <w:t xml:space="preserve"> </w:t>
      </w:r>
      <w:r w:rsidR="00BE74E1" w:rsidRPr="00121A6A">
        <w:rPr>
          <w:sz w:val="24"/>
          <w:szCs w:val="24"/>
        </w:rPr>
        <w:t>H</w:t>
      </w:r>
      <w:r w:rsidR="00DF168C" w:rsidRPr="00121A6A">
        <w:rPr>
          <w:sz w:val="24"/>
          <w:szCs w:val="24"/>
        </w:rPr>
        <w:t xml:space="preserve">et toetsingskader dat in deze context </w:t>
      </w:r>
      <w:r w:rsidR="00BE74E1" w:rsidRPr="00121A6A">
        <w:rPr>
          <w:sz w:val="24"/>
          <w:szCs w:val="24"/>
        </w:rPr>
        <w:t xml:space="preserve">eventueel zou kunnen ontstaan, </w:t>
      </w:r>
      <w:r w:rsidR="008950CB" w:rsidRPr="00121A6A">
        <w:rPr>
          <w:sz w:val="24"/>
          <w:szCs w:val="24"/>
        </w:rPr>
        <w:t xml:space="preserve">waarbij artikel 16 Hv </w:t>
      </w:r>
      <w:r w:rsidR="006D10A4">
        <w:rPr>
          <w:sz w:val="24"/>
          <w:szCs w:val="24"/>
        </w:rPr>
        <w:t xml:space="preserve">zich </w:t>
      </w:r>
      <w:r w:rsidR="008950CB" w:rsidRPr="00121A6A">
        <w:rPr>
          <w:sz w:val="24"/>
          <w:szCs w:val="24"/>
        </w:rPr>
        <w:t xml:space="preserve">als uitzondering </w:t>
      </w:r>
      <w:r w:rsidR="00FE0695" w:rsidRPr="00121A6A">
        <w:rPr>
          <w:sz w:val="24"/>
          <w:szCs w:val="24"/>
        </w:rPr>
        <w:t>op artikel 28 Hv</w:t>
      </w:r>
      <w:r w:rsidR="006D10A4">
        <w:rPr>
          <w:sz w:val="24"/>
          <w:szCs w:val="24"/>
        </w:rPr>
        <w:t xml:space="preserve"> </w:t>
      </w:r>
      <w:r w:rsidR="000C1897">
        <w:rPr>
          <w:sz w:val="24"/>
          <w:szCs w:val="24"/>
        </w:rPr>
        <w:t xml:space="preserve">zou </w:t>
      </w:r>
      <w:r w:rsidR="006D10A4">
        <w:rPr>
          <w:sz w:val="24"/>
          <w:szCs w:val="24"/>
        </w:rPr>
        <w:t>manifest</w:t>
      </w:r>
      <w:r w:rsidR="000C1897">
        <w:rPr>
          <w:sz w:val="24"/>
          <w:szCs w:val="24"/>
        </w:rPr>
        <w:t>eren</w:t>
      </w:r>
      <w:r w:rsidR="008950CB" w:rsidRPr="00121A6A">
        <w:rPr>
          <w:sz w:val="24"/>
          <w:szCs w:val="24"/>
        </w:rPr>
        <w:t xml:space="preserve">, </w:t>
      </w:r>
      <w:r w:rsidR="00BE74E1" w:rsidRPr="00121A6A">
        <w:rPr>
          <w:sz w:val="24"/>
          <w:szCs w:val="24"/>
        </w:rPr>
        <w:t>zou</w:t>
      </w:r>
      <w:r w:rsidR="00DF168C" w:rsidRPr="00121A6A">
        <w:rPr>
          <w:sz w:val="24"/>
          <w:szCs w:val="24"/>
        </w:rPr>
        <w:t xml:space="preserve"> het stakingskader uit </w:t>
      </w:r>
      <w:r w:rsidR="00DF168C" w:rsidRPr="00121A6A">
        <w:rPr>
          <w:i/>
          <w:iCs/>
          <w:sz w:val="24"/>
          <w:szCs w:val="24"/>
        </w:rPr>
        <w:t xml:space="preserve">Viking </w:t>
      </w:r>
      <w:r w:rsidR="00BE74E1" w:rsidRPr="00121A6A">
        <w:rPr>
          <w:sz w:val="24"/>
          <w:szCs w:val="24"/>
        </w:rPr>
        <w:t xml:space="preserve">op </w:t>
      </w:r>
      <w:r w:rsidR="00DF168C" w:rsidRPr="00121A6A">
        <w:rPr>
          <w:sz w:val="24"/>
          <w:szCs w:val="24"/>
        </w:rPr>
        <w:t>indirect</w:t>
      </w:r>
      <w:r w:rsidR="00BE74E1" w:rsidRPr="00121A6A">
        <w:rPr>
          <w:sz w:val="24"/>
          <w:szCs w:val="24"/>
        </w:rPr>
        <w:t>e doch</w:t>
      </w:r>
      <w:r w:rsidR="00DF168C" w:rsidRPr="00121A6A">
        <w:rPr>
          <w:sz w:val="24"/>
          <w:szCs w:val="24"/>
        </w:rPr>
        <w:t xml:space="preserve"> positieve wijze kunnen beïnvloeden.</w:t>
      </w:r>
      <w:r w:rsidR="002C320B" w:rsidRPr="00121A6A">
        <w:rPr>
          <w:rStyle w:val="FootnoteReference"/>
          <w:sz w:val="24"/>
          <w:szCs w:val="24"/>
        </w:rPr>
        <w:footnoteReference w:id="205"/>
      </w:r>
    </w:p>
    <w:p w14:paraId="7BB4E329" w14:textId="77777777" w:rsidR="00404ABE" w:rsidRPr="00121A6A" w:rsidRDefault="00404ABE" w:rsidP="00341F40">
      <w:pPr>
        <w:spacing w:after="0"/>
        <w:jc w:val="both"/>
        <w:rPr>
          <w:sz w:val="24"/>
          <w:szCs w:val="24"/>
        </w:rPr>
      </w:pPr>
    </w:p>
    <w:p w14:paraId="3B3FAC1A" w14:textId="5C62DCA0" w:rsidR="00404ABE" w:rsidRPr="00121A6A" w:rsidRDefault="00404ABE" w:rsidP="00404ABE">
      <w:pPr>
        <w:pStyle w:val="Heading3"/>
        <w:jc w:val="both"/>
        <w:rPr>
          <w:sz w:val="24"/>
          <w:szCs w:val="24"/>
        </w:rPr>
      </w:pPr>
      <w:bookmarkStart w:id="81" w:name="_Toc169963075"/>
      <w:r w:rsidRPr="00121A6A">
        <w:rPr>
          <w:sz w:val="24"/>
          <w:szCs w:val="24"/>
        </w:rPr>
        <w:t xml:space="preserve">Voorwaarden </w:t>
      </w:r>
      <w:r w:rsidR="003C7EC1" w:rsidRPr="00121A6A">
        <w:rPr>
          <w:sz w:val="24"/>
          <w:szCs w:val="24"/>
        </w:rPr>
        <w:t xml:space="preserve">voor </w:t>
      </w:r>
      <w:r w:rsidR="00B22417" w:rsidRPr="00121A6A">
        <w:rPr>
          <w:sz w:val="24"/>
          <w:szCs w:val="24"/>
        </w:rPr>
        <w:t>verticale</w:t>
      </w:r>
      <w:r w:rsidRPr="00121A6A">
        <w:rPr>
          <w:sz w:val="24"/>
          <w:szCs w:val="24"/>
        </w:rPr>
        <w:t xml:space="preserve"> </w:t>
      </w:r>
      <w:r w:rsidR="00B22417" w:rsidRPr="00121A6A">
        <w:rPr>
          <w:sz w:val="24"/>
          <w:szCs w:val="24"/>
        </w:rPr>
        <w:t xml:space="preserve">en horizontale </w:t>
      </w:r>
      <w:r w:rsidR="00275A9D">
        <w:rPr>
          <w:sz w:val="24"/>
          <w:szCs w:val="24"/>
        </w:rPr>
        <w:t>directe</w:t>
      </w:r>
      <w:r w:rsidRPr="00121A6A">
        <w:rPr>
          <w:sz w:val="24"/>
          <w:szCs w:val="24"/>
        </w:rPr>
        <w:t xml:space="preserve"> werking</w:t>
      </w:r>
      <w:bookmarkEnd w:id="81"/>
    </w:p>
    <w:p w14:paraId="45D7C455" w14:textId="30250CFE" w:rsidR="00404ABE" w:rsidRPr="00121A6A" w:rsidRDefault="00404ABE" w:rsidP="00B10C02">
      <w:pPr>
        <w:spacing w:after="0"/>
        <w:jc w:val="both"/>
        <w:rPr>
          <w:sz w:val="24"/>
          <w:szCs w:val="24"/>
        </w:rPr>
      </w:pPr>
      <w:r w:rsidRPr="00121A6A">
        <w:rPr>
          <w:sz w:val="24"/>
          <w:szCs w:val="24"/>
        </w:rPr>
        <w:t xml:space="preserve">De principiële mogelijkheid van rechtstreekse werking van bepalingen van primair en secundair Unierecht, waaronder Handvestbepalingen, vloeit voort uit bestendige rechtspraak op grond waarvan de EU een eigen, separate rechtsorde is die is afgescheiden van de internationale </w:t>
      </w:r>
      <w:r w:rsidRPr="00121A6A">
        <w:rPr>
          <w:sz w:val="24"/>
          <w:szCs w:val="24"/>
        </w:rPr>
        <w:lastRenderedPageBreak/>
        <w:t>rechtsorde.</w:t>
      </w:r>
      <w:r w:rsidRPr="00121A6A">
        <w:rPr>
          <w:rStyle w:val="FootnoteReference"/>
          <w:sz w:val="24"/>
          <w:szCs w:val="24"/>
        </w:rPr>
        <w:footnoteReference w:id="206"/>
      </w:r>
      <w:r w:rsidRPr="00121A6A">
        <w:rPr>
          <w:sz w:val="24"/>
          <w:szCs w:val="24"/>
        </w:rPr>
        <w:t xml:space="preserve"> Ongeacht hetgeen in nationaal recht is bepaald rondom </w:t>
      </w:r>
      <w:r w:rsidR="00C70EFE">
        <w:rPr>
          <w:sz w:val="24"/>
          <w:szCs w:val="24"/>
        </w:rPr>
        <w:t xml:space="preserve">de </w:t>
      </w:r>
      <w:r w:rsidRPr="00121A6A">
        <w:rPr>
          <w:sz w:val="24"/>
          <w:szCs w:val="24"/>
        </w:rPr>
        <w:t>doorwerking en (mate van) voorrang van internationaal recht,</w:t>
      </w:r>
      <w:r w:rsidRPr="00121A6A">
        <w:rPr>
          <w:rStyle w:val="FootnoteReference"/>
          <w:sz w:val="24"/>
          <w:szCs w:val="24"/>
        </w:rPr>
        <w:footnoteReference w:id="207"/>
      </w:r>
      <w:r w:rsidRPr="00121A6A">
        <w:rPr>
          <w:sz w:val="24"/>
          <w:szCs w:val="24"/>
        </w:rPr>
        <w:t xml:space="preserve"> kunnen Unierechtelijke bepalingen onder omstandigheden rechtstreeks, automatisch en met voorrang doorwerken in de nationale rechtsorde. Wel geldt ten minste een tweetal voorwaarden: (</w:t>
      </w:r>
      <w:r w:rsidR="00427714" w:rsidRPr="00121A6A">
        <w:rPr>
          <w:sz w:val="24"/>
          <w:szCs w:val="24"/>
        </w:rPr>
        <w:t>1</w:t>
      </w:r>
      <w:r w:rsidRPr="00121A6A">
        <w:rPr>
          <w:sz w:val="24"/>
          <w:szCs w:val="24"/>
        </w:rPr>
        <w:t>) de relevante EU-bepaling moet technisch geschikt zijn voor rechtstreekse werking</w:t>
      </w:r>
      <w:r w:rsidR="00427714" w:rsidRPr="00121A6A">
        <w:rPr>
          <w:sz w:val="24"/>
          <w:szCs w:val="24"/>
        </w:rPr>
        <w:t>;</w:t>
      </w:r>
      <w:r w:rsidRPr="00121A6A">
        <w:rPr>
          <w:sz w:val="24"/>
          <w:szCs w:val="24"/>
        </w:rPr>
        <w:t xml:space="preserve"> en (</w:t>
      </w:r>
      <w:r w:rsidR="00427714" w:rsidRPr="00121A6A">
        <w:rPr>
          <w:sz w:val="24"/>
          <w:szCs w:val="24"/>
        </w:rPr>
        <w:t>2</w:t>
      </w:r>
      <w:r w:rsidRPr="00121A6A">
        <w:rPr>
          <w:sz w:val="24"/>
          <w:szCs w:val="24"/>
        </w:rPr>
        <w:t xml:space="preserve">) de bepaling moet als zodanig van toepassing zijn op </w:t>
      </w:r>
      <w:r w:rsidR="001F4649">
        <w:rPr>
          <w:sz w:val="24"/>
          <w:szCs w:val="24"/>
        </w:rPr>
        <w:t>de</w:t>
      </w:r>
      <w:r w:rsidRPr="00121A6A">
        <w:rPr>
          <w:sz w:val="24"/>
          <w:szCs w:val="24"/>
        </w:rPr>
        <w:t xml:space="preserve"> concrete rechts</w:t>
      </w:r>
      <w:r w:rsidR="001F4649">
        <w:rPr>
          <w:sz w:val="24"/>
          <w:szCs w:val="24"/>
        </w:rPr>
        <w:t>verhouding</w:t>
      </w:r>
      <w:r w:rsidRPr="00121A6A">
        <w:rPr>
          <w:sz w:val="24"/>
          <w:szCs w:val="24"/>
        </w:rPr>
        <w:t xml:space="preserve"> en (een van) de procespartijen binden.</w:t>
      </w:r>
      <w:r w:rsidR="00261C62" w:rsidRPr="00121A6A">
        <w:rPr>
          <w:sz w:val="24"/>
          <w:szCs w:val="24"/>
        </w:rPr>
        <w:t xml:space="preserve"> </w:t>
      </w:r>
      <w:r w:rsidRPr="00121A6A">
        <w:rPr>
          <w:sz w:val="24"/>
          <w:szCs w:val="24"/>
        </w:rPr>
        <w:t xml:space="preserve">De eerste voorwaarde houdt verband met de </w:t>
      </w:r>
      <w:r w:rsidRPr="00121A6A">
        <w:rPr>
          <w:i/>
          <w:iCs/>
          <w:sz w:val="24"/>
          <w:szCs w:val="24"/>
        </w:rPr>
        <w:t>trias politica</w:t>
      </w:r>
      <w:r w:rsidRPr="00121A6A">
        <w:rPr>
          <w:sz w:val="24"/>
          <w:szCs w:val="24"/>
        </w:rPr>
        <w:t xml:space="preserve">: alleen voor zover een </w:t>
      </w:r>
      <w:r w:rsidR="00093E1A" w:rsidRPr="00121A6A">
        <w:rPr>
          <w:sz w:val="24"/>
          <w:szCs w:val="24"/>
        </w:rPr>
        <w:t>Unie(grond)recht</w:t>
      </w:r>
      <w:r w:rsidRPr="00121A6A">
        <w:rPr>
          <w:sz w:val="24"/>
          <w:szCs w:val="24"/>
        </w:rPr>
        <w:t xml:space="preserve"> voldoende nauwkeurig en onvoorwaardelijk (geformuleerd) is, kan de rechter </w:t>
      </w:r>
      <w:r w:rsidR="00683BEC" w:rsidRPr="00121A6A">
        <w:rPr>
          <w:sz w:val="24"/>
          <w:szCs w:val="24"/>
        </w:rPr>
        <w:t>dit (grond)recht</w:t>
      </w:r>
      <w:r w:rsidRPr="00121A6A">
        <w:rPr>
          <w:sz w:val="24"/>
          <w:szCs w:val="24"/>
        </w:rPr>
        <w:t xml:space="preserve"> hanteren als zelfstandige toetsingsmaatstaf. Als de norm te vaag is en nadere wetgevende concretisering behoeft, zou de rechter het terrein van de politiek betreden indien hij deze </w:t>
      </w:r>
      <w:r w:rsidR="00374C1D">
        <w:rPr>
          <w:sz w:val="24"/>
          <w:szCs w:val="24"/>
        </w:rPr>
        <w:t xml:space="preserve">norm </w:t>
      </w:r>
      <w:r w:rsidRPr="00121A6A">
        <w:rPr>
          <w:sz w:val="24"/>
          <w:szCs w:val="24"/>
        </w:rPr>
        <w:t xml:space="preserve">tóch zou </w:t>
      </w:r>
      <w:r w:rsidR="00F31CB6" w:rsidRPr="00121A6A">
        <w:rPr>
          <w:sz w:val="24"/>
          <w:szCs w:val="24"/>
        </w:rPr>
        <w:t>opvatten</w:t>
      </w:r>
      <w:r w:rsidRPr="00121A6A">
        <w:rPr>
          <w:sz w:val="24"/>
          <w:szCs w:val="24"/>
        </w:rPr>
        <w:t xml:space="preserve"> als autonome rechtsbron. De tweede voorwaarde ziet op de werkingssfeer van de betreffende EU-regel: enkel indien de regel is gericht tot een bepaalde partij en hem dienovereenkomstig een bindende verplichting oplegt, is het inroepen </w:t>
      </w:r>
      <w:r w:rsidR="00093E1A" w:rsidRPr="00121A6A">
        <w:rPr>
          <w:sz w:val="24"/>
          <w:szCs w:val="24"/>
        </w:rPr>
        <w:t>hier</w:t>
      </w:r>
      <w:r w:rsidRPr="00121A6A">
        <w:rPr>
          <w:sz w:val="24"/>
          <w:szCs w:val="24"/>
        </w:rPr>
        <w:t>van in een concreet rechtsgeschil teneinde het toepasselijk</w:t>
      </w:r>
      <w:r w:rsidR="00374C1D">
        <w:rPr>
          <w:sz w:val="24"/>
          <w:szCs w:val="24"/>
        </w:rPr>
        <w:t>e</w:t>
      </w:r>
      <w:r w:rsidRPr="00121A6A">
        <w:rPr>
          <w:sz w:val="24"/>
          <w:szCs w:val="24"/>
        </w:rPr>
        <w:t xml:space="preserve"> rechtskader te (doen) wijzigen legitiem.</w:t>
      </w:r>
      <w:r w:rsidRPr="00121A6A">
        <w:rPr>
          <w:rStyle w:val="FootnoteReference"/>
          <w:sz w:val="24"/>
          <w:szCs w:val="24"/>
        </w:rPr>
        <w:footnoteReference w:id="208"/>
      </w:r>
      <w:r w:rsidRPr="00121A6A">
        <w:rPr>
          <w:sz w:val="24"/>
          <w:szCs w:val="24"/>
        </w:rPr>
        <w:t xml:space="preserve"> </w:t>
      </w:r>
      <w:r w:rsidR="00F005AB" w:rsidRPr="00121A6A">
        <w:rPr>
          <w:sz w:val="24"/>
          <w:szCs w:val="24"/>
        </w:rPr>
        <w:t xml:space="preserve">Illustratief is </w:t>
      </w:r>
      <w:r w:rsidR="00683BEC" w:rsidRPr="00121A6A">
        <w:rPr>
          <w:sz w:val="24"/>
          <w:szCs w:val="24"/>
        </w:rPr>
        <w:t>artikel</w:t>
      </w:r>
      <w:r w:rsidRPr="00121A6A">
        <w:rPr>
          <w:sz w:val="24"/>
          <w:szCs w:val="24"/>
        </w:rPr>
        <w:t xml:space="preserve"> 288 VwEU</w:t>
      </w:r>
      <w:r w:rsidR="00F005AB" w:rsidRPr="00121A6A">
        <w:rPr>
          <w:sz w:val="24"/>
          <w:szCs w:val="24"/>
        </w:rPr>
        <w:t>, dat</w:t>
      </w:r>
      <w:r w:rsidRPr="00121A6A">
        <w:rPr>
          <w:sz w:val="24"/>
          <w:szCs w:val="24"/>
        </w:rPr>
        <w:t xml:space="preserve"> voor</w:t>
      </w:r>
      <w:r w:rsidR="00F005AB" w:rsidRPr="00121A6A">
        <w:rPr>
          <w:sz w:val="24"/>
          <w:szCs w:val="24"/>
        </w:rPr>
        <w:t>schrijft</w:t>
      </w:r>
      <w:r w:rsidRPr="00121A6A">
        <w:rPr>
          <w:sz w:val="24"/>
          <w:szCs w:val="24"/>
        </w:rPr>
        <w:t xml:space="preserve"> dat richtlijnen (slechts) tot lidstaten gericht zijn en moeten worden omgezet in nationaal recht</w:t>
      </w:r>
      <w:r w:rsidR="00683BEC" w:rsidRPr="00121A6A">
        <w:rPr>
          <w:sz w:val="24"/>
          <w:szCs w:val="24"/>
        </w:rPr>
        <w:t>. Dat</w:t>
      </w:r>
      <w:r w:rsidRPr="00121A6A">
        <w:rPr>
          <w:sz w:val="24"/>
          <w:szCs w:val="24"/>
        </w:rPr>
        <w:t xml:space="preserve"> maakt het </w:t>
      </w:r>
      <w:r w:rsidR="001F4649">
        <w:rPr>
          <w:sz w:val="24"/>
          <w:szCs w:val="24"/>
        </w:rPr>
        <w:t>rechtstreeks</w:t>
      </w:r>
      <w:r w:rsidR="00DC4775" w:rsidRPr="00121A6A">
        <w:rPr>
          <w:sz w:val="24"/>
          <w:szCs w:val="24"/>
        </w:rPr>
        <w:t xml:space="preserve"> </w:t>
      </w:r>
      <w:r w:rsidRPr="00121A6A">
        <w:rPr>
          <w:sz w:val="24"/>
          <w:szCs w:val="24"/>
        </w:rPr>
        <w:t xml:space="preserve">inroepen </w:t>
      </w:r>
      <w:r w:rsidR="00683BEC" w:rsidRPr="00121A6A">
        <w:rPr>
          <w:sz w:val="24"/>
          <w:szCs w:val="24"/>
        </w:rPr>
        <w:t xml:space="preserve">van </w:t>
      </w:r>
      <w:r w:rsidR="001F4649">
        <w:rPr>
          <w:sz w:val="24"/>
          <w:szCs w:val="24"/>
        </w:rPr>
        <w:t xml:space="preserve">een </w:t>
      </w:r>
      <w:r w:rsidR="00683BEC" w:rsidRPr="00121A6A">
        <w:rPr>
          <w:sz w:val="24"/>
          <w:szCs w:val="24"/>
        </w:rPr>
        <w:t>richtlijn</w:t>
      </w:r>
      <w:r w:rsidRPr="00121A6A">
        <w:rPr>
          <w:sz w:val="24"/>
          <w:szCs w:val="24"/>
        </w:rPr>
        <w:t xml:space="preserve"> in </w:t>
      </w:r>
      <w:r w:rsidR="001F4649">
        <w:rPr>
          <w:sz w:val="24"/>
          <w:szCs w:val="24"/>
        </w:rPr>
        <w:t xml:space="preserve">een </w:t>
      </w:r>
      <w:r w:rsidRPr="00121A6A">
        <w:rPr>
          <w:sz w:val="24"/>
          <w:szCs w:val="24"/>
        </w:rPr>
        <w:t>horizonta</w:t>
      </w:r>
      <w:r w:rsidR="009C367F" w:rsidRPr="00121A6A">
        <w:rPr>
          <w:sz w:val="24"/>
          <w:szCs w:val="24"/>
        </w:rPr>
        <w:t>le</w:t>
      </w:r>
      <w:r w:rsidRPr="00121A6A">
        <w:rPr>
          <w:sz w:val="24"/>
          <w:szCs w:val="24"/>
        </w:rPr>
        <w:t xml:space="preserve"> </w:t>
      </w:r>
      <w:r w:rsidR="001F4649">
        <w:rPr>
          <w:sz w:val="24"/>
          <w:szCs w:val="24"/>
        </w:rPr>
        <w:t>verhouding</w:t>
      </w:r>
      <w:r w:rsidRPr="00121A6A">
        <w:rPr>
          <w:sz w:val="24"/>
          <w:szCs w:val="24"/>
        </w:rPr>
        <w:t xml:space="preserve"> ontoelaatbaar</w:t>
      </w:r>
      <w:r w:rsidR="001F4649">
        <w:rPr>
          <w:sz w:val="24"/>
          <w:szCs w:val="24"/>
        </w:rPr>
        <w:t>.</w:t>
      </w:r>
      <w:r w:rsidR="00CC5088" w:rsidRPr="00121A6A">
        <w:rPr>
          <w:rStyle w:val="FootnoteReference"/>
          <w:sz w:val="24"/>
          <w:szCs w:val="24"/>
        </w:rPr>
        <w:footnoteReference w:id="209"/>
      </w:r>
      <w:r w:rsidRPr="00121A6A">
        <w:rPr>
          <w:sz w:val="24"/>
          <w:szCs w:val="24"/>
        </w:rPr>
        <w:t xml:space="preserve"> </w:t>
      </w:r>
      <w:r w:rsidR="001F4649">
        <w:rPr>
          <w:sz w:val="24"/>
          <w:szCs w:val="24"/>
        </w:rPr>
        <w:t>A</w:t>
      </w:r>
      <w:r w:rsidRPr="00121A6A">
        <w:rPr>
          <w:sz w:val="24"/>
          <w:szCs w:val="24"/>
        </w:rPr>
        <w:t>lleen verticale rechtstreekse werking</w:t>
      </w:r>
      <w:r w:rsidR="00683BEC" w:rsidRPr="00121A6A">
        <w:rPr>
          <w:sz w:val="24"/>
          <w:szCs w:val="24"/>
        </w:rPr>
        <w:t xml:space="preserve"> is</w:t>
      </w:r>
      <w:r w:rsidR="00E854F2" w:rsidRPr="00121A6A">
        <w:rPr>
          <w:sz w:val="24"/>
          <w:szCs w:val="24"/>
        </w:rPr>
        <w:t xml:space="preserve">, </w:t>
      </w:r>
      <w:r w:rsidRPr="00121A6A">
        <w:rPr>
          <w:sz w:val="24"/>
          <w:szCs w:val="24"/>
        </w:rPr>
        <w:t>onder voorwaarden</w:t>
      </w:r>
      <w:r w:rsidR="00E854F2" w:rsidRPr="00121A6A">
        <w:rPr>
          <w:sz w:val="24"/>
          <w:szCs w:val="24"/>
        </w:rPr>
        <w:t>,</w:t>
      </w:r>
      <w:r w:rsidR="00E854F2" w:rsidRPr="00121A6A">
        <w:rPr>
          <w:rStyle w:val="FootnoteReference"/>
          <w:sz w:val="24"/>
          <w:szCs w:val="24"/>
        </w:rPr>
        <w:footnoteReference w:id="210"/>
      </w:r>
      <w:r w:rsidRPr="00121A6A">
        <w:rPr>
          <w:sz w:val="24"/>
          <w:szCs w:val="24"/>
        </w:rPr>
        <w:t xml:space="preserve"> mogelijk.</w:t>
      </w:r>
      <w:r w:rsidRPr="00121A6A">
        <w:rPr>
          <w:rStyle w:val="FootnoteReference"/>
          <w:sz w:val="24"/>
          <w:szCs w:val="24"/>
        </w:rPr>
        <w:footnoteReference w:id="211"/>
      </w:r>
    </w:p>
    <w:p w14:paraId="053651F7" w14:textId="77777777" w:rsidR="00F40DF0" w:rsidRPr="00121A6A" w:rsidRDefault="00F40DF0" w:rsidP="00F40DF0">
      <w:pPr>
        <w:spacing w:after="0"/>
        <w:jc w:val="both"/>
        <w:rPr>
          <w:sz w:val="24"/>
          <w:szCs w:val="24"/>
        </w:rPr>
      </w:pPr>
    </w:p>
    <w:p w14:paraId="1983E980" w14:textId="77777777" w:rsidR="0043706B" w:rsidRPr="00121A6A" w:rsidRDefault="0043706B" w:rsidP="0043706B">
      <w:pPr>
        <w:pStyle w:val="Heading3"/>
        <w:jc w:val="both"/>
        <w:rPr>
          <w:sz w:val="24"/>
          <w:szCs w:val="24"/>
        </w:rPr>
      </w:pPr>
      <w:bookmarkStart w:id="82" w:name="_Toc169963076"/>
      <w:r w:rsidRPr="00121A6A">
        <w:rPr>
          <w:sz w:val="24"/>
          <w:szCs w:val="24"/>
        </w:rPr>
        <w:t>Criteria toegepast op artikel 28 Hv</w:t>
      </w:r>
      <w:bookmarkEnd w:id="82"/>
    </w:p>
    <w:p w14:paraId="13722CBC" w14:textId="39B6EEBF" w:rsidR="0043706B" w:rsidRPr="00121A6A" w:rsidRDefault="0043706B" w:rsidP="0043706B">
      <w:pPr>
        <w:spacing w:after="0"/>
        <w:jc w:val="both"/>
        <w:rPr>
          <w:sz w:val="24"/>
          <w:szCs w:val="24"/>
        </w:rPr>
      </w:pPr>
      <w:r w:rsidRPr="00121A6A">
        <w:rPr>
          <w:sz w:val="24"/>
          <w:szCs w:val="24"/>
        </w:rPr>
        <w:t xml:space="preserve">Om het potentieel van </w:t>
      </w:r>
      <w:r w:rsidR="00D3781D" w:rsidRPr="00121A6A">
        <w:rPr>
          <w:sz w:val="24"/>
          <w:szCs w:val="24"/>
        </w:rPr>
        <w:t xml:space="preserve">verticale en/of horizontale </w:t>
      </w:r>
      <w:r w:rsidRPr="00121A6A">
        <w:rPr>
          <w:sz w:val="24"/>
          <w:szCs w:val="24"/>
        </w:rPr>
        <w:t xml:space="preserve">directe werking van artikel 28 Hv te kunnen achterhalen, moet dus worden onderzocht of, en zo ja, op welke wijze, is of kan worden voldaan aan de twee hiervoor genoemde voorwaarden. Inzake de eerste voorwaarde van technische geschiktheid is eerder onder verwijzing naar de </w:t>
      </w:r>
      <w:proofErr w:type="spellStart"/>
      <w:r w:rsidRPr="00121A6A">
        <w:rPr>
          <w:i/>
          <w:iCs/>
          <w:sz w:val="24"/>
          <w:szCs w:val="24"/>
        </w:rPr>
        <w:t>Aquino</w:t>
      </w:r>
      <w:proofErr w:type="spellEnd"/>
      <w:r w:rsidRPr="00121A6A">
        <w:rPr>
          <w:sz w:val="24"/>
          <w:szCs w:val="24"/>
        </w:rPr>
        <w:t>-uitspraak (par. 2.4) besproken dat artikel 28 Hv voldoet aan de voorwaarden voor directe werking</w:t>
      </w:r>
      <w:r w:rsidR="005943C7">
        <w:rPr>
          <w:sz w:val="24"/>
          <w:szCs w:val="24"/>
        </w:rPr>
        <w:t>.</w:t>
      </w:r>
      <w:r w:rsidRPr="00121A6A">
        <w:rPr>
          <w:sz w:val="24"/>
          <w:szCs w:val="24"/>
        </w:rPr>
        <w:t xml:space="preserve"> </w:t>
      </w:r>
      <w:r w:rsidR="005943C7">
        <w:rPr>
          <w:sz w:val="24"/>
          <w:szCs w:val="24"/>
        </w:rPr>
        <w:t>H</w:t>
      </w:r>
      <w:r w:rsidRPr="00121A6A">
        <w:rPr>
          <w:sz w:val="24"/>
          <w:szCs w:val="24"/>
        </w:rPr>
        <w:t>et grondrecht (vrijheidsrecht) op collectieve actie is voldoende duidelijk</w:t>
      </w:r>
      <w:r w:rsidR="00CB178C" w:rsidRPr="00121A6A">
        <w:rPr>
          <w:sz w:val="24"/>
          <w:szCs w:val="24"/>
        </w:rPr>
        <w:t>,</w:t>
      </w:r>
      <w:r w:rsidRPr="00121A6A">
        <w:rPr>
          <w:sz w:val="24"/>
          <w:szCs w:val="24"/>
        </w:rPr>
        <w:t xml:space="preserve"> </w:t>
      </w:r>
      <w:r w:rsidR="00CB178C" w:rsidRPr="00121A6A">
        <w:rPr>
          <w:sz w:val="24"/>
          <w:szCs w:val="24"/>
        </w:rPr>
        <w:t xml:space="preserve">dwingend </w:t>
      </w:r>
      <w:r w:rsidRPr="00121A6A">
        <w:rPr>
          <w:sz w:val="24"/>
          <w:szCs w:val="24"/>
        </w:rPr>
        <w:t xml:space="preserve">en onvoorwaardelijk (geformuleerd), zodat het door de rechter als zelfstandige toetsingsmaatstaf kan worden toegepast. </w:t>
      </w:r>
      <w:r w:rsidR="000270AA">
        <w:rPr>
          <w:sz w:val="24"/>
          <w:szCs w:val="24"/>
        </w:rPr>
        <w:t>Hoewel ik inzie dat dit een vergaande gevolgtrekking is</w:t>
      </w:r>
      <w:r w:rsidR="00B926D4" w:rsidRPr="00121A6A">
        <w:rPr>
          <w:sz w:val="24"/>
          <w:szCs w:val="24"/>
        </w:rPr>
        <w:t>,</w:t>
      </w:r>
      <w:r w:rsidRPr="00121A6A">
        <w:rPr>
          <w:sz w:val="24"/>
          <w:szCs w:val="24"/>
        </w:rPr>
        <w:t xml:space="preserve"> ga ik er</w:t>
      </w:r>
      <w:r w:rsidR="000270AA">
        <w:rPr>
          <w:sz w:val="24"/>
          <w:szCs w:val="24"/>
        </w:rPr>
        <w:t>, g</w:t>
      </w:r>
      <w:r w:rsidR="000270AA" w:rsidRPr="00121A6A">
        <w:rPr>
          <w:sz w:val="24"/>
          <w:szCs w:val="24"/>
        </w:rPr>
        <w:t>elet op het belang van consistente rechtspraak en rechtszekerheid</w:t>
      </w:r>
      <w:r w:rsidR="000270AA">
        <w:rPr>
          <w:sz w:val="24"/>
          <w:szCs w:val="24"/>
        </w:rPr>
        <w:t>,</w:t>
      </w:r>
      <w:r w:rsidR="000270AA" w:rsidRPr="00121A6A">
        <w:rPr>
          <w:sz w:val="24"/>
          <w:szCs w:val="24"/>
        </w:rPr>
        <w:t xml:space="preserve"> </w:t>
      </w:r>
      <w:r w:rsidRPr="00121A6A">
        <w:rPr>
          <w:sz w:val="24"/>
          <w:szCs w:val="24"/>
        </w:rPr>
        <w:t xml:space="preserve">van uit dat het Hof niet tot een andere conclusie </w:t>
      </w:r>
      <w:r w:rsidR="00AD5BC7" w:rsidRPr="00121A6A">
        <w:rPr>
          <w:sz w:val="24"/>
          <w:szCs w:val="24"/>
        </w:rPr>
        <w:t>zal komen</w:t>
      </w:r>
      <w:r w:rsidRPr="00121A6A">
        <w:rPr>
          <w:sz w:val="24"/>
          <w:szCs w:val="24"/>
        </w:rPr>
        <w:t xml:space="preserve"> waar het, in plaats van een geschil op</w:t>
      </w:r>
      <w:r w:rsidR="002B4343">
        <w:rPr>
          <w:sz w:val="24"/>
          <w:szCs w:val="24"/>
        </w:rPr>
        <w:t xml:space="preserve"> </w:t>
      </w:r>
      <w:r w:rsidRPr="00121A6A">
        <w:rPr>
          <w:sz w:val="24"/>
          <w:szCs w:val="24"/>
        </w:rPr>
        <w:t>Unieniveau, een (verticaal of horizontaal) geschil op lidstaatniveau betreft.</w:t>
      </w:r>
    </w:p>
    <w:p w14:paraId="68294BFD" w14:textId="32B5BAEC" w:rsidR="00640B88" w:rsidRPr="00121A6A" w:rsidRDefault="008333EE" w:rsidP="0043706B">
      <w:pPr>
        <w:spacing w:after="0"/>
        <w:ind w:firstLine="708"/>
        <w:jc w:val="both"/>
        <w:rPr>
          <w:sz w:val="24"/>
          <w:szCs w:val="24"/>
        </w:rPr>
      </w:pPr>
      <w:r w:rsidRPr="00121A6A">
        <w:rPr>
          <w:sz w:val="24"/>
          <w:szCs w:val="24"/>
        </w:rPr>
        <w:t>Ten tweede</w:t>
      </w:r>
      <w:r w:rsidR="0043706B" w:rsidRPr="00121A6A">
        <w:rPr>
          <w:sz w:val="24"/>
          <w:szCs w:val="24"/>
        </w:rPr>
        <w:t xml:space="preserve"> </w:t>
      </w:r>
      <w:r w:rsidRPr="00121A6A">
        <w:rPr>
          <w:sz w:val="24"/>
          <w:szCs w:val="24"/>
        </w:rPr>
        <w:t xml:space="preserve">is </w:t>
      </w:r>
      <w:r w:rsidR="0043706B" w:rsidRPr="00121A6A">
        <w:rPr>
          <w:sz w:val="24"/>
          <w:szCs w:val="24"/>
        </w:rPr>
        <w:t>nodig dat het Handvest als zodanig van toepassing is op het voorliggende geval</w:t>
      </w:r>
      <w:r w:rsidR="008831FB" w:rsidRPr="00121A6A">
        <w:rPr>
          <w:sz w:val="24"/>
          <w:szCs w:val="24"/>
        </w:rPr>
        <w:t xml:space="preserve"> en (een van) de procespartijen bindt</w:t>
      </w:r>
      <w:r w:rsidR="0043706B" w:rsidRPr="00121A6A">
        <w:rPr>
          <w:sz w:val="24"/>
          <w:szCs w:val="24"/>
        </w:rPr>
        <w:t xml:space="preserve">. Juist dit </w:t>
      </w:r>
      <w:r w:rsidR="007D2275">
        <w:rPr>
          <w:sz w:val="24"/>
          <w:szCs w:val="24"/>
        </w:rPr>
        <w:t xml:space="preserve">is </w:t>
      </w:r>
      <w:r w:rsidR="0043706B" w:rsidRPr="00121A6A">
        <w:rPr>
          <w:sz w:val="24"/>
          <w:szCs w:val="24"/>
        </w:rPr>
        <w:t>een heikel punt</w:t>
      </w:r>
      <w:r w:rsidR="004520DC" w:rsidRPr="00121A6A">
        <w:rPr>
          <w:sz w:val="24"/>
          <w:szCs w:val="24"/>
        </w:rPr>
        <w:t>, daar a</w:t>
      </w:r>
      <w:r w:rsidR="0043706B" w:rsidRPr="00121A6A">
        <w:rPr>
          <w:sz w:val="24"/>
          <w:szCs w:val="24"/>
        </w:rPr>
        <w:t xml:space="preserve">rtikel 51 lid 1 Hv </w:t>
      </w:r>
      <w:r w:rsidR="004520DC" w:rsidRPr="00121A6A">
        <w:rPr>
          <w:sz w:val="24"/>
          <w:szCs w:val="24"/>
        </w:rPr>
        <w:t>voor</w:t>
      </w:r>
      <w:r w:rsidR="0043706B" w:rsidRPr="00121A6A">
        <w:rPr>
          <w:sz w:val="24"/>
          <w:szCs w:val="24"/>
        </w:rPr>
        <w:t>schrijft</w:t>
      </w:r>
      <w:r w:rsidR="00BB7CBD">
        <w:rPr>
          <w:sz w:val="24"/>
          <w:szCs w:val="24"/>
        </w:rPr>
        <w:t xml:space="preserve">: </w:t>
      </w:r>
      <w:r w:rsidR="0043706B" w:rsidRPr="00121A6A">
        <w:rPr>
          <w:sz w:val="24"/>
          <w:szCs w:val="24"/>
        </w:rPr>
        <w:t>‘</w:t>
      </w:r>
      <w:r w:rsidR="00BB7CBD" w:rsidRPr="00BB7CBD">
        <w:rPr>
          <w:i/>
          <w:iCs/>
          <w:sz w:val="24"/>
          <w:szCs w:val="24"/>
        </w:rPr>
        <w:t>D</w:t>
      </w:r>
      <w:r w:rsidR="0043706B" w:rsidRPr="00121A6A">
        <w:rPr>
          <w:i/>
          <w:iCs/>
          <w:sz w:val="24"/>
          <w:szCs w:val="24"/>
        </w:rPr>
        <w:t xml:space="preserve">e bepalingen van dit Handvest zijn gericht tot de instellingen, organen en instanties van de Unie […] alsmede, uitsluitend wanneer zij </w:t>
      </w:r>
      <w:r w:rsidR="00BB7CBD">
        <w:rPr>
          <w:i/>
          <w:iCs/>
          <w:sz w:val="24"/>
          <w:szCs w:val="24"/>
        </w:rPr>
        <w:t>het recht van de Unie</w:t>
      </w:r>
      <w:r w:rsidR="0043706B" w:rsidRPr="00121A6A">
        <w:rPr>
          <w:i/>
          <w:iCs/>
          <w:sz w:val="24"/>
          <w:szCs w:val="24"/>
        </w:rPr>
        <w:t xml:space="preserve"> ten uitvoer brengen, tot de lidstaten.</w:t>
      </w:r>
      <w:r w:rsidR="0043706B" w:rsidRPr="00121A6A">
        <w:rPr>
          <w:sz w:val="24"/>
          <w:szCs w:val="24"/>
        </w:rPr>
        <w:t xml:space="preserve">’ </w:t>
      </w:r>
      <w:r w:rsidR="00DC4242" w:rsidRPr="00121A6A">
        <w:rPr>
          <w:sz w:val="24"/>
          <w:szCs w:val="24"/>
        </w:rPr>
        <w:t xml:space="preserve">Hieruit blijkt dat </w:t>
      </w:r>
      <w:r w:rsidR="00F40DD6" w:rsidRPr="00121A6A">
        <w:rPr>
          <w:sz w:val="24"/>
          <w:szCs w:val="24"/>
        </w:rPr>
        <w:t>het toepassingsbereik</w:t>
      </w:r>
      <w:r w:rsidR="00DC4242" w:rsidRPr="00121A6A">
        <w:rPr>
          <w:sz w:val="24"/>
          <w:szCs w:val="24"/>
        </w:rPr>
        <w:t xml:space="preserve"> van het Handvest op tweeërlei wijze is </w:t>
      </w:r>
      <w:r w:rsidR="00DC4242" w:rsidRPr="00121A6A">
        <w:rPr>
          <w:sz w:val="24"/>
          <w:szCs w:val="24"/>
        </w:rPr>
        <w:lastRenderedPageBreak/>
        <w:t>beperkt</w:t>
      </w:r>
      <w:r w:rsidR="0043706B" w:rsidRPr="00121A6A">
        <w:rPr>
          <w:sz w:val="24"/>
          <w:szCs w:val="24"/>
        </w:rPr>
        <w:t>.</w:t>
      </w:r>
      <w:r w:rsidR="00AD5BC7" w:rsidRPr="00121A6A">
        <w:rPr>
          <w:sz w:val="24"/>
          <w:szCs w:val="24"/>
        </w:rPr>
        <w:t xml:space="preserve"> Ten eerste </w:t>
      </w:r>
      <w:r w:rsidR="00FC710A">
        <w:rPr>
          <w:sz w:val="24"/>
          <w:szCs w:val="24"/>
        </w:rPr>
        <w:t>worden in</w:t>
      </w:r>
      <w:r w:rsidR="00AD5BC7" w:rsidRPr="00121A6A">
        <w:rPr>
          <w:sz w:val="24"/>
          <w:szCs w:val="24"/>
        </w:rPr>
        <w:t xml:space="preserve"> </w:t>
      </w:r>
      <w:r w:rsidR="00FC710A">
        <w:rPr>
          <w:sz w:val="24"/>
          <w:szCs w:val="24"/>
        </w:rPr>
        <w:t>artikel 51 lid 1 Hv</w:t>
      </w:r>
      <w:r w:rsidR="00AD5BC7" w:rsidRPr="00121A6A">
        <w:rPr>
          <w:sz w:val="24"/>
          <w:szCs w:val="24"/>
        </w:rPr>
        <w:t xml:space="preserve"> als normadressaten enkel EU-instellingen en lidstaten</w:t>
      </w:r>
      <w:r w:rsidR="00FC710A">
        <w:rPr>
          <w:sz w:val="24"/>
          <w:szCs w:val="24"/>
        </w:rPr>
        <w:t xml:space="preserve"> genoemd</w:t>
      </w:r>
      <w:r w:rsidR="005705D5" w:rsidRPr="00121A6A">
        <w:rPr>
          <w:sz w:val="24"/>
          <w:szCs w:val="24"/>
        </w:rPr>
        <w:t>, waardoor</w:t>
      </w:r>
      <w:r w:rsidR="00AD5BC7" w:rsidRPr="00121A6A">
        <w:rPr>
          <w:sz w:val="24"/>
          <w:szCs w:val="24"/>
        </w:rPr>
        <w:t xml:space="preserve"> particulieren (impliciet) </w:t>
      </w:r>
      <w:r w:rsidR="005705D5" w:rsidRPr="00121A6A">
        <w:rPr>
          <w:sz w:val="24"/>
          <w:szCs w:val="24"/>
        </w:rPr>
        <w:t xml:space="preserve">lijken te zijn </w:t>
      </w:r>
      <w:r w:rsidR="00AD5BC7" w:rsidRPr="00121A6A">
        <w:rPr>
          <w:sz w:val="24"/>
          <w:szCs w:val="24"/>
        </w:rPr>
        <w:t>uitgesloten van de werkingssfeer</w:t>
      </w:r>
      <w:r w:rsidR="00FC710A">
        <w:rPr>
          <w:sz w:val="24"/>
          <w:szCs w:val="24"/>
        </w:rPr>
        <w:t xml:space="preserve"> van het Handvest</w:t>
      </w:r>
      <w:r w:rsidR="00AD5BC7" w:rsidRPr="00121A6A">
        <w:rPr>
          <w:sz w:val="24"/>
          <w:szCs w:val="24"/>
        </w:rPr>
        <w:t xml:space="preserve">. Ten tweede is </w:t>
      </w:r>
      <w:r w:rsidR="00F40DD6" w:rsidRPr="00121A6A">
        <w:rPr>
          <w:sz w:val="24"/>
          <w:szCs w:val="24"/>
        </w:rPr>
        <w:t>de reikwijdte</w:t>
      </w:r>
      <w:r w:rsidR="00AD5BC7" w:rsidRPr="00121A6A">
        <w:rPr>
          <w:sz w:val="24"/>
          <w:szCs w:val="24"/>
        </w:rPr>
        <w:t xml:space="preserve"> van het Handvest </w:t>
      </w:r>
      <w:r w:rsidR="005A2084" w:rsidRPr="00121A6A">
        <w:rPr>
          <w:sz w:val="24"/>
          <w:szCs w:val="24"/>
        </w:rPr>
        <w:t>voor lidstaten</w:t>
      </w:r>
      <w:r w:rsidR="00AD5BC7" w:rsidRPr="00121A6A">
        <w:rPr>
          <w:sz w:val="24"/>
          <w:szCs w:val="24"/>
        </w:rPr>
        <w:t xml:space="preserve"> beperkt: </w:t>
      </w:r>
      <w:r w:rsidR="00FC710A">
        <w:rPr>
          <w:sz w:val="24"/>
          <w:szCs w:val="24"/>
        </w:rPr>
        <w:t xml:space="preserve">het Handvest is </w:t>
      </w:r>
      <w:r w:rsidR="00AD5BC7" w:rsidRPr="00121A6A">
        <w:rPr>
          <w:sz w:val="24"/>
          <w:szCs w:val="24"/>
        </w:rPr>
        <w:t xml:space="preserve">alleen </w:t>
      </w:r>
      <w:r w:rsidR="00FC710A">
        <w:rPr>
          <w:sz w:val="24"/>
          <w:szCs w:val="24"/>
        </w:rPr>
        <w:t xml:space="preserve">van toepassing </w:t>
      </w:r>
      <w:r w:rsidR="00AD5BC7" w:rsidRPr="00121A6A">
        <w:rPr>
          <w:sz w:val="24"/>
          <w:szCs w:val="24"/>
        </w:rPr>
        <w:t>indien</w:t>
      </w:r>
      <w:r w:rsidR="005A2084" w:rsidRPr="00121A6A">
        <w:rPr>
          <w:sz w:val="24"/>
          <w:szCs w:val="24"/>
        </w:rPr>
        <w:t xml:space="preserve"> </w:t>
      </w:r>
      <w:r w:rsidR="00FC710A">
        <w:rPr>
          <w:sz w:val="24"/>
          <w:szCs w:val="24"/>
        </w:rPr>
        <w:t>het</w:t>
      </w:r>
      <w:r w:rsidR="00AD5BC7" w:rsidRPr="00121A6A">
        <w:rPr>
          <w:sz w:val="24"/>
          <w:szCs w:val="24"/>
        </w:rPr>
        <w:t xml:space="preserve"> </w:t>
      </w:r>
      <w:r w:rsidR="00FC710A">
        <w:rPr>
          <w:sz w:val="24"/>
          <w:szCs w:val="24"/>
        </w:rPr>
        <w:t xml:space="preserve">optreden van een lidstaat </w:t>
      </w:r>
      <w:r w:rsidR="00AD5BC7" w:rsidRPr="00121A6A">
        <w:rPr>
          <w:sz w:val="24"/>
          <w:szCs w:val="24"/>
        </w:rPr>
        <w:t xml:space="preserve">(afdoende) </w:t>
      </w:r>
      <w:r w:rsidR="005A2084" w:rsidRPr="00121A6A">
        <w:rPr>
          <w:sz w:val="24"/>
          <w:szCs w:val="24"/>
        </w:rPr>
        <w:t xml:space="preserve">verband houdt </w:t>
      </w:r>
      <w:r w:rsidR="00AD5BC7" w:rsidRPr="00121A6A">
        <w:rPr>
          <w:sz w:val="24"/>
          <w:szCs w:val="24"/>
        </w:rPr>
        <w:t>met</w:t>
      </w:r>
      <w:r w:rsidR="00F52232" w:rsidRPr="00121A6A">
        <w:rPr>
          <w:sz w:val="24"/>
          <w:szCs w:val="24"/>
        </w:rPr>
        <w:t xml:space="preserve"> </w:t>
      </w:r>
      <w:r w:rsidR="00A95E28">
        <w:rPr>
          <w:sz w:val="24"/>
          <w:szCs w:val="24"/>
        </w:rPr>
        <w:t xml:space="preserve">(ander) </w:t>
      </w:r>
      <w:r w:rsidR="00F52232" w:rsidRPr="00121A6A">
        <w:rPr>
          <w:sz w:val="24"/>
          <w:szCs w:val="24"/>
        </w:rPr>
        <w:t>materieel</w:t>
      </w:r>
      <w:r w:rsidR="00AD5BC7" w:rsidRPr="00121A6A">
        <w:rPr>
          <w:sz w:val="24"/>
          <w:szCs w:val="24"/>
        </w:rPr>
        <w:t xml:space="preserve"> Unierecht.</w:t>
      </w:r>
      <w:r w:rsidR="00F52232" w:rsidRPr="00121A6A">
        <w:rPr>
          <w:rStyle w:val="FootnoteReference"/>
          <w:sz w:val="24"/>
          <w:szCs w:val="24"/>
        </w:rPr>
        <w:footnoteReference w:id="212"/>
      </w:r>
    </w:p>
    <w:p w14:paraId="569C9E95" w14:textId="1803D185" w:rsidR="0069743D" w:rsidRPr="00121A6A" w:rsidRDefault="00127DD0" w:rsidP="0069743D">
      <w:pPr>
        <w:spacing w:after="0"/>
        <w:ind w:firstLine="708"/>
        <w:jc w:val="both"/>
        <w:rPr>
          <w:sz w:val="24"/>
          <w:szCs w:val="24"/>
        </w:rPr>
      </w:pPr>
      <w:r w:rsidRPr="00121A6A">
        <w:rPr>
          <w:sz w:val="24"/>
          <w:szCs w:val="24"/>
        </w:rPr>
        <w:t xml:space="preserve">Om op dit tweede punt </w:t>
      </w:r>
      <w:r w:rsidR="005A2084" w:rsidRPr="00121A6A">
        <w:rPr>
          <w:sz w:val="24"/>
          <w:szCs w:val="24"/>
        </w:rPr>
        <w:t>nader in</w:t>
      </w:r>
      <w:r w:rsidRPr="00121A6A">
        <w:rPr>
          <w:sz w:val="24"/>
          <w:szCs w:val="24"/>
        </w:rPr>
        <w:t xml:space="preserve"> te gaan, is i</w:t>
      </w:r>
      <w:r w:rsidR="0069743D" w:rsidRPr="00121A6A">
        <w:rPr>
          <w:sz w:val="24"/>
          <w:szCs w:val="24"/>
        </w:rPr>
        <w:t xml:space="preserve">n de Toelichting op artikel 51 lid 1 Hv verwoord dat de verplichting tot eerbiediging van Uniegrondrechten enkel voor lidstaten geldt </w:t>
      </w:r>
      <w:r w:rsidR="0069743D" w:rsidRPr="00A95E28">
        <w:rPr>
          <w:sz w:val="24"/>
          <w:szCs w:val="24"/>
        </w:rPr>
        <w:t xml:space="preserve">wanneer </w:t>
      </w:r>
      <w:r w:rsidR="00A95E28">
        <w:rPr>
          <w:sz w:val="24"/>
          <w:szCs w:val="24"/>
        </w:rPr>
        <w:t>zij</w:t>
      </w:r>
      <w:r w:rsidR="0069743D" w:rsidRPr="00A95E28">
        <w:rPr>
          <w:sz w:val="24"/>
          <w:szCs w:val="24"/>
        </w:rPr>
        <w:t xml:space="preserve"> optreden binnen het toepassingsgebied van het Unierecht</w:t>
      </w:r>
      <w:r w:rsidR="0069743D" w:rsidRPr="00121A6A">
        <w:rPr>
          <w:sz w:val="24"/>
          <w:szCs w:val="24"/>
        </w:rPr>
        <w:t xml:space="preserve">. In het arrest </w:t>
      </w:r>
      <w:proofErr w:type="spellStart"/>
      <w:r w:rsidR="0069743D" w:rsidRPr="00121A6A">
        <w:rPr>
          <w:i/>
          <w:iCs/>
          <w:sz w:val="24"/>
          <w:szCs w:val="24"/>
        </w:rPr>
        <w:t>Åkerberg</w:t>
      </w:r>
      <w:proofErr w:type="spellEnd"/>
      <w:r w:rsidR="0069743D" w:rsidRPr="00121A6A">
        <w:rPr>
          <w:i/>
          <w:iCs/>
          <w:sz w:val="24"/>
          <w:szCs w:val="24"/>
        </w:rPr>
        <w:t xml:space="preserve"> </w:t>
      </w:r>
      <w:proofErr w:type="spellStart"/>
      <w:r w:rsidR="0069743D" w:rsidRPr="00121A6A">
        <w:rPr>
          <w:i/>
          <w:iCs/>
          <w:sz w:val="24"/>
          <w:szCs w:val="24"/>
        </w:rPr>
        <w:t>Fransson</w:t>
      </w:r>
      <w:proofErr w:type="spellEnd"/>
      <w:r w:rsidR="0069743D" w:rsidRPr="00121A6A">
        <w:rPr>
          <w:sz w:val="24"/>
          <w:szCs w:val="24"/>
        </w:rPr>
        <w:t xml:space="preserve"> interpreteerde het Hof dit criterium ruim door te oordelen dat het Handvest van toepassing is ‘</w:t>
      </w:r>
      <w:r w:rsidR="0069743D" w:rsidRPr="00121A6A">
        <w:rPr>
          <w:i/>
          <w:iCs/>
          <w:sz w:val="24"/>
          <w:szCs w:val="24"/>
        </w:rPr>
        <w:t>in alle situaties die door het Unierecht worden beheerst</w:t>
      </w:r>
      <w:r w:rsidR="0069743D" w:rsidRPr="00121A6A">
        <w:rPr>
          <w:sz w:val="24"/>
          <w:szCs w:val="24"/>
        </w:rPr>
        <w:t>’.</w:t>
      </w:r>
      <w:r w:rsidR="0069743D" w:rsidRPr="00121A6A">
        <w:rPr>
          <w:rStyle w:val="FootnoteReference"/>
          <w:sz w:val="24"/>
          <w:szCs w:val="24"/>
        </w:rPr>
        <w:footnoteReference w:id="213"/>
      </w:r>
      <w:r w:rsidR="0069743D" w:rsidRPr="00121A6A">
        <w:rPr>
          <w:sz w:val="24"/>
          <w:szCs w:val="24"/>
        </w:rPr>
        <w:t xml:space="preserve"> Rechtspraak laat zien dat </w:t>
      </w:r>
      <w:r w:rsidR="00F9468D" w:rsidRPr="00121A6A">
        <w:rPr>
          <w:sz w:val="24"/>
          <w:szCs w:val="24"/>
        </w:rPr>
        <w:t>vele</w:t>
      </w:r>
      <w:r w:rsidR="0069743D" w:rsidRPr="00121A6A">
        <w:rPr>
          <w:sz w:val="24"/>
          <w:szCs w:val="24"/>
        </w:rPr>
        <w:t xml:space="preserve"> situaties een afdoende link met</w:t>
      </w:r>
      <w:r w:rsidR="00122E5A">
        <w:rPr>
          <w:sz w:val="24"/>
          <w:szCs w:val="24"/>
        </w:rPr>
        <w:t xml:space="preserve"> het </w:t>
      </w:r>
      <w:r w:rsidR="004A5206">
        <w:rPr>
          <w:sz w:val="24"/>
          <w:szCs w:val="24"/>
        </w:rPr>
        <w:t>Unie</w:t>
      </w:r>
      <w:r w:rsidR="0069743D" w:rsidRPr="00121A6A">
        <w:rPr>
          <w:sz w:val="24"/>
          <w:szCs w:val="24"/>
        </w:rPr>
        <w:t>recht</w:t>
      </w:r>
      <w:r w:rsidR="00122E5A">
        <w:rPr>
          <w:sz w:val="24"/>
          <w:szCs w:val="24"/>
        </w:rPr>
        <w:t xml:space="preserve"> kunnen</w:t>
      </w:r>
      <w:r w:rsidR="0069743D" w:rsidRPr="00121A6A">
        <w:rPr>
          <w:sz w:val="24"/>
          <w:szCs w:val="24"/>
        </w:rPr>
        <w:t xml:space="preserve"> opleveren. De Mol</w:t>
      </w:r>
      <w:r w:rsidR="00687FEC" w:rsidRPr="00121A6A">
        <w:rPr>
          <w:sz w:val="24"/>
          <w:szCs w:val="24"/>
        </w:rPr>
        <w:t xml:space="preserve"> onderscheidt</w:t>
      </w:r>
      <w:r w:rsidR="0069743D" w:rsidRPr="00121A6A">
        <w:rPr>
          <w:sz w:val="24"/>
          <w:szCs w:val="24"/>
        </w:rPr>
        <w:t xml:space="preserve"> </w:t>
      </w:r>
      <w:r w:rsidR="00103258">
        <w:rPr>
          <w:sz w:val="24"/>
          <w:szCs w:val="24"/>
        </w:rPr>
        <w:t xml:space="preserve">in dit verband </w:t>
      </w:r>
      <w:r w:rsidR="0069743D" w:rsidRPr="00121A6A">
        <w:rPr>
          <w:sz w:val="24"/>
          <w:szCs w:val="24"/>
        </w:rPr>
        <w:t>een vijftal categorieën,</w:t>
      </w:r>
      <w:r w:rsidR="0069743D" w:rsidRPr="00121A6A">
        <w:rPr>
          <w:rStyle w:val="FootnoteReference"/>
          <w:sz w:val="24"/>
          <w:szCs w:val="24"/>
        </w:rPr>
        <w:footnoteReference w:id="214"/>
      </w:r>
      <w:r w:rsidR="0069743D" w:rsidRPr="00121A6A">
        <w:rPr>
          <w:sz w:val="24"/>
          <w:szCs w:val="24"/>
        </w:rPr>
        <w:t xml:space="preserve"> die kunnen worden teruggevoerd op </w:t>
      </w:r>
      <w:proofErr w:type="spellStart"/>
      <w:r w:rsidR="0069743D" w:rsidRPr="00121A6A">
        <w:rPr>
          <w:i/>
          <w:iCs/>
          <w:sz w:val="24"/>
          <w:szCs w:val="24"/>
        </w:rPr>
        <w:t>Wachauf</w:t>
      </w:r>
      <w:proofErr w:type="spellEnd"/>
      <w:r w:rsidR="0069743D" w:rsidRPr="00121A6A">
        <w:rPr>
          <w:sz w:val="24"/>
          <w:szCs w:val="24"/>
        </w:rPr>
        <w:t xml:space="preserve">-uitvoering enerzijds en de </w:t>
      </w:r>
      <w:r w:rsidR="0069743D" w:rsidRPr="00121A6A">
        <w:rPr>
          <w:i/>
          <w:iCs/>
          <w:sz w:val="24"/>
          <w:szCs w:val="24"/>
        </w:rPr>
        <w:t>ERT</w:t>
      </w:r>
      <w:r w:rsidR="0069743D" w:rsidRPr="00121A6A">
        <w:rPr>
          <w:sz w:val="24"/>
          <w:szCs w:val="24"/>
        </w:rPr>
        <w:t xml:space="preserve">-doctrine anderzijds. </w:t>
      </w:r>
      <w:r w:rsidR="00742ACE" w:rsidRPr="00121A6A">
        <w:rPr>
          <w:sz w:val="24"/>
          <w:szCs w:val="24"/>
        </w:rPr>
        <w:t xml:space="preserve">Op de </w:t>
      </w:r>
      <w:r w:rsidR="00742ACE" w:rsidRPr="00121A6A">
        <w:rPr>
          <w:i/>
          <w:iCs/>
          <w:sz w:val="24"/>
          <w:szCs w:val="24"/>
        </w:rPr>
        <w:t>ERT</w:t>
      </w:r>
      <w:r w:rsidR="00742ACE" w:rsidRPr="00121A6A">
        <w:rPr>
          <w:sz w:val="24"/>
          <w:szCs w:val="24"/>
        </w:rPr>
        <w:t>-doctrine wordt later teruggekomen</w:t>
      </w:r>
      <w:r w:rsidR="00EE0988">
        <w:rPr>
          <w:sz w:val="24"/>
          <w:szCs w:val="24"/>
        </w:rPr>
        <w:t xml:space="preserve"> (par. 4.3)</w:t>
      </w:r>
      <w:r w:rsidR="00742ACE" w:rsidRPr="00121A6A">
        <w:rPr>
          <w:sz w:val="24"/>
          <w:szCs w:val="24"/>
        </w:rPr>
        <w:t xml:space="preserve">. </w:t>
      </w:r>
      <w:r w:rsidR="0069743D" w:rsidRPr="00121A6A">
        <w:rPr>
          <w:sz w:val="24"/>
          <w:szCs w:val="24"/>
        </w:rPr>
        <w:t xml:space="preserve">Met </w:t>
      </w:r>
      <w:proofErr w:type="spellStart"/>
      <w:r w:rsidR="0069743D" w:rsidRPr="00121A6A">
        <w:rPr>
          <w:i/>
          <w:iCs/>
          <w:sz w:val="24"/>
          <w:szCs w:val="24"/>
        </w:rPr>
        <w:t>Wachauf</w:t>
      </w:r>
      <w:proofErr w:type="spellEnd"/>
      <w:r w:rsidR="0069743D" w:rsidRPr="00121A6A">
        <w:rPr>
          <w:sz w:val="24"/>
          <w:szCs w:val="24"/>
        </w:rPr>
        <w:t xml:space="preserve">-uitvoering worden die situaties bedoeld waarin nationale maatregelen </w:t>
      </w:r>
      <w:r w:rsidR="00AB6F17">
        <w:rPr>
          <w:sz w:val="24"/>
          <w:szCs w:val="24"/>
        </w:rPr>
        <w:t xml:space="preserve">(letterlijk) </w:t>
      </w:r>
      <w:r w:rsidR="0069743D" w:rsidRPr="00121A6A">
        <w:rPr>
          <w:sz w:val="24"/>
          <w:szCs w:val="24"/>
        </w:rPr>
        <w:t>uitvoering geven aan</w:t>
      </w:r>
      <w:r w:rsidR="004A5206">
        <w:rPr>
          <w:sz w:val="24"/>
          <w:szCs w:val="24"/>
        </w:rPr>
        <w:t xml:space="preserve"> het</w:t>
      </w:r>
      <w:r w:rsidR="0069743D" w:rsidRPr="00121A6A">
        <w:rPr>
          <w:sz w:val="24"/>
          <w:szCs w:val="24"/>
        </w:rPr>
        <w:t xml:space="preserve"> Unierecht.</w:t>
      </w:r>
      <w:r w:rsidR="00B4652A" w:rsidRPr="00121A6A">
        <w:rPr>
          <w:rStyle w:val="FootnoteReference"/>
          <w:sz w:val="24"/>
          <w:szCs w:val="24"/>
        </w:rPr>
        <w:footnoteReference w:id="215"/>
      </w:r>
      <w:r w:rsidR="0069743D" w:rsidRPr="00121A6A">
        <w:rPr>
          <w:sz w:val="24"/>
          <w:szCs w:val="24"/>
        </w:rPr>
        <w:t xml:space="preserve"> Gedacht kan </w:t>
      </w:r>
      <w:r w:rsidR="00F9468D" w:rsidRPr="00121A6A">
        <w:rPr>
          <w:sz w:val="24"/>
          <w:szCs w:val="24"/>
        </w:rPr>
        <w:t xml:space="preserve">bijvoorbeeld </w:t>
      </w:r>
      <w:r w:rsidR="0069743D" w:rsidRPr="00121A6A">
        <w:rPr>
          <w:sz w:val="24"/>
          <w:szCs w:val="24"/>
        </w:rPr>
        <w:t xml:space="preserve">worden aan implementatiewetgeving, maar ook </w:t>
      </w:r>
      <w:r w:rsidR="009A72F9" w:rsidRPr="00121A6A">
        <w:rPr>
          <w:sz w:val="24"/>
          <w:szCs w:val="24"/>
        </w:rPr>
        <w:t xml:space="preserve">aan </w:t>
      </w:r>
      <w:r w:rsidR="0069743D" w:rsidRPr="00121A6A">
        <w:rPr>
          <w:sz w:val="24"/>
          <w:szCs w:val="24"/>
        </w:rPr>
        <w:t xml:space="preserve">niet-implementatie, onjuiste implementatie en handelingen die dienen ter effectuering, sanctionering of handhaving van </w:t>
      </w:r>
      <w:r w:rsidR="00A95E28">
        <w:rPr>
          <w:sz w:val="24"/>
          <w:szCs w:val="24"/>
        </w:rPr>
        <w:t>het EU-</w:t>
      </w:r>
      <w:r w:rsidR="0069743D" w:rsidRPr="00121A6A">
        <w:rPr>
          <w:sz w:val="24"/>
          <w:szCs w:val="24"/>
        </w:rPr>
        <w:t xml:space="preserve">recht. De lidstaat treedt dan in feite op als vertegenwoordiger van de Unie, hetgeen </w:t>
      </w:r>
      <w:r w:rsidR="00311A24">
        <w:rPr>
          <w:sz w:val="24"/>
          <w:szCs w:val="24"/>
        </w:rPr>
        <w:t xml:space="preserve">de </w:t>
      </w:r>
      <w:r w:rsidR="0069743D" w:rsidRPr="00121A6A">
        <w:rPr>
          <w:sz w:val="24"/>
          <w:szCs w:val="24"/>
        </w:rPr>
        <w:t>toepasselijkheid van Uniegrondrechten rechtvaardigt.</w:t>
      </w:r>
    </w:p>
    <w:p w14:paraId="4B796964" w14:textId="0FEC71C5" w:rsidR="00C73180" w:rsidRPr="00121A6A" w:rsidRDefault="00640B88" w:rsidP="0043706B">
      <w:pPr>
        <w:spacing w:after="0"/>
        <w:ind w:firstLine="708"/>
        <w:jc w:val="both"/>
        <w:rPr>
          <w:sz w:val="24"/>
          <w:szCs w:val="24"/>
        </w:rPr>
      </w:pPr>
      <w:r w:rsidRPr="00121A6A">
        <w:rPr>
          <w:sz w:val="24"/>
          <w:szCs w:val="24"/>
        </w:rPr>
        <w:t>Hierna komt de vraag aan bod of, en zo ja, wanneer,</w:t>
      </w:r>
      <w:r w:rsidR="000037D3" w:rsidRPr="00121A6A">
        <w:rPr>
          <w:sz w:val="24"/>
          <w:szCs w:val="24"/>
        </w:rPr>
        <w:t xml:space="preserve"> een collectieve actie</w:t>
      </w:r>
      <w:r w:rsidR="00EC5367" w:rsidRPr="00121A6A">
        <w:rPr>
          <w:sz w:val="24"/>
          <w:szCs w:val="24"/>
        </w:rPr>
        <w:t>, althans</w:t>
      </w:r>
      <w:r w:rsidR="00233154" w:rsidRPr="00121A6A">
        <w:rPr>
          <w:sz w:val="24"/>
          <w:szCs w:val="24"/>
        </w:rPr>
        <w:t xml:space="preserve"> het belangengeschil dat </w:t>
      </w:r>
      <w:r w:rsidR="000D5ACC" w:rsidRPr="00121A6A">
        <w:rPr>
          <w:sz w:val="24"/>
          <w:szCs w:val="24"/>
        </w:rPr>
        <w:t>daaraan</w:t>
      </w:r>
      <w:r w:rsidR="00233154" w:rsidRPr="00121A6A">
        <w:rPr>
          <w:sz w:val="24"/>
          <w:szCs w:val="24"/>
        </w:rPr>
        <w:t xml:space="preserve"> ten grondslag ligt</w:t>
      </w:r>
      <w:r w:rsidR="00EC5367" w:rsidRPr="00121A6A">
        <w:rPr>
          <w:sz w:val="24"/>
          <w:szCs w:val="24"/>
        </w:rPr>
        <w:t>,</w:t>
      </w:r>
      <w:r w:rsidR="00233154" w:rsidRPr="00121A6A">
        <w:rPr>
          <w:sz w:val="24"/>
          <w:szCs w:val="24"/>
        </w:rPr>
        <w:t xml:space="preserve"> </w:t>
      </w:r>
      <w:r w:rsidRPr="00121A6A">
        <w:rPr>
          <w:sz w:val="24"/>
          <w:szCs w:val="24"/>
        </w:rPr>
        <w:t xml:space="preserve">voldoende in verband kan worden gebracht met </w:t>
      </w:r>
      <w:proofErr w:type="spellStart"/>
      <w:r w:rsidR="0018294F" w:rsidRPr="00121A6A">
        <w:rPr>
          <w:i/>
          <w:iCs/>
          <w:sz w:val="24"/>
          <w:szCs w:val="24"/>
        </w:rPr>
        <w:t>Wachauf</w:t>
      </w:r>
      <w:proofErr w:type="spellEnd"/>
      <w:r w:rsidR="0018294F" w:rsidRPr="00121A6A">
        <w:rPr>
          <w:sz w:val="24"/>
          <w:szCs w:val="24"/>
        </w:rPr>
        <w:t xml:space="preserve">-uitvoering, specifiek </w:t>
      </w:r>
      <w:r w:rsidR="00F9468D" w:rsidRPr="00121A6A">
        <w:rPr>
          <w:sz w:val="24"/>
          <w:szCs w:val="24"/>
        </w:rPr>
        <w:t xml:space="preserve">met </w:t>
      </w:r>
      <w:r w:rsidR="00785F5D" w:rsidRPr="00121A6A">
        <w:rPr>
          <w:sz w:val="24"/>
          <w:szCs w:val="24"/>
        </w:rPr>
        <w:t>een materiële Unierichtlijn</w:t>
      </w:r>
      <w:r w:rsidRPr="00121A6A">
        <w:rPr>
          <w:sz w:val="24"/>
          <w:szCs w:val="24"/>
        </w:rPr>
        <w:t>,</w:t>
      </w:r>
      <w:r w:rsidR="000037D3" w:rsidRPr="00121A6A">
        <w:rPr>
          <w:sz w:val="24"/>
          <w:szCs w:val="24"/>
        </w:rPr>
        <w:t xml:space="preserve"> </w:t>
      </w:r>
      <w:r w:rsidRPr="00121A6A">
        <w:rPr>
          <w:sz w:val="24"/>
          <w:szCs w:val="24"/>
        </w:rPr>
        <w:t xml:space="preserve">waardoor </w:t>
      </w:r>
      <w:r w:rsidR="00233154" w:rsidRPr="00121A6A">
        <w:rPr>
          <w:sz w:val="24"/>
          <w:szCs w:val="24"/>
        </w:rPr>
        <w:t>artikel 28 Hv</w:t>
      </w:r>
      <w:r w:rsidRPr="00121A6A">
        <w:rPr>
          <w:sz w:val="24"/>
          <w:szCs w:val="24"/>
        </w:rPr>
        <w:t xml:space="preserve"> in een nationaal stakingsgeschil </w:t>
      </w:r>
      <w:r w:rsidR="00EC5367" w:rsidRPr="00121A6A">
        <w:rPr>
          <w:sz w:val="24"/>
          <w:szCs w:val="24"/>
        </w:rPr>
        <w:t xml:space="preserve">rechtstreeks </w:t>
      </w:r>
      <w:r w:rsidR="005943C7">
        <w:rPr>
          <w:sz w:val="24"/>
          <w:szCs w:val="24"/>
        </w:rPr>
        <w:t>zou kunnen</w:t>
      </w:r>
      <w:r w:rsidR="000037D3" w:rsidRPr="00121A6A">
        <w:rPr>
          <w:sz w:val="24"/>
          <w:szCs w:val="24"/>
        </w:rPr>
        <w:t xml:space="preserve"> worden toegepast</w:t>
      </w:r>
      <w:r w:rsidRPr="00121A6A">
        <w:rPr>
          <w:sz w:val="24"/>
          <w:szCs w:val="24"/>
        </w:rPr>
        <w:t xml:space="preserve">. </w:t>
      </w:r>
      <w:r w:rsidR="00CC2E5D">
        <w:rPr>
          <w:sz w:val="24"/>
          <w:szCs w:val="24"/>
        </w:rPr>
        <w:t xml:space="preserve">Gelet op artikel 51 lid 1 Hv zou men kunnen denken </w:t>
      </w:r>
      <w:r w:rsidR="00F40DD6" w:rsidRPr="00121A6A">
        <w:rPr>
          <w:sz w:val="24"/>
          <w:szCs w:val="24"/>
        </w:rPr>
        <w:t>dat deze vraag enkel relevant is in de context van een verticaal stakingsgeschil</w:t>
      </w:r>
      <w:r w:rsidR="002B6191">
        <w:rPr>
          <w:sz w:val="24"/>
          <w:szCs w:val="24"/>
        </w:rPr>
        <w:t xml:space="preserve">, </w:t>
      </w:r>
      <w:r w:rsidR="00E3152A" w:rsidRPr="00121A6A">
        <w:rPr>
          <w:sz w:val="24"/>
          <w:szCs w:val="24"/>
        </w:rPr>
        <w:t xml:space="preserve">bijvoorbeeld rondom </w:t>
      </w:r>
      <w:r w:rsidR="009A72F9" w:rsidRPr="00121A6A">
        <w:rPr>
          <w:sz w:val="24"/>
          <w:szCs w:val="24"/>
        </w:rPr>
        <w:t xml:space="preserve">de </w:t>
      </w:r>
      <w:r w:rsidR="00E3152A" w:rsidRPr="00121A6A">
        <w:rPr>
          <w:sz w:val="24"/>
          <w:szCs w:val="24"/>
        </w:rPr>
        <w:t xml:space="preserve">vaststelling van de </w:t>
      </w:r>
      <w:r w:rsidR="002F62AB" w:rsidRPr="00121A6A">
        <w:rPr>
          <w:sz w:val="24"/>
          <w:szCs w:val="24"/>
        </w:rPr>
        <w:t xml:space="preserve">CAO Gemeenten of de </w:t>
      </w:r>
      <w:r w:rsidR="00E3152A" w:rsidRPr="00121A6A">
        <w:rPr>
          <w:sz w:val="24"/>
          <w:szCs w:val="24"/>
        </w:rPr>
        <w:t>CAO Rijk</w:t>
      </w:r>
      <w:r w:rsidR="00CC2E5D">
        <w:rPr>
          <w:sz w:val="24"/>
          <w:szCs w:val="24"/>
        </w:rPr>
        <w:t>. Op grond van deze bepaling is het</w:t>
      </w:r>
      <w:r w:rsidR="005705D5" w:rsidRPr="00121A6A">
        <w:rPr>
          <w:sz w:val="24"/>
          <w:szCs w:val="24"/>
        </w:rPr>
        <w:t xml:space="preserve"> Handvest </w:t>
      </w:r>
      <w:r w:rsidR="00CC2E5D">
        <w:rPr>
          <w:sz w:val="24"/>
          <w:szCs w:val="24"/>
        </w:rPr>
        <w:t xml:space="preserve">immers </w:t>
      </w:r>
      <w:r w:rsidR="005705D5" w:rsidRPr="00121A6A">
        <w:rPr>
          <w:sz w:val="24"/>
          <w:szCs w:val="24"/>
        </w:rPr>
        <w:t xml:space="preserve">alleen </w:t>
      </w:r>
      <w:r w:rsidR="00EC5367" w:rsidRPr="00121A6A">
        <w:rPr>
          <w:sz w:val="24"/>
          <w:szCs w:val="24"/>
        </w:rPr>
        <w:t>gericht tot lidstaten</w:t>
      </w:r>
      <w:r w:rsidR="00CC2E5D">
        <w:rPr>
          <w:sz w:val="24"/>
          <w:szCs w:val="24"/>
        </w:rPr>
        <w:t xml:space="preserve">, waardoor het </w:t>
      </w:r>
      <w:r w:rsidR="00EC5367" w:rsidRPr="00121A6A">
        <w:rPr>
          <w:sz w:val="24"/>
          <w:szCs w:val="24"/>
        </w:rPr>
        <w:t>slechts een</w:t>
      </w:r>
      <w:r w:rsidR="000F0374" w:rsidRPr="00121A6A">
        <w:rPr>
          <w:sz w:val="24"/>
          <w:szCs w:val="24"/>
        </w:rPr>
        <w:t xml:space="preserve"> publieke werkgever </w:t>
      </w:r>
      <w:r w:rsidR="005705D5" w:rsidRPr="00121A6A">
        <w:rPr>
          <w:sz w:val="24"/>
          <w:szCs w:val="24"/>
        </w:rPr>
        <w:t xml:space="preserve">direct een bindende verplichting </w:t>
      </w:r>
      <w:r w:rsidR="00CC2E5D">
        <w:rPr>
          <w:sz w:val="24"/>
          <w:szCs w:val="24"/>
        </w:rPr>
        <w:t>kan</w:t>
      </w:r>
      <w:r w:rsidR="005705D5" w:rsidRPr="00121A6A">
        <w:rPr>
          <w:sz w:val="24"/>
          <w:szCs w:val="24"/>
        </w:rPr>
        <w:t xml:space="preserve"> opleggen</w:t>
      </w:r>
      <w:r w:rsidR="000F0374" w:rsidRPr="00121A6A">
        <w:rPr>
          <w:sz w:val="24"/>
          <w:szCs w:val="24"/>
        </w:rPr>
        <w:t>.</w:t>
      </w:r>
      <w:r w:rsidR="00B926D4" w:rsidRPr="00121A6A">
        <w:rPr>
          <w:sz w:val="24"/>
          <w:szCs w:val="24"/>
        </w:rPr>
        <w:t xml:space="preserve"> </w:t>
      </w:r>
      <w:r w:rsidR="00C9750D" w:rsidRPr="00121A6A">
        <w:rPr>
          <w:sz w:val="24"/>
          <w:szCs w:val="24"/>
        </w:rPr>
        <w:t xml:space="preserve">Echter, </w:t>
      </w:r>
      <w:r w:rsidR="00EC5367" w:rsidRPr="00121A6A">
        <w:rPr>
          <w:sz w:val="24"/>
          <w:szCs w:val="24"/>
        </w:rPr>
        <w:t xml:space="preserve">in de rechtspraak is een ontwikkeling gaande </w:t>
      </w:r>
      <w:r w:rsidR="00E76732" w:rsidRPr="00121A6A">
        <w:rPr>
          <w:sz w:val="24"/>
          <w:szCs w:val="24"/>
        </w:rPr>
        <w:t>waarin</w:t>
      </w:r>
      <w:r w:rsidR="00EC5367" w:rsidRPr="00121A6A">
        <w:rPr>
          <w:sz w:val="24"/>
          <w:szCs w:val="24"/>
        </w:rPr>
        <w:t xml:space="preserve"> het Handvest onder omstandigheden ook </w:t>
      </w:r>
      <w:r w:rsidR="00B926D4" w:rsidRPr="00121A6A">
        <w:rPr>
          <w:sz w:val="24"/>
          <w:szCs w:val="24"/>
        </w:rPr>
        <w:t xml:space="preserve">een private werkgever rechtstreeks kan binden </w:t>
      </w:r>
      <w:r w:rsidR="005470AC" w:rsidRPr="00121A6A">
        <w:rPr>
          <w:sz w:val="24"/>
          <w:szCs w:val="24"/>
        </w:rPr>
        <w:t>(par. 4.3)</w:t>
      </w:r>
      <w:r w:rsidR="00D009EE" w:rsidRPr="00121A6A">
        <w:rPr>
          <w:sz w:val="24"/>
          <w:szCs w:val="24"/>
        </w:rPr>
        <w:t xml:space="preserve">. </w:t>
      </w:r>
      <w:r w:rsidR="00166F01" w:rsidRPr="00121A6A">
        <w:rPr>
          <w:sz w:val="24"/>
          <w:szCs w:val="24"/>
        </w:rPr>
        <w:t xml:space="preserve">Hoewel die horizontale directe werking zich vooralsnog niet heeft gemanifesteerd in </w:t>
      </w:r>
      <w:r w:rsidR="00C10B81">
        <w:rPr>
          <w:sz w:val="24"/>
          <w:szCs w:val="24"/>
        </w:rPr>
        <w:t xml:space="preserve">de </w:t>
      </w:r>
      <w:r w:rsidR="00166F01" w:rsidRPr="00121A6A">
        <w:rPr>
          <w:sz w:val="24"/>
          <w:szCs w:val="24"/>
        </w:rPr>
        <w:t xml:space="preserve">toetsing van zuiver </w:t>
      </w:r>
      <w:r w:rsidR="00166F01" w:rsidRPr="005943C7">
        <w:rPr>
          <w:i/>
          <w:iCs/>
          <w:sz w:val="24"/>
          <w:szCs w:val="24"/>
        </w:rPr>
        <w:t>particulier</w:t>
      </w:r>
      <w:r w:rsidR="00166F01" w:rsidRPr="00121A6A">
        <w:rPr>
          <w:sz w:val="24"/>
          <w:szCs w:val="24"/>
        </w:rPr>
        <w:t xml:space="preserve"> handelen </w:t>
      </w:r>
      <w:r w:rsidR="003D2404" w:rsidRPr="00121A6A">
        <w:rPr>
          <w:sz w:val="24"/>
          <w:szCs w:val="24"/>
        </w:rPr>
        <w:t xml:space="preserve">– </w:t>
      </w:r>
      <w:r w:rsidR="00166F01" w:rsidRPr="00121A6A">
        <w:rPr>
          <w:sz w:val="24"/>
          <w:szCs w:val="24"/>
        </w:rPr>
        <w:t>zoals een door een</w:t>
      </w:r>
      <w:r w:rsidR="00E76732" w:rsidRPr="00121A6A">
        <w:rPr>
          <w:sz w:val="24"/>
          <w:szCs w:val="24"/>
        </w:rPr>
        <w:t xml:space="preserve"> private</w:t>
      </w:r>
      <w:r w:rsidR="00166F01" w:rsidRPr="00121A6A">
        <w:rPr>
          <w:sz w:val="24"/>
          <w:szCs w:val="24"/>
        </w:rPr>
        <w:t xml:space="preserve"> werkgever gevorderd stakingsverbod</w:t>
      </w:r>
      <w:r w:rsidR="003D2404" w:rsidRPr="00121A6A">
        <w:rPr>
          <w:sz w:val="24"/>
          <w:szCs w:val="24"/>
        </w:rPr>
        <w:t xml:space="preserve"> –</w:t>
      </w:r>
      <w:r w:rsidR="00166F01" w:rsidRPr="00121A6A">
        <w:rPr>
          <w:sz w:val="24"/>
          <w:szCs w:val="24"/>
        </w:rPr>
        <w:t xml:space="preserve"> is niet uitgesloten dat het Hof op den duur het feit dat particulieren niet als normadressaat van het Handvest zijn genoemd</w:t>
      </w:r>
      <w:r w:rsidR="00AC3954" w:rsidRPr="00121A6A">
        <w:rPr>
          <w:sz w:val="24"/>
          <w:szCs w:val="24"/>
        </w:rPr>
        <w:t xml:space="preserve"> volledig </w:t>
      </w:r>
      <w:r w:rsidR="007250FB">
        <w:rPr>
          <w:sz w:val="24"/>
          <w:szCs w:val="24"/>
        </w:rPr>
        <w:t xml:space="preserve">terzijde </w:t>
      </w:r>
      <w:r w:rsidR="00103258">
        <w:rPr>
          <w:sz w:val="24"/>
          <w:szCs w:val="24"/>
        </w:rPr>
        <w:t>zal stellen</w:t>
      </w:r>
      <w:r w:rsidR="001B1C1E">
        <w:rPr>
          <w:sz w:val="24"/>
          <w:szCs w:val="24"/>
        </w:rPr>
        <w:t>.</w:t>
      </w:r>
    </w:p>
    <w:p w14:paraId="5F5840A6" w14:textId="2E993FF6" w:rsidR="00F52232" w:rsidRPr="00121A6A" w:rsidRDefault="00D009EE" w:rsidP="0043706B">
      <w:pPr>
        <w:spacing w:after="0"/>
        <w:ind w:firstLine="708"/>
        <w:jc w:val="both"/>
        <w:rPr>
          <w:sz w:val="24"/>
          <w:szCs w:val="24"/>
        </w:rPr>
      </w:pPr>
      <w:r w:rsidRPr="00121A6A">
        <w:rPr>
          <w:sz w:val="24"/>
          <w:szCs w:val="24"/>
        </w:rPr>
        <w:t>Desalniettemin</w:t>
      </w:r>
      <w:r w:rsidR="00785F5D" w:rsidRPr="00121A6A">
        <w:rPr>
          <w:sz w:val="24"/>
          <w:szCs w:val="24"/>
        </w:rPr>
        <w:t xml:space="preserve"> </w:t>
      </w:r>
      <w:r w:rsidR="005470AC" w:rsidRPr="00121A6A">
        <w:rPr>
          <w:sz w:val="24"/>
          <w:szCs w:val="24"/>
        </w:rPr>
        <w:t>stelt</w:t>
      </w:r>
      <w:r w:rsidR="00785F5D" w:rsidRPr="00121A6A">
        <w:rPr>
          <w:sz w:val="24"/>
          <w:szCs w:val="24"/>
        </w:rPr>
        <w:t xml:space="preserve"> </w:t>
      </w:r>
      <w:r w:rsidR="00B926D4" w:rsidRPr="00121A6A">
        <w:rPr>
          <w:sz w:val="24"/>
          <w:szCs w:val="24"/>
        </w:rPr>
        <w:t xml:space="preserve">artikel 51 lid 1 Hv </w:t>
      </w:r>
      <w:r w:rsidR="00190483" w:rsidRPr="00121A6A">
        <w:rPr>
          <w:sz w:val="24"/>
          <w:szCs w:val="24"/>
        </w:rPr>
        <w:t xml:space="preserve">als absolute ondergrens dat </w:t>
      </w:r>
      <w:r w:rsidR="003840CA">
        <w:rPr>
          <w:sz w:val="24"/>
          <w:szCs w:val="24"/>
        </w:rPr>
        <w:t>uitvoering moet worden geven aan</w:t>
      </w:r>
      <w:r w:rsidR="00785F5D" w:rsidRPr="00121A6A">
        <w:rPr>
          <w:sz w:val="24"/>
          <w:szCs w:val="24"/>
        </w:rPr>
        <w:t xml:space="preserve"> </w:t>
      </w:r>
      <w:r w:rsidR="00103258">
        <w:rPr>
          <w:sz w:val="24"/>
          <w:szCs w:val="24"/>
        </w:rPr>
        <w:t xml:space="preserve">het </w:t>
      </w:r>
      <w:r w:rsidR="00785F5D" w:rsidRPr="00121A6A">
        <w:rPr>
          <w:sz w:val="24"/>
          <w:szCs w:val="24"/>
        </w:rPr>
        <w:t>Unierecht</w:t>
      </w:r>
      <w:r w:rsidR="00190483" w:rsidRPr="00121A6A">
        <w:rPr>
          <w:sz w:val="24"/>
          <w:szCs w:val="24"/>
        </w:rPr>
        <w:t>.</w:t>
      </w:r>
      <w:r w:rsidR="00785F5D" w:rsidRPr="00121A6A">
        <w:rPr>
          <w:sz w:val="24"/>
          <w:szCs w:val="24"/>
        </w:rPr>
        <w:t xml:space="preserve"> </w:t>
      </w:r>
      <w:r w:rsidR="00B11D28" w:rsidRPr="00121A6A">
        <w:rPr>
          <w:sz w:val="24"/>
          <w:szCs w:val="24"/>
        </w:rPr>
        <w:t>Zoals De Mol terecht opmerkt,</w:t>
      </w:r>
      <w:r w:rsidR="00963DAB" w:rsidRPr="00121A6A">
        <w:rPr>
          <w:rStyle w:val="FootnoteReference"/>
          <w:sz w:val="24"/>
          <w:szCs w:val="24"/>
        </w:rPr>
        <w:footnoteReference w:id="216"/>
      </w:r>
      <w:r w:rsidR="00B11D28" w:rsidRPr="00121A6A">
        <w:rPr>
          <w:sz w:val="24"/>
          <w:szCs w:val="24"/>
        </w:rPr>
        <w:t xml:space="preserve"> is</w:t>
      </w:r>
      <w:r w:rsidR="00103258">
        <w:rPr>
          <w:sz w:val="24"/>
          <w:szCs w:val="24"/>
        </w:rPr>
        <w:t xml:space="preserve"> </w:t>
      </w:r>
      <w:r w:rsidR="00B11D28" w:rsidRPr="00121A6A">
        <w:rPr>
          <w:sz w:val="24"/>
          <w:szCs w:val="24"/>
        </w:rPr>
        <w:t xml:space="preserve">moeilijk verdedigbaar dat </w:t>
      </w:r>
      <w:r w:rsidR="000406AD" w:rsidRPr="00121A6A">
        <w:rPr>
          <w:sz w:val="24"/>
          <w:szCs w:val="24"/>
        </w:rPr>
        <w:t>particulieren een</w:t>
      </w:r>
      <w:r w:rsidR="00190483" w:rsidRPr="00121A6A">
        <w:rPr>
          <w:sz w:val="24"/>
          <w:szCs w:val="24"/>
        </w:rPr>
        <w:t xml:space="preserve"> EU-richtlijn</w:t>
      </w:r>
      <w:r w:rsidR="003840CA">
        <w:rPr>
          <w:sz w:val="24"/>
          <w:szCs w:val="24"/>
        </w:rPr>
        <w:t xml:space="preserve"> ten uitvoer kunnen brengen</w:t>
      </w:r>
      <w:r w:rsidR="00FA5A15" w:rsidRPr="00121A6A">
        <w:rPr>
          <w:sz w:val="24"/>
          <w:szCs w:val="24"/>
        </w:rPr>
        <w:t>.</w:t>
      </w:r>
      <w:r w:rsidR="00190483" w:rsidRPr="00121A6A">
        <w:rPr>
          <w:sz w:val="24"/>
          <w:szCs w:val="24"/>
        </w:rPr>
        <w:t xml:space="preserve"> </w:t>
      </w:r>
      <w:r w:rsidR="00FA5A15" w:rsidRPr="00121A6A">
        <w:rPr>
          <w:sz w:val="24"/>
          <w:szCs w:val="24"/>
        </w:rPr>
        <w:t>R</w:t>
      </w:r>
      <w:r w:rsidR="00190483" w:rsidRPr="00121A6A">
        <w:rPr>
          <w:sz w:val="24"/>
          <w:szCs w:val="24"/>
        </w:rPr>
        <w:t xml:space="preserve">ichtlijnen </w:t>
      </w:r>
      <w:r w:rsidR="00FA5A15" w:rsidRPr="00121A6A">
        <w:rPr>
          <w:sz w:val="24"/>
          <w:szCs w:val="24"/>
        </w:rPr>
        <w:t xml:space="preserve">zijn immers </w:t>
      </w:r>
      <w:r w:rsidR="00190483" w:rsidRPr="00121A6A">
        <w:rPr>
          <w:sz w:val="24"/>
          <w:szCs w:val="24"/>
        </w:rPr>
        <w:t xml:space="preserve">niet tot particulieren gericht en </w:t>
      </w:r>
      <w:r w:rsidR="00FA5A15" w:rsidRPr="00121A6A">
        <w:rPr>
          <w:sz w:val="24"/>
          <w:szCs w:val="24"/>
        </w:rPr>
        <w:t xml:space="preserve">hebben </w:t>
      </w:r>
      <w:r w:rsidR="00190483" w:rsidRPr="00121A6A">
        <w:rPr>
          <w:sz w:val="24"/>
          <w:szCs w:val="24"/>
        </w:rPr>
        <w:t xml:space="preserve">als zodanig geen horizontale directe werking. </w:t>
      </w:r>
      <w:r w:rsidR="00532A96" w:rsidRPr="00121A6A">
        <w:rPr>
          <w:sz w:val="24"/>
          <w:szCs w:val="24"/>
        </w:rPr>
        <w:t>Vanuit die gedachte zou e</w:t>
      </w:r>
      <w:r w:rsidR="00785F5D" w:rsidRPr="00121A6A">
        <w:rPr>
          <w:sz w:val="24"/>
          <w:szCs w:val="24"/>
        </w:rPr>
        <w:t xml:space="preserve">en richtlijn niet in aanmerking mogen komen om een </w:t>
      </w:r>
      <w:r w:rsidR="00102231" w:rsidRPr="00121A6A">
        <w:rPr>
          <w:sz w:val="24"/>
          <w:szCs w:val="24"/>
        </w:rPr>
        <w:t>horizontaal</w:t>
      </w:r>
      <w:r w:rsidR="009453C7" w:rsidRPr="00121A6A">
        <w:rPr>
          <w:sz w:val="24"/>
          <w:szCs w:val="24"/>
        </w:rPr>
        <w:t xml:space="preserve"> </w:t>
      </w:r>
      <w:r w:rsidR="00E650DD">
        <w:rPr>
          <w:sz w:val="24"/>
          <w:szCs w:val="24"/>
        </w:rPr>
        <w:t>dispuut</w:t>
      </w:r>
      <w:r w:rsidR="00D31E58" w:rsidRPr="00121A6A">
        <w:rPr>
          <w:sz w:val="24"/>
          <w:szCs w:val="24"/>
        </w:rPr>
        <w:t xml:space="preserve"> </w:t>
      </w:r>
      <w:r w:rsidR="00785F5D" w:rsidRPr="00121A6A">
        <w:rPr>
          <w:sz w:val="24"/>
          <w:szCs w:val="24"/>
        </w:rPr>
        <w:t xml:space="preserve">binnen de </w:t>
      </w:r>
      <w:r w:rsidR="001A4B1A" w:rsidRPr="00121A6A">
        <w:rPr>
          <w:sz w:val="24"/>
          <w:szCs w:val="24"/>
        </w:rPr>
        <w:t>reikwijdte</w:t>
      </w:r>
      <w:r w:rsidR="00785F5D" w:rsidRPr="00121A6A">
        <w:rPr>
          <w:sz w:val="24"/>
          <w:szCs w:val="24"/>
        </w:rPr>
        <w:t xml:space="preserve"> van </w:t>
      </w:r>
      <w:r w:rsidR="00F9468D" w:rsidRPr="00121A6A">
        <w:rPr>
          <w:sz w:val="24"/>
          <w:szCs w:val="24"/>
        </w:rPr>
        <w:t>het EU-</w:t>
      </w:r>
      <w:r w:rsidR="00785F5D" w:rsidRPr="00121A6A">
        <w:rPr>
          <w:sz w:val="24"/>
          <w:szCs w:val="24"/>
        </w:rPr>
        <w:t xml:space="preserve">recht </w:t>
      </w:r>
      <w:r w:rsidR="00190483" w:rsidRPr="00121A6A">
        <w:rPr>
          <w:sz w:val="24"/>
          <w:szCs w:val="24"/>
        </w:rPr>
        <w:t xml:space="preserve">(en daarmee het Handvest) </w:t>
      </w:r>
      <w:r w:rsidR="00785F5D" w:rsidRPr="00121A6A">
        <w:rPr>
          <w:sz w:val="24"/>
          <w:szCs w:val="24"/>
        </w:rPr>
        <w:t xml:space="preserve">te </w:t>
      </w:r>
      <w:r w:rsidR="009375C9" w:rsidRPr="00121A6A">
        <w:rPr>
          <w:sz w:val="24"/>
          <w:szCs w:val="24"/>
        </w:rPr>
        <w:t>trekken</w:t>
      </w:r>
      <w:r w:rsidR="00785F5D" w:rsidRPr="00121A6A">
        <w:rPr>
          <w:sz w:val="24"/>
          <w:szCs w:val="24"/>
        </w:rPr>
        <w:t>.</w:t>
      </w:r>
      <w:r w:rsidR="00D31E58" w:rsidRPr="00121A6A">
        <w:rPr>
          <w:sz w:val="24"/>
          <w:szCs w:val="24"/>
        </w:rPr>
        <w:t xml:space="preserve"> Toch </w:t>
      </w:r>
      <w:r w:rsidR="006F2E80" w:rsidRPr="00121A6A">
        <w:rPr>
          <w:sz w:val="24"/>
          <w:szCs w:val="24"/>
        </w:rPr>
        <w:t>ligt</w:t>
      </w:r>
      <w:r w:rsidR="00D31E58" w:rsidRPr="00121A6A">
        <w:rPr>
          <w:sz w:val="24"/>
          <w:szCs w:val="24"/>
        </w:rPr>
        <w:t xml:space="preserve"> dit in de context van de sociale dialoog genuanceerder, omdat sociale partners</w:t>
      </w:r>
      <w:r w:rsidR="007D1E32" w:rsidRPr="00121A6A">
        <w:rPr>
          <w:sz w:val="24"/>
          <w:szCs w:val="24"/>
        </w:rPr>
        <w:t xml:space="preserve"> </w:t>
      </w:r>
      <w:r w:rsidR="003840CA">
        <w:rPr>
          <w:sz w:val="24"/>
          <w:szCs w:val="24"/>
        </w:rPr>
        <w:t xml:space="preserve">wél </w:t>
      </w:r>
      <w:r w:rsidR="007D1E32" w:rsidRPr="00121A6A">
        <w:rPr>
          <w:sz w:val="24"/>
          <w:szCs w:val="24"/>
        </w:rPr>
        <w:t>betrokken kunnen zijn</w:t>
      </w:r>
      <w:r w:rsidR="00E3152A" w:rsidRPr="00121A6A">
        <w:rPr>
          <w:sz w:val="24"/>
          <w:szCs w:val="24"/>
        </w:rPr>
        <w:t xml:space="preserve"> bij de</w:t>
      </w:r>
      <w:r w:rsidR="00D31E58" w:rsidRPr="00121A6A">
        <w:rPr>
          <w:sz w:val="24"/>
          <w:szCs w:val="24"/>
        </w:rPr>
        <w:t xml:space="preserve"> uitvoering </w:t>
      </w:r>
      <w:r w:rsidR="00E3152A" w:rsidRPr="00121A6A">
        <w:rPr>
          <w:sz w:val="24"/>
          <w:szCs w:val="24"/>
        </w:rPr>
        <w:t>van</w:t>
      </w:r>
      <w:r w:rsidR="005E7FE7" w:rsidRPr="00121A6A">
        <w:rPr>
          <w:sz w:val="24"/>
          <w:szCs w:val="24"/>
        </w:rPr>
        <w:t xml:space="preserve"> </w:t>
      </w:r>
      <w:r w:rsidR="005E7FE7" w:rsidRPr="00121A6A">
        <w:rPr>
          <w:sz w:val="24"/>
          <w:szCs w:val="24"/>
        </w:rPr>
        <w:lastRenderedPageBreak/>
        <w:t>Unierichtlijn</w:t>
      </w:r>
      <w:r w:rsidR="0051259D" w:rsidRPr="00121A6A">
        <w:rPr>
          <w:sz w:val="24"/>
          <w:szCs w:val="24"/>
        </w:rPr>
        <w:t>en</w:t>
      </w:r>
      <w:r w:rsidR="00D31E58" w:rsidRPr="00121A6A">
        <w:rPr>
          <w:sz w:val="24"/>
          <w:szCs w:val="24"/>
        </w:rPr>
        <w:t>.</w:t>
      </w:r>
      <w:r w:rsidR="00D31E58" w:rsidRPr="00121A6A">
        <w:rPr>
          <w:rStyle w:val="FootnoteReference"/>
          <w:sz w:val="24"/>
          <w:szCs w:val="24"/>
        </w:rPr>
        <w:footnoteReference w:id="217"/>
      </w:r>
      <w:r w:rsidR="00D31E58" w:rsidRPr="00121A6A">
        <w:rPr>
          <w:sz w:val="24"/>
          <w:szCs w:val="24"/>
        </w:rPr>
        <w:t xml:space="preserve"> </w:t>
      </w:r>
      <w:r w:rsidR="00B251BE" w:rsidRPr="00121A6A">
        <w:rPr>
          <w:sz w:val="24"/>
          <w:szCs w:val="24"/>
        </w:rPr>
        <w:t>Nationale c</w:t>
      </w:r>
      <w:r w:rsidR="00102231" w:rsidRPr="00121A6A">
        <w:rPr>
          <w:sz w:val="24"/>
          <w:szCs w:val="24"/>
        </w:rPr>
        <w:t>ao</w:t>
      </w:r>
      <w:r w:rsidR="00B51A1B" w:rsidRPr="00121A6A">
        <w:rPr>
          <w:sz w:val="24"/>
          <w:szCs w:val="24"/>
        </w:rPr>
        <w:t>’</w:t>
      </w:r>
      <w:r w:rsidR="00102231" w:rsidRPr="00121A6A">
        <w:rPr>
          <w:sz w:val="24"/>
          <w:szCs w:val="24"/>
        </w:rPr>
        <w:t xml:space="preserve">s kunnen </w:t>
      </w:r>
      <w:r w:rsidR="006B3E36" w:rsidRPr="00121A6A">
        <w:rPr>
          <w:sz w:val="24"/>
          <w:szCs w:val="24"/>
        </w:rPr>
        <w:t>in zoverre</w:t>
      </w:r>
      <w:r w:rsidR="00102231" w:rsidRPr="00121A6A">
        <w:rPr>
          <w:sz w:val="24"/>
          <w:szCs w:val="24"/>
        </w:rPr>
        <w:t xml:space="preserve">, zeker </w:t>
      </w:r>
      <w:r w:rsidR="005B1D01" w:rsidRPr="00121A6A">
        <w:rPr>
          <w:sz w:val="24"/>
          <w:szCs w:val="24"/>
        </w:rPr>
        <w:t>met het oog op een eventuele algemeenverbindendverklaring</w:t>
      </w:r>
      <w:r w:rsidR="00102231" w:rsidRPr="00121A6A">
        <w:rPr>
          <w:sz w:val="24"/>
          <w:szCs w:val="24"/>
        </w:rPr>
        <w:t>,</w:t>
      </w:r>
      <w:r w:rsidR="0071565F" w:rsidRPr="00121A6A">
        <w:rPr>
          <w:rStyle w:val="FootnoteReference"/>
          <w:sz w:val="24"/>
          <w:szCs w:val="24"/>
        </w:rPr>
        <w:footnoteReference w:id="218"/>
      </w:r>
      <w:r w:rsidR="00102231" w:rsidRPr="00121A6A">
        <w:rPr>
          <w:sz w:val="24"/>
          <w:szCs w:val="24"/>
        </w:rPr>
        <w:t xml:space="preserve"> </w:t>
      </w:r>
      <w:r w:rsidR="006B3E36" w:rsidRPr="00121A6A">
        <w:rPr>
          <w:sz w:val="24"/>
          <w:szCs w:val="24"/>
        </w:rPr>
        <w:t>feitelijk</w:t>
      </w:r>
      <w:r w:rsidR="00102231" w:rsidRPr="00121A6A">
        <w:rPr>
          <w:sz w:val="24"/>
          <w:szCs w:val="24"/>
        </w:rPr>
        <w:t xml:space="preserve"> worden gezien als alternatief voor of aanvulling op nationale </w:t>
      </w:r>
      <w:r w:rsidR="005F1CA7" w:rsidRPr="00121A6A">
        <w:rPr>
          <w:sz w:val="24"/>
          <w:szCs w:val="24"/>
        </w:rPr>
        <w:t>implementatie</w:t>
      </w:r>
      <w:r w:rsidR="00102231" w:rsidRPr="00121A6A">
        <w:rPr>
          <w:sz w:val="24"/>
          <w:szCs w:val="24"/>
        </w:rPr>
        <w:t xml:space="preserve">wetgeving. </w:t>
      </w:r>
      <w:r w:rsidR="00066120" w:rsidRPr="00121A6A">
        <w:rPr>
          <w:sz w:val="24"/>
          <w:szCs w:val="24"/>
        </w:rPr>
        <w:t>Vanwege</w:t>
      </w:r>
      <w:r w:rsidR="00D670B9" w:rsidRPr="00121A6A">
        <w:rPr>
          <w:sz w:val="24"/>
          <w:szCs w:val="24"/>
        </w:rPr>
        <w:t xml:space="preserve"> de</w:t>
      </w:r>
      <w:r w:rsidR="00066120" w:rsidRPr="00121A6A">
        <w:rPr>
          <w:sz w:val="24"/>
          <w:szCs w:val="24"/>
        </w:rPr>
        <w:t>ze</w:t>
      </w:r>
      <w:r w:rsidR="00321298" w:rsidRPr="00121A6A">
        <w:rPr>
          <w:sz w:val="24"/>
          <w:szCs w:val="24"/>
        </w:rPr>
        <w:t xml:space="preserve"> </w:t>
      </w:r>
      <w:r w:rsidR="00321298" w:rsidRPr="00121A6A">
        <w:rPr>
          <w:i/>
          <w:iCs/>
          <w:sz w:val="24"/>
          <w:szCs w:val="24"/>
        </w:rPr>
        <w:t>quasi</w:t>
      </w:r>
      <w:r w:rsidR="00321298" w:rsidRPr="00121A6A">
        <w:rPr>
          <w:sz w:val="24"/>
          <w:szCs w:val="24"/>
        </w:rPr>
        <w:t xml:space="preserve">-verticale verhouding </w:t>
      </w:r>
      <w:r w:rsidR="00DC28EF" w:rsidRPr="00121A6A">
        <w:rPr>
          <w:sz w:val="24"/>
          <w:szCs w:val="24"/>
        </w:rPr>
        <w:t>is mijns inziens verdedigbaar dat</w:t>
      </w:r>
      <w:r w:rsidR="00AD3CAA" w:rsidRPr="00121A6A">
        <w:rPr>
          <w:sz w:val="24"/>
          <w:szCs w:val="24"/>
        </w:rPr>
        <w:t xml:space="preserve"> sociale partners</w:t>
      </w:r>
      <w:r w:rsidR="00B8063F" w:rsidRPr="00121A6A">
        <w:rPr>
          <w:sz w:val="24"/>
          <w:szCs w:val="24"/>
        </w:rPr>
        <w:t xml:space="preserve"> in cao</w:t>
      </w:r>
      <w:r w:rsidR="00103258">
        <w:rPr>
          <w:sz w:val="24"/>
          <w:szCs w:val="24"/>
        </w:rPr>
        <w:t>’</w:t>
      </w:r>
      <w:r w:rsidR="00B8063F" w:rsidRPr="00121A6A">
        <w:rPr>
          <w:sz w:val="24"/>
          <w:szCs w:val="24"/>
        </w:rPr>
        <w:t>s</w:t>
      </w:r>
      <w:r w:rsidR="00103258">
        <w:rPr>
          <w:sz w:val="24"/>
          <w:szCs w:val="24"/>
        </w:rPr>
        <w:t xml:space="preserve"> én</w:t>
      </w:r>
      <w:r w:rsidR="003D74FD" w:rsidRPr="00121A6A">
        <w:rPr>
          <w:sz w:val="24"/>
          <w:szCs w:val="24"/>
        </w:rPr>
        <w:t xml:space="preserve"> in</w:t>
      </w:r>
      <w:r w:rsidR="0073295B" w:rsidRPr="00121A6A">
        <w:rPr>
          <w:sz w:val="24"/>
          <w:szCs w:val="24"/>
        </w:rPr>
        <w:t xml:space="preserve"> het onderhandelingsproces dat daaraan voorafgaat</w:t>
      </w:r>
      <w:r w:rsidR="00103258">
        <w:rPr>
          <w:sz w:val="24"/>
          <w:szCs w:val="24"/>
        </w:rPr>
        <w:t xml:space="preserve"> –</w:t>
      </w:r>
      <w:r w:rsidR="003D74FD" w:rsidRPr="00121A6A">
        <w:rPr>
          <w:sz w:val="24"/>
          <w:szCs w:val="24"/>
        </w:rPr>
        <w:t xml:space="preserve"> inclusief een eventuele staking –</w:t>
      </w:r>
      <w:r w:rsidR="0073295B" w:rsidRPr="00121A6A">
        <w:rPr>
          <w:sz w:val="24"/>
          <w:szCs w:val="24"/>
        </w:rPr>
        <w:t xml:space="preserve"> </w:t>
      </w:r>
      <w:r w:rsidR="00103258">
        <w:rPr>
          <w:sz w:val="24"/>
          <w:szCs w:val="24"/>
        </w:rPr>
        <w:t xml:space="preserve">het </w:t>
      </w:r>
      <w:r w:rsidR="003840CA">
        <w:rPr>
          <w:sz w:val="24"/>
          <w:szCs w:val="24"/>
        </w:rPr>
        <w:t>Unierecht ten uitvoer kunnen brengen</w:t>
      </w:r>
      <w:r w:rsidR="00AD3CAA" w:rsidRPr="00121A6A">
        <w:rPr>
          <w:sz w:val="24"/>
          <w:szCs w:val="24"/>
        </w:rPr>
        <w:t>.</w:t>
      </w:r>
      <w:r w:rsidR="003840CA">
        <w:rPr>
          <w:sz w:val="24"/>
          <w:szCs w:val="24"/>
        </w:rPr>
        <w:t xml:space="preserve"> Via die weg zou </w:t>
      </w:r>
      <w:r w:rsidR="00103258">
        <w:rPr>
          <w:sz w:val="24"/>
          <w:szCs w:val="24"/>
        </w:rPr>
        <w:t xml:space="preserve">niet alleen een verticaal, maar </w:t>
      </w:r>
      <w:r w:rsidR="003840CA">
        <w:rPr>
          <w:sz w:val="24"/>
          <w:szCs w:val="24"/>
        </w:rPr>
        <w:t xml:space="preserve">ook een horizontaal </w:t>
      </w:r>
      <w:r w:rsidR="00E650DD">
        <w:rPr>
          <w:sz w:val="24"/>
          <w:szCs w:val="24"/>
        </w:rPr>
        <w:t>stakingsconflict</w:t>
      </w:r>
      <w:r w:rsidR="003840CA">
        <w:rPr>
          <w:sz w:val="24"/>
          <w:szCs w:val="24"/>
        </w:rPr>
        <w:t xml:space="preserve"> binnen de reikwijdte van het Unierecht kunnen </w:t>
      </w:r>
      <w:r w:rsidR="00CF2803">
        <w:rPr>
          <w:sz w:val="24"/>
          <w:szCs w:val="24"/>
        </w:rPr>
        <w:t>worden getrokken</w:t>
      </w:r>
      <w:r w:rsidR="003840CA">
        <w:rPr>
          <w:sz w:val="24"/>
          <w:szCs w:val="24"/>
        </w:rPr>
        <w:t>.</w:t>
      </w:r>
    </w:p>
    <w:p w14:paraId="340E3E7E" w14:textId="77777777" w:rsidR="00C55A3A" w:rsidRPr="00121A6A" w:rsidRDefault="00C55A3A" w:rsidP="00C55A3A">
      <w:pPr>
        <w:spacing w:after="0"/>
        <w:jc w:val="both"/>
        <w:rPr>
          <w:sz w:val="24"/>
          <w:szCs w:val="24"/>
        </w:rPr>
      </w:pPr>
    </w:p>
    <w:p w14:paraId="4C880211" w14:textId="0A3A4E24" w:rsidR="00C55A3A" w:rsidRPr="00121A6A" w:rsidRDefault="00311A24" w:rsidP="00C55A3A">
      <w:pPr>
        <w:pStyle w:val="Heading3"/>
        <w:jc w:val="both"/>
        <w:rPr>
          <w:sz w:val="24"/>
          <w:szCs w:val="24"/>
        </w:rPr>
      </w:pPr>
      <w:bookmarkStart w:id="83" w:name="_Toc169963077"/>
      <w:r>
        <w:rPr>
          <w:sz w:val="24"/>
          <w:szCs w:val="24"/>
        </w:rPr>
        <w:t>De t</w:t>
      </w:r>
      <w:r w:rsidR="00C55A3A" w:rsidRPr="00121A6A">
        <w:rPr>
          <w:sz w:val="24"/>
          <w:szCs w:val="24"/>
        </w:rPr>
        <w:t xml:space="preserve">oepasselijkheid </w:t>
      </w:r>
      <w:r>
        <w:rPr>
          <w:sz w:val="24"/>
          <w:szCs w:val="24"/>
        </w:rPr>
        <w:t xml:space="preserve">van </w:t>
      </w:r>
      <w:r w:rsidR="00C55A3A" w:rsidRPr="00121A6A">
        <w:rPr>
          <w:sz w:val="24"/>
          <w:szCs w:val="24"/>
        </w:rPr>
        <w:t xml:space="preserve">artikel 28 Hv via </w:t>
      </w:r>
      <w:proofErr w:type="spellStart"/>
      <w:r w:rsidR="00C55A3A" w:rsidRPr="00121A6A">
        <w:rPr>
          <w:sz w:val="24"/>
          <w:szCs w:val="24"/>
        </w:rPr>
        <w:t>Wachauf</w:t>
      </w:r>
      <w:proofErr w:type="spellEnd"/>
      <w:r w:rsidR="00C55A3A" w:rsidRPr="00121A6A">
        <w:rPr>
          <w:sz w:val="24"/>
          <w:szCs w:val="24"/>
        </w:rPr>
        <w:t>-uitvoering</w:t>
      </w:r>
      <w:bookmarkEnd w:id="83"/>
    </w:p>
    <w:p w14:paraId="5B4E5DE1" w14:textId="617DF9AB" w:rsidR="0043706B" w:rsidRPr="00121A6A" w:rsidRDefault="00A6461A" w:rsidP="0069743D">
      <w:pPr>
        <w:spacing w:after="0"/>
        <w:jc w:val="both"/>
        <w:rPr>
          <w:sz w:val="24"/>
          <w:szCs w:val="24"/>
        </w:rPr>
      </w:pPr>
      <w:r w:rsidRPr="00121A6A">
        <w:rPr>
          <w:sz w:val="24"/>
          <w:szCs w:val="24"/>
        </w:rPr>
        <w:t>S</w:t>
      </w:r>
      <w:r w:rsidR="0043706B" w:rsidRPr="00121A6A">
        <w:rPr>
          <w:sz w:val="24"/>
          <w:szCs w:val="24"/>
        </w:rPr>
        <w:t xml:space="preserve">pecifiek met betrekking tot </w:t>
      </w:r>
      <w:r w:rsidR="007C542E" w:rsidRPr="00121A6A">
        <w:rPr>
          <w:sz w:val="24"/>
          <w:szCs w:val="24"/>
        </w:rPr>
        <w:t xml:space="preserve">het stakingsrecht van </w:t>
      </w:r>
      <w:r w:rsidR="0043706B" w:rsidRPr="00121A6A">
        <w:rPr>
          <w:sz w:val="24"/>
          <w:szCs w:val="24"/>
        </w:rPr>
        <w:t xml:space="preserve">artikel 28 Hv is het niet eenvoudig </w:t>
      </w:r>
      <w:r w:rsidR="009937EF" w:rsidRPr="00121A6A">
        <w:rPr>
          <w:sz w:val="24"/>
          <w:szCs w:val="24"/>
        </w:rPr>
        <w:t xml:space="preserve">om via </w:t>
      </w:r>
      <w:proofErr w:type="spellStart"/>
      <w:r w:rsidR="007B4AF4" w:rsidRPr="00121A6A">
        <w:rPr>
          <w:i/>
          <w:iCs/>
          <w:sz w:val="24"/>
          <w:szCs w:val="24"/>
        </w:rPr>
        <w:t>Wachauf</w:t>
      </w:r>
      <w:proofErr w:type="spellEnd"/>
      <w:r w:rsidR="007B4AF4" w:rsidRPr="00121A6A">
        <w:rPr>
          <w:sz w:val="24"/>
          <w:szCs w:val="24"/>
        </w:rPr>
        <w:t>-uitvoering</w:t>
      </w:r>
      <w:r w:rsidR="009937EF" w:rsidRPr="00121A6A">
        <w:rPr>
          <w:sz w:val="24"/>
          <w:szCs w:val="24"/>
        </w:rPr>
        <w:t xml:space="preserve"> </w:t>
      </w:r>
      <w:r w:rsidR="0043706B" w:rsidRPr="00121A6A">
        <w:rPr>
          <w:sz w:val="24"/>
          <w:szCs w:val="24"/>
        </w:rPr>
        <w:t>een link met</w:t>
      </w:r>
      <w:r w:rsidR="004A5206">
        <w:rPr>
          <w:sz w:val="24"/>
          <w:szCs w:val="24"/>
        </w:rPr>
        <w:t xml:space="preserve"> het</w:t>
      </w:r>
      <w:r w:rsidR="0043706B" w:rsidRPr="00121A6A">
        <w:rPr>
          <w:sz w:val="24"/>
          <w:szCs w:val="24"/>
        </w:rPr>
        <w:t xml:space="preserve"> Unierecht te construeren. Dat houdt verband met het gebrek aan wetgevende competentie aan de zijde van de Uniewetgever op het gebied van het stakingsrecht (artikel 153 lid 5 VwEU)</w:t>
      </w:r>
      <w:r w:rsidR="00C3533E">
        <w:rPr>
          <w:sz w:val="24"/>
          <w:szCs w:val="24"/>
        </w:rPr>
        <w:t>.</w:t>
      </w:r>
      <w:r w:rsidR="0043706B" w:rsidRPr="00121A6A">
        <w:rPr>
          <w:sz w:val="24"/>
          <w:szCs w:val="24"/>
        </w:rPr>
        <w:t xml:space="preserve"> </w:t>
      </w:r>
      <w:r w:rsidR="00C3533E">
        <w:rPr>
          <w:sz w:val="24"/>
          <w:szCs w:val="24"/>
        </w:rPr>
        <w:t>Hier</w:t>
      </w:r>
      <w:r w:rsidR="0043706B" w:rsidRPr="00121A6A">
        <w:rPr>
          <w:sz w:val="24"/>
          <w:szCs w:val="24"/>
        </w:rPr>
        <w:t xml:space="preserve">door </w:t>
      </w:r>
      <w:r w:rsidR="00C3533E">
        <w:rPr>
          <w:sz w:val="24"/>
          <w:szCs w:val="24"/>
        </w:rPr>
        <w:t xml:space="preserve">ontbreekt </w:t>
      </w:r>
      <w:r w:rsidR="0043706B" w:rsidRPr="00121A6A">
        <w:rPr>
          <w:sz w:val="24"/>
          <w:szCs w:val="24"/>
        </w:rPr>
        <w:t xml:space="preserve">een EU-richtlijn </w:t>
      </w:r>
      <w:r w:rsidR="00C3533E">
        <w:rPr>
          <w:sz w:val="24"/>
          <w:szCs w:val="24"/>
        </w:rPr>
        <w:t>waarin</w:t>
      </w:r>
      <w:r w:rsidR="0043706B" w:rsidRPr="00121A6A">
        <w:rPr>
          <w:sz w:val="24"/>
          <w:szCs w:val="24"/>
        </w:rPr>
        <w:t xml:space="preserve"> het stakingsrecht als zodanig </w:t>
      </w:r>
      <w:r w:rsidR="00C3533E">
        <w:rPr>
          <w:sz w:val="24"/>
          <w:szCs w:val="24"/>
        </w:rPr>
        <w:t>is ge</w:t>
      </w:r>
      <w:r w:rsidR="0043706B" w:rsidRPr="00121A6A">
        <w:rPr>
          <w:sz w:val="24"/>
          <w:szCs w:val="24"/>
        </w:rPr>
        <w:t>concretiseer</w:t>
      </w:r>
      <w:r w:rsidR="00C3533E">
        <w:rPr>
          <w:sz w:val="24"/>
          <w:szCs w:val="24"/>
        </w:rPr>
        <w:t>d</w:t>
      </w:r>
      <w:r w:rsidR="0043706B" w:rsidRPr="00121A6A">
        <w:rPr>
          <w:sz w:val="24"/>
          <w:szCs w:val="24"/>
        </w:rPr>
        <w:t xml:space="preserve"> en </w:t>
      </w:r>
      <w:r w:rsidR="00C3533E">
        <w:rPr>
          <w:sz w:val="24"/>
          <w:szCs w:val="24"/>
        </w:rPr>
        <w:t>ge</w:t>
      </w:r>
      <w:r w:rsidR="0043706B" w:rsidRPr="00121A6A">
        <w:rPr>
          <w:sz w:val="24"/>
          <w:szCs w:val="24"/>
        </w:rPr>
        <w:t>reguleer</w:t>
      </w:r>
      <w:r w:rsidR="00C3533E">
        <w:rPr>
          <w:sz w:val="24"/>
          <w:szCs w:val="24"/>
        </w:rPr>
        <w:t>d</w:t>
      </w:r>
      <w:r w:rsidR="0043706B" w:rsidRPr="00121A6A">
        <w:rPr>
          <w:sz w:val="24"/>
          <w:szCs w:val="24"/>
        </w:rPr>
        <w:t xml:space="preserve">. Omdat nationaal stakingsrecht </w:t>
      </w:r>
      <w:r w:rsidR="00C3533E">
        <w:rPr>
          <w:sz w:val="24"/>
          <w:szCs w:val="24"/>
        </w:rPr>
        <w:t>aldus</w:t>
      </w:r>
      <w:r w:rsidR="00CA63A1" w:rsidRPr="00121A6A">
        <w:rPr>
          <w:sz w:val="24"/>
          <w:szCs w:val="24"/>
        </w:rPr>
        <w:t xml:space="preserve"> </w:t>
      </w:r>
      <w:r w:rsidR="0043706B" w:rsidRPr="00121A6A">
        <w:rPr>
          <w:sz w:val="24"/>
          <w:szCs w:val="24"/>
        </w:rPr>
        <w:t xml:space="preserve">géén implementatie van een </w:t>
      </w:r>
      <w:r w:rsidR="00732C29" w:rsidRPr="00121A6A">
        <w:rPr>
          <w:sz w:val="24"/>
          <w:szCs w:val="24"/>
        </w:rPr>
        <w:t>Unie</w:t>
      </w:r>
      <w:r w:rsidR="0043706B" w:rsidRPr="00121A6A">
        <w:rPr>
          <w:sz w:val="24"/>
          <w:szCs w:val="24"/>
        </w:rPr>
        <w:t xml:space="preserve">richtlijn vormt en stakingsrechtelijke regulering in </w:t>
      </w:r>
      <w:r w:rsidR="00CA63A1" w:rsidRPr="00121A6A">
        <w:rPr>
          <w:sz w:val="24"/>
          <w:szCs w:val="24"/>
        </w:rPr>
        <w:t>principe</w:t>
      </w:r>
      <w:r w:rsidR="0043706B" w:rsidRPr="00121A6A">
        <w:rPr>
          <w:sz w:val="24"/>
          <w:szCs w:val="24"/>
        </w:rPr>
        <w:t xml:space="preserve"> volledig binnen de bevoegdheidssfeer van de lidstaten valt, schort het aan een direct ‘haakje’ dat nodig is om een concreet stakingsgeschil binnen de werkingssfeer van het Handvest te trekken.</w:t>
      </w:r>
    </w:p>
    <w:p w14:paraId="6E52E959" w14:textId="34E6EA61" w:rsidR="00B83016" w:rsidRPr="00121A6A" w:rsidRDefault="0043706B" w:rsidP="00C30F8A">
      <w:pPr>
        <w:spacing w:after="0"/>
        <w:ind w:firstLine="708"/>
        <w:jc w:val="both"/>
        <w:rPr>
          <w:sz w:val="24"/>
          <w:szCs w:val="24"/>
        </w:rPr>
      </w:pPr>
      <w:r w:rsidRPr="00121A6A">
        <w:rPr>
          <w:sz w:val="24"/>
          <w:szCs w:val="24"/>
        </w:rPr>
        <w:t>De vraag is of een andere link met</w:t>
      </w:r>
      <w:r w:rsidR="00315590">
        <w:rPr>
          <w:sz w:val="24"/>
          <w:szCs w:val="24"/>
        </w:rPr>
        <w:t xml:space="preserve"> het</w:t>
      </w:r>
      <w:r w:rsidRPr="00121A6A">
        <w:rPr>
          <w:sz w:val="24"/>
          <w:szCs w:val="24"/>
        </w:rPr>
        <w:t xml:space="preserve"> Unierecht denkbaar is, waardoor een nationaal stakingsgeschil alsnog komt te vallen binnen de reikwijdte van het Handvest. Gedacht zou kunnen worden aan een</w:t>
      </w:r>
      <w:r w:rsidR="00315590">
        <w:rPr>
          <w:sz w:val="24"/>
          <w:szCs w:val="24"/>
        </w:rPr>
        <w:t xml:space="preserve"> stakingsactie</w:t>
      </w:r>
      <w:r w:rsidRPr="00121A6A">
        <w:rPr>
          <w:sz w:val="24"/>
          <w:szCs w:val="24"/>
        </w:rPr>
        <w:t xml:space="preserve"> vanwege of ter voorkoming van met</w:t>
      </w:r>
      <w:r w:rsidR="004A5206">
        <w:rPr>
          <w:sz w:val="24"/>
          <w:szCs w:val="24"/>
        </w:rPr>
        <w:t xml:space="preserve"> het</w:t>
      </w:r>
      <w:r w:rsidRPr="00121A6A">
        <w:rPr>
          <w:sz w:val="24"/>
          <w:szCs w:val="24"/>
        </w:rPr>
        <w:t xml:space="preserve"> </w:t>
      </w:r>
      <w:r w:rsidR="00AA19CB" w:rsidRPr="00121A6A">
        <w:rPr>
          <w:sz w:val="24"/>
          <w:szCs w:val="24"/>
        </w:rPr>
        <w:t>Unierecht</w:t>
      </w:r>
      <w:r w:rsidRPr="00121A6A">
        <w:rPr>
          <w:sz w:val="24"/>
          <w:szCs w:val="24"/>
        </w:rPr>
        <w:t xml:space="preserve"> strijdige arbeidsvoorwaarden in een cao. Uit de wettelijke definitie van een ‘staking’ of ‘collectieve actie’ (par. 1.5) volgt echter dat sprake moet zijn van een </w:t>
      </w:r>
      <w:r w:rsidRPr="00121A6A">
        <w:rPr>
          <w:i/>
          <w:iCs/>
          <w:sz w:val="24"/>
          <w:szCs w:val="24"/>
        </w:rPr>
        <w:t>belangen</w:t>
      </w:r>
      <w:r w:rsidRPr="00121A6A">
        <w:rPr>
          <w:sz w:val="24"/>
          <w:szCs w:val="24"/>
        </w:rPr>
        <w:t xml:space="preserve">conflict en niet van een </w:t>
      </w:r>
      <w:r w:rsidRPr="00121A6A">
        <w:rPr>
          <w:i/>
          <w:iCs/>
          <w:sz w:val="24"/>
          <w:szCs w:val="24"/>
        </w:rPr>
        <w:t>rechts</w:t>
      </w:r>
      <w:r w:rsidRPr="00121A6A">
        <w:rPr>
          <w:sz w:val="24"/>
          <w:szCs w:val="24"/>
        </w:rPr>
        <w:t xml:space="preserve">conflict. Ofschoon beide definities niet altijd strikt van elkaar </w:t>
      </w:r>
      <w:r w:rsidR="00315590">
        <w:rPr>
          <w:sz w:val="24"/>
          <w:szCs w:val="24"/>
        </w:rPr>
        <w:t>zijn te</w:t>
      </w:r>
      <w:r w:rsidRPr="00121A6A">
        <w:rPr>
          <w:sz w:val="24"/>
          <w:szCs w:val="24"/>
        </w:rPr>
        <w:t xml:space="preserve"> onderscheiden,</w:t>
      </w:r>
      <w:r w:rsidRPr="00121A6A">
        <w:rPr>
          <w:rStyle w:val="FootnoteReference"/>
          <w:sz w:val="24"/>
          <w:szCs w:val="24"/>
        </w:rPr>
        <w:footnoteReference w:id="219"/>
      </w:r>
      <w:r w:rsidRPr="00121A6A">
        <w:rPr>
          <w:sz w:val="24"/>
          <w:szCs w:val="24"/>
        </w:rPr>
        <w:t xml:space="preserve"> lijkt een staking wegens bijvoorbeeld discriminerende arbeidsvoorwaarden te draaien om een </w:t>
      </w:r>
      <w:r w:rsidRPr="00121A6A">
        <w:rPr>
          <w:i/>
          <w:iCs/>
          <w:sz w:val="24"/>
          <w:szCs w:val="24"/>
        </w:rPr>
        <w:t>rechts</w:t>
      </w:r>
      <w:r w:rsidRPr="00121A6A">
        <w:rPr>
          <w:sz w:val="24"/>
          <w:szCs w:val="24"/>
        </w:rPr>
        <w:t>conflict dat door een rechter (en niet door sociale partners) moet worden beslecht.</w:t>
      </w:r>
      <w:r w:rsidR="001277F4" w:rsidRPr="00121A6A">
        <w:rPr>
          <w:rStyle w:val="FootnoteReference"/>
          <w:sz w:val="24"/>
          <w:szCs w:val="24"/>
        </w:rPr>
        <w:footnoteReference w:id="220"/>
      </w:r>
      <w:r w:rsidRPr="00121A6A">
        <w:rPr>
          <w:sz w:val="24"/>
          <w:szCs w:val="24"/>
        </w:rPr>
        <w:t xml:space="preserve"> </w:t>
      </w:r>
      <w:r w:rsidR="00B22417" w:rsidRPr="00121A6A">
        <w:rPr>
          <w:sz w:val="24"/>
          <w:szCs w:val="24"/>
        </w:rPr>
        <w:t xml:space="preserve">Hetzelfde geldt </w:t>
      </w:r>
      <w:r w:rsidR="005F5A2D">
        <w:rPr>
          <w:sz w:val="24"/>
          <w:szCs w:val="24"/>
        </w:rPr>
        <w:t>indien</w:t>
      </w:r>
      <w:r w:rsidR="00B22417" w:rsidRPr="00121A6A">
        <w:rPr>
          <w:sz w:val="24"/>
          <w:szCs w:val="24"/>
        </w:rPr>
        <w:t xml:space="preserve"> middels een staking </w:t>
      </w:r>
      <w:r w:rsidR="005F5A2D">
        <w:rPr>
          <w:sz w:val="24"/>
          <w:szCs w:val="24"/>
        </w:rPr>
        <w:t xml:space="preserve">zou </w:t>
      </w:r>
      <w:r w:rsidR="008E756D" w:rsidRPr="00121A6A">
        <w:rPr>
          <w:sz w:val="24"/>
          <w:szCs w:val="24"/>
        </w:rPr>
        <w:t>word</w:t>
      </w:r>
      <w:r w:rsidR="005F5A2D">
        <w:rPr>
          <w:sz w:val="24"/>
          <w:szCs w:val="24"/>
        </w:rPr>
        <w:t>en</w:t>
      </w:r>
      <w:r w:rsidR="008E756D" w:rsidRPr="00121A6A">
        <w:rPr>
          <w:sz w:val="24"/>
          <w:szCs w:val="24"/>
        </w:rPr>
        <w:t xml:space="preserve"> getracht </w:t>
      </w:r>
      <w:r w:rsidR="00B22417" w:rsidRPr="00121A6A">
        <w:rPr>
          <w:sz w:val="24"/>
          <w:szCs w:val="24"/>
        </w:rPr>
        <w:t>Unierechtelijke arbeidsrechten af te dwingen die wegens gebrek aan</w:t>
      </w:r>
      <w:r w:rsidR="00E609D3" w:rsidRPr="00121A6A">
        <w:rPr>
          <w:sz w:val="24"/>
          <w:szCs w:val="24"/>
        </w:rPr>
        <w:t xml:space="preserve"> horizontale directe werking </w:t>
      </w:r>
      <w:r w:rsidR="005F5A2D">
        <w:rPr>
          <w:sz w:val="24"/>
          <w:szCs w:val="24"/>
        </w:rPr>
        <w:t xml:space="preserve">moeilijk of </w:t>
      </w:r>
      <w:r w:rsidR="00E609D3" w:rsidRPr="00121A6A">
        <w:rPr>
          <w:sz w:val="24"/>
          <w:szCs w:val="24"/>
        </w:rPr>
        <w:t>niet rechtens afdwingbaar zijn.</w:t>
      </w:r>
      <w:r w:rsidR="006A2C96" w:rsidRPr="00121A6A">
        <w:rPr>
          <w:rStyle w:val="FootnoteReference"/>
          <w:sz w:val="24"/>
          <w:szCs w:val="24"/>
        </w:rPr>
        <w:footnoteReference w:id="221"/>
      </w:r>
      <w:r w:rsidR="00B22417" w:rsidRPr="00121A6A">
        <w:rPr>
          <w:sz w:val="24"/>
          <w:szCs w:val="24"/>
        </w:rPr>
        <w:t xml:space="preserve"> </w:t>
      </w:r>
      <w:r w:rsidR="00E609D3" w:rsidRPr="00121A6A">
        <w:rPr>
          <w:sz w:val="24"/>
          <w:szCs w:val="24"/>
        </w:rPr>
        <w:t xml:space="preserve">Malmberg e.a. betogen dat het onderscheid tussen </w:t>
      </w:r>
      <w:r w:rsidR="00E609D3" w:rsidRPr="00121A6A">
        <w:rPr>
          <w:i/>
          <w:iCs/>
          <w:sz w:val="24"/>
          <w:szCs w:val="24"/>
        </w:rPr>
        <w:t>rechts</w:t>
      </w:r>
      <w:r w:rsidR="00E609D3" w:rsidRPr="00121A6A">
        <w:rPr>
          <w:sz w:val="24"/>
          <w:szCs w:val="24"/>
        </w:rPr>
        <w:t xml:space="preserve">- en </w:t>
      </w:r>
      <w:r w:rsidR="00E609D3" w:rsidRPr="00121A6A">
        <w:rPr>
          <w:i/>
          <w:iCs/>
          <w:sz w:val="24"/>
          <w:szCs w:val="24"/>
        </w:rPr>
        <w:t>belangen</w:t>
      </w:r>
      <w:r w:rsidR="00E609D3" w:rsidRPr="00121A6A">
        <w:rPr>
          <w:sz w:val="24"/>
          <w:szCs w:val="24"/>
        </w:rPr>
        <w:t>conflicten in zo</w:t>
      </w:r>
      <w:r w:rsidR="00A84539" w:rsidRPr="00121A6A">
        <w:rPr>
          <w:sz w:val="24"/>
          <w:szCs w:val="24"/>
        </w:rPr>
        <w:t>’</w:t>
      </w:r>
      <w:r w:rsidR="00E609D3" w:rsidRPr="00121A6A">
        <w:rPr>
          <w:sz w:val="24"/>
          <w:szCs w:val="24"/>
        </w:rPr>
        <w:t>n geval</w:t>
      </w:r>
      <w:r w:rsidR="00A84539" w:rsidRPr="00121A6A">
        <w:rPr>
          <w:sz w:val="24"/>
          <w:szCs w:val="24"/>
        </w:rPr>
        <w:t>,</w:t>
      </w:r>
      <w:r w:rsidR="00E609D3" w:rsidRPr="00121A6A">
        <w:rPr>
          <w:sz w:val="24"/>
          <w:szCs w:val="24"/>
        </w:rPr>
        <w:t xml:space="preserve"> omwille van effectieve handhaving van deze </w:t>
      </w:r>
      <w:r w:rsidR="008E756D">
        <w:rPr>
          <w:sz w:val="24"/>
          <w:szCs w:val="24"/>
        </w:rPr>
        <w:t>Unierechtelijke arbeids</w:t>
      </w:r>
      <w:r w:rsidR="00E609D3" w:rsidRPr="00121A6A">
        <w:rPr>
          <w:sz w:val="24"/>
          <w:szCs w:val="24"/>
        </w:rPr>
        <w:t>rechten</w:t>
      </w:r>
      <w:r w:rsidR="00A84539" w:rsidRPr="00121A6A">
        <w:rPr>
          <w:sz w:val="24"/>
          <w:szCs w:val="24"/>
        </w:rPr>
        <w:t>,</w:t>
      </w:r>
      <w:r w:rsidR="00E609D3" w:rsidRPr="00121A6A">
        <w:rPr>
          <w:sz w:val="24"/>
          <w:szCs w:val="24"/>
        </w:rPr>
        <w:t xml:space="preserve"> zou moeten worden losgelaten</w:t>
      </w:r>
      <w:r w:rsidR="00423C0A" w:rsidRPr="00121A6A">
        <w:rPr>
          <w:sz w:val="24"/>
          <w:szCs w:val="24"/>
        </w:rPr>
        <w:t>.</w:t>
      </w:r>
      <w:r w:rsidR="00073CE0" w:rsidRPr="00121A6A">
        <w:rPr>
          <w:rStyle w:val="FootnoteReference"/>
          <w:sz w:val="24"/>
          <w:szCs w:val="24"/>
        </w:rPr>
        <w:footnoteReference w:id="222"/>
      </w:r>
      <w:r w:rsidR="00073CE0" w:rsidRPr="00121A6A">
        <w:rPr>
          <w:sz w:val="24"/>
          <w:szCs w:val="24"/>
        </w:rPr>
        <w:t xml:space="preserve"> Omdat artikel 28 Hv daarentegen expliciet vermeldt dat een collectieve actie betrekking moet hebben op een </w:t>
      </w:r>
      <w:r w:rsidR="00073CE0" w:rsidRPr="00121A6A">
        <w:rPr>
          <w:i/>
          <w:iCs/>
          <w:sz w:val="24"/>
          <w:szCs w:val="24"/>
        </w:rPr>
        <w:t>belangen</w:t>
      </w:r>
      <w:r w:rsidR="00073CE0" w:rsidRPr="00121A6A">
        <w:rPr>
          <w:sz w:val="24"/>
          <w:szCs w:val="24"/>
        </w:rPr>
        <w:t xml:space="preserve">conflict, </w:t>
      </w:r>
      <w:r w:rsidR="00315590">
        <w:rPr>
          <w:sz w:val="24"/>
          <w:szCs w:val="24"/>
        </w:rPr>
        <w:t>verwacht ik niet</w:t>
      </w:r>
      <w:r w:rsidR="00073CE0" w:rsidRPr="00121A6A">
        <w:rPr>
          <w:sz w:val="24"/>
          <w:szCs w:val="24"/>
        </w:rPr>
        <w:t xml:space="preserve"> dat het Hof zou meegaan in dit betoog.</w:t>
      </w:r>
    </w:p>
    <w:p w14:paraId="5E768E10" w14:textId="2BBB8807" w:rsidR="001F0D0E" w:rsidRPr="00121A6A" w:rsidRDefault="00D145A1" w:rsidP="00CB1B35">
      <w:pPr>
        <w:spacing w:after="0"/>
        <w:ind w:firstLine="708"/>
        <w:jc w:val="both"/>
        <w:rPr>
          <w:sz w:val="24"/>
          <w:szCs w:val="24"/>
        </w:rPr>
      </w:pPr>
      <w:r w:rsidRPr="00121A6A">
        <w:rPr>
          <w:sz w:val="24"/>
          <w:szCs w:val="24"/>
        </w:rPr>
        <w:lastRenderedPageBreak/>
        <w:t xml:space="preserve">Daar een staking voor minimumrechten neerkomt op een </w:t>
      </w:r>
      <w:r w:rsidRPr="00121A6A">
        <w:rPr>
          <w:i/>
          <w:iCs/>
          <w:sz w:val="24"/>
          <w:szCs w:val="24"/>
        </w:rPr>
        <w:t>rechts</w:t>
      </w:r>
      <w:r w:rsidRPr="00121A6A">
        <w:rPr>
          <w:sz w:val="24"/>
          <w:szCs w:val="24"/>
        </w:rPr>
        <w:t xml:space="preserve">conflict, </w:t>
      </w:r>
      <w:r w:rsidR="00D264B8">
        <w:rPr>
          <w:sz w:val="24"/>
          <w:szCs w:val="24"/>
        </w:rPr>
        <w:t>moet de blik worden verlegd naar</w:t>
      </w:r>
      <w:r w:rsidRPr="00121A6A">
        <w:rPr>
          <w:sz w:val="24"/>
          <w:szCs w:val="24"/>
        </w:rPr>
        <w:t xml:space="preserve"> </w:t>
      </w:r>
      <w:r w:rsidR="00981BB3" w:rsidRPr="00121A6A">
        <w:rPr>
          <w:sz w:val="24"/>
          <w:szCs w:val="24"/>
        </w:rPr>
        <w:t xml:space="preserve">een staking </w:t>
      </w:r>
      <w:r w:rsidR="00B91815" w:rsidRPr="00121A6A">
        <w:rPr>
          <w:sz w:val="24"/>
          <w:szCs w:val="24"/>
        </w:rPr>
        <w:t xml:space="preserve">teneinde </w:t>
      </w:r>
      <w:r w:rsidR="00793B6C" w:rsidRPr="00121A6A">
        <w:rPr>
          <w:sz w:val="24"/>
          <w:szCs w:val="24"/>
        </w:rPr>
        <w:t xml:space="preserve">bij cao </w:t>
      </w:r>
      <w:r w:rsidR="00B91815" w:rsidRPr="00121A6A">
        <w:rPr>
          <w:sz w:val="24"/>
          <w:szCs w:val="24"/>
        </w:rPr>
        <w:t xml:space="preserve">verdergaande werknemersbescherming te realiseren dan het minimumniveau </w:t>
      </w:r>
      <w:r w:rsidR="000A330E" w:rsidRPr="00121A6A">
        <w:rPr>
          <w:sz w:val="24"/>
          <w:szCs w:val="24"/>
        </w:rPr>
        <w:t>van</w:t>
      </w:r>
      <w:r w:rsidR="00B91815" w:rsidRPr="00121A6A">
        <w:rPr>
          <w:sz w:val="24"/>
          <w:szCs w:val="24"/>
        </w:rPr>
        <w:t xml:space="preserve"> een EU-richtlijn. </w:t>
      </w:r>
      <w:r w:rsidR="00AB37ED" w:rsidRPr="00121A6A">
        <w:rPr>
          <w:sz w:val="24"/>
          <w:szCs w:val="24"/>
        </w:rPr>
        <w:t>Dit is</w:t>
      </w:r>
      <w:r w:rsidR="00C81E3C" w:rsidRPr="00121A6A">
        <w:rPr>
          <w:sz w:val="24"/>
          <w:szCs w:val="24"/>
        </w:rPr>
        <w:t xml:space="preserve"> bijvoorbeeld het geval bij een </w:t>
      </w:r>
      <w:r w:rsidR="0043706B" w:rsidRPr="00121A6A">
        <w:rPr>
          <w:sz w:val="24"/>
          <w:szCs w:val="24"/>
        </w:rPr>
        <w:t xml:space="preserve">cao-staking </w:t>
      </w:r>
      <w:r w:rsidR="00C6324C" w:rsidRPr="00121A6A">
        <w:rPr>
          <w:sz w:val="24"/>
          <w:szCs w:val="24"/>
        </w:rPr>
        <w:t>voor méér</w:t>
      </w:r>
      <w:r w:rsidR="0043706B" w:rsidRPr="00121A6A">
        <w:rPr>
          <w:sz w:val="24"/>
          <w:szCs w:val="24"/>
        </w:rPr>
        <w:t xml:space="preserve"> </w:t>
      </w:r>
      <w:r w:rsidR="00C6324C" w:rsidRPr="00121A6A">
        <w:rPr>
          <w:sz w:val="24"/>
          <w:szCs w:val="24"/>
        </w:rPr>
        <w:t xml:space="preserve">vakantiedagen dan het minimum </w:t>
      </w:r>
      <w:r w:rsidR="009B4876" w:rsidRPr="00121A6A">
        <w:rPr>
          <w:sz w:val="24"/>
          <w:szCs w:val="24"/>
        </w:rPr>
        <w:t xml:space="preserve">van vier weken </w:t>
      </w:r>
      <w:r w:rsidR="00C6324C" w:rsidRPr="00121A6A">
        <w:rPr>
          <w:sz w:val="24"/>
          <w:szCs w:val="24"/>
        </w:rPr>
        <w:t>voortvloeiend uit</w:t>
      </w:r>
      <w:r w:rsidR="00427EB9" w:rsidRPr="00121A6A">
        <w:rPr>
          <w:sz w:val="24"/>
          <w:szCs w:val="24"/>
        </w:rPr>
        <w:t xml:space="preserve"> </w:t>
      </w:r>
      <w:r w:rsidR="00C81E3C" w:rsidRPr="00121A6A">
        <w:rPr>
          <w:sz w:val="24"/>
          <w:szCs w:val="24"/>
        </w:rPr>
        <w:t>artikel 7</w:t>
      </w:r>
      <w:r w:rsidR="00427EB9" w:rsidRPr="00121A6A">
        <w:rPr>
          <w:sz w:val="24"/>
          <w:szCs w:val="24"/>
        </w:rPr>
        <w:t xml:space="preserve"> </w:t>
      </w:r>
      <w:r w:rsidR="00D872B6">
        <w:rPr>
          <w:sz w:val="24"/>
          <w:szCs w:val="24"/>
        </w:rPr>
        <w:t>Arbeidstijdenr</w:t>
      </w:r>
      <w:r w:rsidR="000A330E" w:rsidRPr="00121A6A">
        <w:rPr>
          <w:sz w:val="24"/>
          <w:szCs w:val="24"/>
        </w:rPr>
        <w:t xml:space="preserve">ichtlijn </w:t>
      </w:r>
      <w:r w:rsidR="00D872B6">
        <w:rPr>
          <w:sz w:val="24"/>
          <w:szCs w:val="24"/>
        </w:rPr>
        <w:t>(</w:t>
      </w:r>
      <w:r w:rsidR="000A330E" w:rsidRPr="00121A6A">
        <w:rPr>
          <w:sz w:val="24"/>
          <w:szCs w:val="24"/>
        </w:rPr>
        <w:t>2003/88/EG</w:t>
      </w:r>
      <w:r w:rsidR="00D872B6">
        <w:rPr>
          <w:sz w:val="24"/>
          <w:szCs w:val="24"/>
        </w:rPr>
        <w:t>),</w:t>
      </w:r>
      <w:r w:rsidR="000A330E" w:rsidRPr="00121A6A">
        <w:rPr>
          <w:rStyle w:val="FootnoteReference"/>
          <w:sz w:val="24"/>
          <w:szCs w:val="24"/>
        </w:rPr>
        <w:footnoteReference w:id="223"/>
      </w:r>
      <w:r w:rsidR="001810BD" w:rsidRPr="00121A6A">
        <w:rPr>
          <w:sz w:val="24"/>
          <w:szCs w:val="24"/>
        </w:rPr>
        <w:t xml:space="preserve"> of een cao-staking voor een hoger loon dan het minimumloon zoals </w:t>
      </w:r>
      <w:r w:rsidR="001E780A" w:rsidRPr="00121A6A">
        <w:rPr>
          <w:sz w:val="24"/>
          <w:szCs w:val="24"/>
        </w:rPr>
        <w:t>gereguleerd</w:t>
      </w:r>
      <w:r w:rsidR="001810BD" w:rsidRPr="00121A6A">
        <w:rPr>
          <w:sz w:val="24"/>
          <w:szCs w:val="24"/>
        </w:rPr>
        <w:t xml:space="preserve"> door Richtlijn 2022/2041</w:t>
      </w:r>
      <w:r w:rsidR="00AC2294" w:rsidRPr="00121A6A">
        <w:rPr>
          <w:sz w:val="24"/>
          <w:szCs w:val="24"/>
        </w:rPr>
        <w:t>/EU</w:t>
      </w:r>
      <w:r w:rsidR="001810BD" w:rsidRPr="00121A6A">
        <w:rPr>
          <w:sz w:val="24"/>
          <w:szCs w:val="24"/>
        </w:rPr>
        <w:t>.</w:t>
      </w:r>
      <w:r w:rsidR="00DB3D20" w:rsidRPr="00121A6A">
        <w:rPr>
          <w:rStyle w:val="FootnoteReference"/>
          <w:sz w:val="24"/>
          <w:szCs w:val="24"/>
        </w:rPr>
        <w:footnoteReference w:id="224"/>
      </w:r>
      <w:r w:rsidR="001F0D0E" w:rsidRPr="00121A6A">
        <w:rPr>
          <w:sz w:val="24"/>
          <w:szCs w:val="24"/>
        </w:rPr>
        <w:t xml:space="preserve"> </w:t>
      </w:r>
      <w:r w:rsidR="0043706B" w:rsidRPr="00121A6A">
        <w:rPr>
          <w:sz w:val="24"/>
          <w:szCs w:val="24"/>
        </w:rPr>
        <w:t xml:space="preserve">Indien het Hof </w:t>
      </w:r>
      <w:r w:rsidR="00981BB3" w:rsidRPr="00121A6A">
        <w:rPr>
          <w:sz w:val="24"/>
          <w:szCs w:val="24"/>
        </w:rPr>
        <w:t>in deze gevallen zou aanvaarden</w:t>
      </w:r>
      <w:r w:rsidR="0043706B" w:rsidRPr="00121A6A">
        <w:rPr>
          <w:sz w:val="24"/>
          <w:szCs w:val="24"/>
        </w:rPr>
        <w:t xml:space="preserve"> dat de staking </w:t>
      </w:r>
      <w:r w:rsidR="007223C4" w:rsidRPr="00121A6A">
        <w:rPr>
          <w:sz w:val="24"/>
          <w:szCs w:val="24"/>
        </w:rPr>
        <w:t xml:space="preserve">voldoende verband houdt met </w:t>
      </w:r>
      <w:r w:rsidR="003B553A" w:rsidRPr="00121A6A">
        <w:rPr>
          <w:sz w:val="24"/>
          <w:szCs w:val="24"/>
        </w:rPr>
        <w:t>de</w:t>
      </w:r>
      <w:r w:rsidR="007223C4" w:rsidRPr="00121A6A">
        <w:rPr>
          <w:sz w:val="24"/>
          <w:szCs w:val="24"/>
        </w:rPr>
        <w:t xml:space="preserve"> </w:t>
      </w:r>
      <w:r w:rsidR="009C5B28" w:rsidRPr="00121A6A">
        <w:rPr>
          <w:sz w:val="24"/>
          <w:szCs w:val="24"/>
        </w:rPr>
        <w:t xml:space="preserve">betreffende </w:t>
      </w:r>
      <w:r w:rsidR="007223C4" w:rsidRPr="00121A6A">
        <w:rPr>
          <w:sz w:val="24"/>
          <w:szCs w:val="24"/>
        </w:rPr>
        <w:t xml:space="preserve">Unierichtlijn en derhalve </w:t>
      </w:r>
      <w:r w:rsidR="0043706B" w:rsidRPr="00121A6A">
        <w:rPr>
          <w:sz w:val="24"/>
          <w:szCs w:val="24"/>
        </w:rPr>
        <w:t xml:space="preserve">wordt gereguleerd door het Handvest, zou mogelijk via die weg een </w:t>
      </w:r>
      <w:r w:rsidR="00F67676" w:rsidRPr="00121A6A">
        <w:rPr>
          <w:sz w:val="24"/>
          <w:szCs w:val="24"/>
        </w:rPr>
        <w:t>door een werkgever gevorderd stakingsverbod</w:t>
      </w:r>
      <w:r w:rsidR="0043706B" w:rsidRPr="00121A6A">
        <w:rPr>
          <w:sz w:val="24"/>
          <w:szCs w:val="24"/>
        </w:rPr>
        <w:t xml:space="preserve"> aan artikel 28 Hv kunnen worden getoetst. De vereiste link met </w:t>
      </w:r>
      <w:r w:rsidR="00311A24">
        <w:rPr>
          <w:sz w:val="24"/>
          <w:szCs w:val="24"/>
        </w:rPr>
        <w:t xml:space="preserve">het </w:t>
      </w:r>
      <w:r w:rsidR="0043706B" w:rsidRPr="00121A6A">
        <w:rPr>
          <w:sz w:val="24"/>
          <w:szCs w:val="24"/>
        </w:rPr>
        <w:t xml:space="preserve">Unierecht is echter (zeer) indirect en bestaat slechts erin dat </w:t>
      </w:r>
      <w:r w:rsidR="00BE212C" w:rsidRPr="00121A6A">
        <w:rPr>
          <w:sz w:val="24"/>
          <w:szCs w:val="24"/>
        </w:rPr>
        <w:t>de</w:t>
      </w:r>
      <w:r w:rsidR="0043706B" w:rsidRPr="00121A6A">
        <w:rPr>
          <w:sz w:val="24"/>
          <w:szCs w:val="24"/>
        </w:rPr>
        <w:t xml:space="preserve"> staking ten doel heeft bij te dragen aan een aspect </w:t>
      </w:r>
      <w:r w:rsidR="00BE212C" w:rsidRPr="00121A6A">
        <w:rPr>
          <w:sz w:val="24"/>
          <w:szCs w:val="24"/>
        </w:rPr>
        <w:t xml:space="preserve">of onderwerp </w:t>
      </w:r>
      <w:r w:rsidR="0043706B" w:rsidRPr="00121A6A">
        <w:rPr>
          <w:sz w:val="24"/>
          <w:szCs w:val="24"/>
        </w:rPr>
        <w:t>dat</w:t>
      </w:r>
      <w:r w:rsidR="009C5B28" w:rsidRPr="00121A6A">
        <w:rPr>
          <w:sz w:val="24"/>
          <w:szCs w:val="24"/>
        </w:rPr>
        <w:t xml:space="preserve"> </w:t>
      </w:r>
      <w:r w:rsidR="00BE212C" w:rsidRPr="00121A6A">
        <w:rPr>
          <w:sz w:val="24"/>
          <w:szCs w:val="24"/>
        </w:rPr>
        <w:t>tevens mede wordt</w:t>
      </w:r>
      <w:r w:rsidR="0043706B" w:rsidRPr="00121A6A">
        <w:rPr>
          <w:sz w:val="24"/>
          <w:szCs w:val="24"/>
        </w:rPr>
        <w:t xml:space="preserve"> gereguleerd</w:t>
      </w:r>
      <w:r w:rsidR="009C5B28" w:rsidRPr="00121A6A">
        <w:rPr>
          <w:sz w:val="24"/>
          <w:szCs w:val="24"/>
        </w:rPr>
        <w:t xml:space="preserve"> </w:t>
      </w:r>
      <w:r w:rsidR="0043706B" w:rsidRPr="00121A6A">
        <w:rPr>
          <w:sz w:val="24"/>
          <w:szCs w:val="24"/>
        </w:rPr>
        <w:t xml:space="preserve">door </w:t>
      </w:r>
      <w:r w:rsidR="00BE212C" w:rsidRPr="00121A6A">
        <w:rPr>
          <w:sz w:val="24"/>
          <w:szCs w:val="24"/>
        </w:rPr>
        <w:t xml:space="preserve">het EU-recht, </w:t>
      </w:r>
      <w:r w:rsidRPr="00121A6A">
        <w:rPr>
          <w:sz w:val="24"/>
          <w:szCs w:val="24"/>
        </w:rPr>
        <w:t xml:space="preserve">dus </w:t>
      </w:r>
      <w:r w:rsidR="0043706B" w:rsidRPr="00121A6A">
        <w:rPr>
          <w:sz w:val="24"/>
          <w:szCs w:val="24"/>
        </w:rPr>
        <w:t xml:space="preserve">zonder dat </w:t>
      </w:r>
      <w:r w:rsidR="00BE212C" w:rsidRPr="00121A6A">
        <w:rPr>
          <w:sz w:val="24"/>
          <w:szCs w:val="24"/>
        </w:rPr>
        <w:t xml:space="preserve">het </w:t>
      </w:r>
      <w:r w:rsidR="00727573" w:rsidRPr="00121A6A">
        <w:rPr>
          <w:sz w:val="24"/>
          <w:szCs w:val="24"/>
        </w:rPr>
        <w:t>Unie</w:t>
      </w:r>
      <w:r w:rsidR="00BE212C" w:rsidRPr="00121A6A">
        <w:rPr>
          <w:sz w:val="24"/>
          <w:szCs w:val="24"/>
        </w:rPr>
        <w:t xml:space="preserve">recht dienaangaande een specifieke verplichting oplegt. </w:t>
      </w:r>
      <w:bookmarkStart w:id="84" w:name="_Hlk156317402"/>
      <w:r w:rsidR="00BE212C" w:rsidRPr="00121A6A">
        <w:rPr>
          <w:sz w:val="24"/>
          <w:szCs w:val="24"/>
        </w:rPr>
        <w:t xml:space="preserve">De vraag is of een dergelijke link met </w:t>
      </w:r>
      <w:r w:rsidR="00311A24">
        <w:rPr>
          <w:sz w:val="24"/>
          <w:szCs w:val="24"/>
        </w:rPr>
        <w:t xml:space="preserve">het </w:t>
      </w:r>
      <w:r w:rsidR="00BE212C" w:rsidRPr="00121A6A">
        <w:rPr>
          <w:sz w:val="24"/>
          <w:szCs w:val="24"/>
        </w:rPr>
        <w:t xml:space="preserve">Unierecht de toepasselijkheid van het Handvest afdoende </w:t>
      </w:r>
      <w:r w:rsidR="00727573" w:rsidRPr="00121A6A">
        <w:rPr>
          <w:sz w:val="24"/>
          <w:szCs w:val="24"/>
        </w:rPr>
        <w:t>kan</w:t>
      </w:r>
      <w:r w:rsidR="00BE212C" w:rsidRPr="00121A6A">
        <w:rPr>
          <w:sz w:val="24"/>
          <w:szCs w:val="24"/>
        </w:rPr>
        <w:t xml:space="preserve"> rechtvaardigen.</w:t>
      </w:r>
      <w:r w:rsidR="00CC5359" w:rsidRPr="00121A6A">
        <w:rPr>
          <w:sz w:val="24"/>
          <w:szCs w:val="24"/>
        </w:rPr>
        <w:t xml:space="preserve"> Het antwoord luidt </w:t>
      </w:r>
      <w:r w:rsidR="00D56858" w:rsidRPr="00121A6A">
        <w:rPr>
          <w:sz w:val="24"/>
          <w:szCs w:val="24"/>
        </w:rPr>
        <w:t xml:space="preserve">naar </w:t>
      </w:r>
      <w:r w:rsidR="00311A24">
        <w:rPr>
          <w:sz w:val="24"/>
          <w:szCs w:val="24"/>
        </w:rPr>
        <w:t>mijn mening</w:t>
      </w:r>
      <w:r w:rsidR="00CC5359" w:rsidRPr="00121A6A">
        <w:rPr>
          <w:sz w:val="24"/>
          <w:szCs w:val="24"/>
        </w:rPr>
        <w:t xml:space="preserve"> ontkennend.</w:t>
      </w:r>
    </w:p>
    <w:p w14:paraId="09A88982" w14:textId="01235750" w:rsidR="00A34AE6" w:rsidRPr="00121A6A" w:rsidRDefault="0043706B" w:rsidP="00CB1B35">
      <w:pPr>
        <w:spacing w:after="0"/>
        <w:ind w:firstLine="708"/>
        <w:jc w:val="both"/>
        <w:rPr>
          <w:sz w:val="24"/>
          <w:szCs w:val="24"/>
        </w:rPr>
      </w:pPr>
      <w:r w:rsidRPr="00121A6A">
        <w:rPr>
          <w:sz w:val="24"/>
          <w:szCs w:val="24"/>
        </w:rPr>
        <w:t xml:space="preserve">Tégen een dergelijke constructie pleit allereerst dat hetgeen </w:t>
      </w:r>
      <w:r w:rsidRPr="00D73E09">
        <w:rPr>
          <w:i/>
          <w:iCs/>
          <w:sz w:val="24"/>
          <w:szCs w:val="24"/>
        </w:rPr>
        <w:t>waarover</w:t>
      </w:r>
      <w:r w:rsidRPr="00121A6A">
        <w:rPr>
          <w:sz w:val="24"/>
          <w:szCs w:val="24"/>
        </w:rPr>
        <w:t xml:space="preserve"> wordt gestaakt op geen enkele (andere) manier relevant is in het recht. Vanwege de autonomie van sociale partners, waarin de rechter niet behoort te treden, rust op de overheid de plicht om zich te onthouden van interventie in (de inhoud en het resultaat van) het cao-overleg.</w:t>
      </w:r>
      <w:r w:rsidRPr="00121A6A">
        <w:rPr>
          <w:rStyle w:val="FootnoteReference"/>
          <w:sz w:val="24"/>
          <w:szCs w:val="24"/>
        </w:rPr>
        <w:footnoteReference w:id="225"/>
      </w:r>
      <w:r w:rsidRPr="00121A6A">
        <w:rPr>
          <w:sz w:val="24"/>
          <w:szCs w:val="24"/>
        </w:rPr>
        <w:t xml:space="preserve"> Hieruit leid ik bijvoorbeeld af dat de inhoud van het belangengeschil dat ten grondslag ligt aan een staking geen rol mag spelen bij de overwegingen van een rechter om een staking al dan niet te verbieden. Vanuit die gedachte is verdedigbaar dat het onderwerp of doel van een staking evenmin een rol kan spelen bij de vraag naar de toepasselijkheid van het Handvest.</w:t>
      </w:r>
    </w:p>
    <w:p w14:paraId="7B170AF5" w14:textId="55618940" w:rsidR="0043706B" w:rsidRPr="00121A6A" w:rsidRDefault="0043706B" w:rsidP="00CB1B35">
      <w:pPr>
        <w:spacing w:after="0"/>
        <w:ind w:firstLine="708"/>
        <w:jc w:val="both"/>
        <w:rPr>
          <w:sz w:val="24"/>
          <w:szCs w:val="24"/>
        </w:rPr>
      </w:pPr>
      <w:r w:rsidRPr="00121A6A">
        <w:rPr>
          <w:sz w:val="24"/>
          <w:szCs w:val="24"/>
        </w:rPr>
        <w:t xml:space="preserve">Ten tweede is het </w:t>
      </w:r>
      <w:r w:rsidR="009113F3" w:rsidRPr="00121A6A">
        <w:rPr>
          <w:sz w:val="24"/>
          <w:szCs w:val="24"/>
        </w:rPr>
        <w:t xml:space="preserve">arrest </w:t>
      </w:r>
      <w:r w:rsidR="009113F3" w:rsidRPr="00121A6A">
        <w:rPr>
          <w:i/>
          <w:iCs/>
          <w:sz w:val="24"/>
          <w:szCs w:val="24"/>
        </w:rPr>
        <w:t>TSN en AKT</w:t>
      </w:r>
      <w:r w:rsidRPr="00121A6A">
        <w:rPr>
          <w:i/>
          <w:iCs/>
          <w:sz w:val="24"/>
          <w:szCs w:val="24"/>
        </w:rPr>
        <w:t xml:space="preserve"> </w:t>
      </w:r>
      <w:r w:rsidRPr="00121A6A">
        <w:rPr>
          <w:sz w:val="24"/>
          <w:szCs w:val="24"/>
        </w:rPr>
        <w:t>noemenswaardig.</w:t>
      </w:r>
      <w:r w:rsidRPr="00121A6A">
        <w:rPr>
          <w:rStyle w:val="FootnoteReference"/>
          <w:sz w:val="24"/>
          <w:szCs w:val="24"/>
        </w:rPr>
        <w:footnoteReference w:id="226"/>
      </w:r>
      <w:r w:rsidRPr="00121A6A">
        <w:rPr>
          <w:sz w:val="24"/>
          <w:szCs w:val="24"/>
        </w:rPr>
        <w:t xml:space="preserve"> In deze </w:t>
      </w:r>
      <w:r w:rsidR="009113F3" w:rsidRPr="00121A6A">
        <w:rPr>
          <w:sz w:val="24"/>
          <w:szCs w:val="24"/>
        </w:rPr>
        <w:t>gevoegde zaken</w:t>
      </w:r>
      <w:r w:rsidRPr="00121A6A">
        <w:rPr>
          <w:sz w:val="24"/>
          <w:szCs w:val="24"/>
        </w:rPr>
        <w:t xml:space="preserve"> ging het om nationale wetgeving</w:t>
      </w:r>
      <w:r w:rsidR="00D74D30" w:rsidRPr="00121A6A">
        <w:rPr>
          <w:sz w:val="24"/>
          <w:szCs w:val="24"/>
        </w:rPr>
        <w:t xml:space="preserve"> en cao</w:t>
      </w:r>
      <w:r w:rsidR="00245E36" w:rsidRPr="00121A6A">
        <w:rPr>
          <w:sz w:val="24"/>
          <w:szCs w:val="24"/>
        </w:rPr>
        <w:t>-bepalingen</w:t>
      </w:r>
      <w:r w:rsidRPr="00121A6A">
        <w:rPr>
          <w:sz w:val="24"/>
          <w:szCs w:val="24"/>
        </w:rPr>
        <w:t xml:space="preserve"> </w:t>
      </w:r>
      <w:r w:rsidR="00D33CCA" w:rsidRPr="00121A6A">
        <w:rPr>
          <w:sz w:val="24"/>
          <w:szCs w:val="24"/>
        </w:rPr>
        <w:t>die</w:t>
      </w:r>
      <w:r w:rsidR="00CB1B35" w:rsidRPr="00121A6A">
        <w:rPr>
          <w:sz w:val="24"/>
          <w:szCs w:val="24"/>
        </w:rPr>
        <w:t xml:space="preserve"> </w:t>
      </w:r>
      <w:r w:rsidR="000C12C4" w:rsidRPr="00121A6A">
        <w:rPr>
          <w:sz w:val="24"/>
          <w:szCs w:val="24"/>
        </w:rPr>
        <w:t xml:space="preserve">aan </w:t>
      </w:r>
      <w:r w:rsidR="00CB1B35" w:rsidRPr="00121A6A">
        <w:rPr>
          <w:sz w:val="24"/>
          <w:szCs w:val="24"/>
        </w:rPr>
        <w:t>werknemers een</w:t>
      </w:r>
      <w:r w:rsidR="00D33CCA" w:rsidRPr="00121A6A">
        <w:rPr>
          <w:sz w:val="24"/>
          <w:szCs w:val="24"/>
        </w:rPr>
        <w:t xml:space="preserve"> </w:t>
      </w:r>
      <w:r w:rsidR="00CB1B35" w:rsidRPr="00121A6A">
        <w:rPr>
          <w:sz w:val="24"/>
          <w:szCs w:val="24"/>
        </w:rPr>
        <w:t xml:space="preserve">recht op </w:t>
      </w:r>
      <w:r w:rsidR="00D74D30" w:rsidRPr="00121A6A">
        <w:rPr>
          <w:sz w:val="24"/>
          <w:szCs w:val="24"/>
        </w:rPr>
        <w:t xml:space="preserve">loon tijdens vakantie </w:t>
      </w:r>
      <w:r w:rsidR="00CB1B35" w:rsidRPr="00121A6A">
        <w:rPr>
          <w:sz w:val="24"/>
          <w:szCs w:val="24"/>
        </w:rPr>
        <w:t>toe</w:t>
      </w:r>
      <w:r w:rsidR="00D33CCA" w:rsidRPr="00121A6A">
        <w:rPr>
          <w:sz w:val="24"/>
          <w:szCs w:val="24"/>
        </w:rPr>
        <w:t>kenden</w:t>
      </w:r>
      <w:r w:rsidR="006770CA" w:rsidRPr="00121A6A">
        <w:rPr>
          <w:sz w:val="24"/>
          <w:szCs w:val="24"/>
        </w:rPr>
        <w:t xml:space="preserve"> </w:t>
      </w:r>
      <w:r w:rsidR="000C12C4" w:rsidRPr="00121A6A">
        <w:rPr>
          <w:sz w:val="24"/>
          <w:szCs w:val="24"/>
        </w:rPr>
        <w:t>voor</w:t>
      </w:r>
      <w:r w:rsidR="006770CA" w:rsidRPr="00121A6A">
        <w:rPr>
          <w:sz w:val="24"/>
          <w:szCs w:val="24"/>
        </w:rPr>
        <w:t xml:space="preserve"> langere duur dan </w:t>
      </w:r>
      <w:r w:rsidR="000C12C4" w:rsidRPr="00121A6A">
        <w:rPr>
          <w:sz w:val="24"/>
          <w:szCs w:val="24"/>
        </w:rPr>
        <w:t>de</w:t>
      </w:r>
      <w:r w:rsidR="006770CA" w:rsidRPr="00121A6A">
        <w:rPr>
          <w:sz w:val="24"/>
          <w:szCs w:val="24"/>
        </w:rPr>
        <w:t xml:space="preserve"> minimum</w:t>
      </w:r>
      <w:r w:rsidR="000C12C4" w:rsidRPr="00121A6A">
        <w:rPr>
          <w:sz w:val="24"/>
          <w:szCs w:val="24"/>
        </w:rPr>
        <w:t>duur</w:t>
      </w:r>
      <w:r w:rsidR="006770CA" w:rsidRPr="00121A6A">
        <w:rPr>
          <w:sz w:val="24"/>
          <w:szCs w:val="24"/>
        </w:rPr>
        <w:t xml:space="preserve"> </w:t>
      </w:r>
      <w:r w:rsidR="000C12C4" w:rsidRPr="00121A6A">
        <w:rPr>
          <w:sz w:val="24"/>
          <w:szCs w:val="24"/>
        </w:rPr>
        <w:t>van vier weken</w:t>
      </w:r>
      <w:r w:rsidRPr="00121A6A">
        <w:rPr>
          <w:sz w:val="24"/>
          <w:szCs w:val="24"/>
        </w:rPr>
        <w:t xml:space="preserve">. </w:t>
      </w:r>
      <w:r w:rsidR="008A28A9">
        <w:rPr>
          <w:sz w:val="24"/>
          <w:szCs w:val="24"/>
        </w:rPr>
        <w:t>Ondanks dat</w:t>
      </w:r>
      <w:r w:rsidRPr="00121A6A">
        <w:rPr>
          <w:sz w:val="24"/>
          <w:szCs w:val="24"/>
        </w:rPr>
        <w:t xml:space="preserve"> artikel 15 </w:t>
      </w:r>
      <w:r w:rsidR="000C12C4" w:rsidRPr="00121A6A">
        <w:rPr>
          <w:sz w:val="24"/>
          <w:szCs w:val="24"/>
        </w:rPr>
        <w:t>Arbeidstijden</w:t>
      </w:r>
      <w:r w:rsidRPr="00121A6A">
        <w:rPr>
          <w:sz w:val="24"/>
          <w:szCs w:val="24"/>
        </w:rPr>
        <w:t xml:space="preserve">richtlijn </w:t>
      </w:r>
      <w:r w:rsidR="000C12C4" w:rsidRPr="00121A6A">
        <w:rPr>
          <w:sz w:val="24"/>
          <w:szCs w:val="24"/>
        </w:rPr>
        <w:t xml:space="preserve">een </w:t>
      </w:r>
      <w:r w:rsidRPr="00121A6A">
        <w:rPr>
          <w:sz w:val="24"/>
          <w:szCs w:val="24"/>
        </w:rPr>
        <w:t>expliciet</w:t>
      </w:r>
      <w:r w:rsidR="000C12C4" w:rsidRPr="00121A6A">
        <w:rPr>
          <w:sz w:val="24"/>
          <w:szCs w:val="24"/>
        </w:rPr>
        <w:t>e</w:t>
      </w:r>
      <w:r w:rsidRPr="00121A6A">
        <w:rPr>
          <w:sz w:val="24"/>
          <w:szCs w:val="24"/>
        </w:rPr>
        <w:t xml:space="preserve"> grondslag bevat voor</w:t>
      </w:r>
      <w:r w:rsidR="006708DA" w:rsidRPr="00121A6A">
        <w:rPr>
          <w:sz w:val="24"/>
          <w:szCs w:val="24"/>
        </w:rPr>
        <w:t xml:space="preserve"> dergelijke</w:t>
      </w:r>
      <w:r w:rsidRPr="00121A6A">
        <w:rPr>
          <w:sz w:val="24"/>
          <w:szCs w:val="24"/>
        </w:rPr>
        <w:t xml:space="preserve"> over-implementatie,</w:t>
      </w:r>
      <w:r w:rsidR="003E17F8" w:rsidRPr="00121A6A">
        <w:rPr>
          <w:rStyle w:val="FootnoteReference"/>
          <w:sz w:val="24"/>
          <w:szCs w:val="24"/>
        </w:rPr>
        <w:footnoteReference w:id="227"/>
      </w:r>
      <w:r w:rsidRPr="00121A6A">
        <w:rPr>
          <w:sz w:val="24"/>
          <w:szCs w:val="24"/>
        </w:rPr>
        <w:t xml:space="preserve"> oordeelde het Hof </w:t>
      </w:r>
      <w:r w:rsidR="00D33CCA" w:rsidRPr="00121A6A">
        <w:rPr>
          <w:sz w:val="24"/>
          <w:szCs w:val="24"/>
        </w:rPr>
        <w:t>– anders dan A-G Bot</w:t>
      </w:r>
      <w:r w:rsidR="00B251BE" w:rsidRPr="00121A6A">
        <w:rPr>
          <w:rStyle w:val="FootnoteReference"/>
          <w:sz w:val="24"/>
          <w:szCs w:val="24"/>
        </w:rPr>
        <w:footnoteReference w:id="228"/>
      </w:r>
      <w:r w:rsidR="00D33CCA" w:rsidRPr="00121A6A">
        <w:rPr>
          <w:sz w:val="24"/>
          <w:szCs w:val="24"/>
        </w:rPr>
        <w:t xml:space="preserve"> –</w:t>
      </w:r>
      <w:r w:rsidR="00B251BE" w:rsidRPr="00121A6A">
        <w:rPr>
          <w:sz w:val="24"/>
          <w:szCs w:val="24"/>
        </w:rPr>
        <w:t xml:space="preserve"> </w:t>
      </w:r>
      <w:r w:rsidRPr="00121A6A">
        <w:rPr>
          <w:sz w:val="24"/>
          <w:szCs w:val="24"/>
        </w:rPr>
        <w:t>dat</w:t>
      </w:r>
      <w:r w:rsidR="009113F3" w:rsidRPr="00121A6A">
        <w:rPr>
          <w:sz w:val="24"/>
          <w:szCs w:val="24"/>
        </w:rPr>
        <w:t xml:space="preserve"> </w:t>
      </w:r>
      <w:r w:rsidR="00D73E09">
        <w:rPr>
          <w:sz w:val="24"/>
          <w:szCs w:val="24"/>
        </w:rPr>
        <w:t xml:space="preserve">met </w:t>
      </w:r>
      <w:r w:rsidRPr="00121A6A">
        <w:rPr>
          <w:sz w:val="24"/>
          <w:szCs w:val="24"/>
        </w:rPr>
        <w:t xml:space="preserve">het nationale </w:t>
      </w:r>
      <w:r w:rsidR="00EA7838">
        <w:rPr>
          <w:sz w:val="24"/>
          <w:szCs w:val="24"/>
        </w:rPr>
        <w:t>‘</w:t>
      </w:r>
      <w:r w:rsidRPr="00121A6A">
        <w:rPr>
          <w:sz w:val="24"/>
          <w:szCs w:val="24"/>
        </w:rPr>
        <w:t>extra’ geen</w:t>
      </w:r>
      <w:r w:rsidR="009113F3" w:rsidRPr="00121A6A">
        <w:rPr>
          <w:sz w:val="24"/>
          <w:szCs w:val="24"/>
        </w:rPr>
        <w:t xml:space="preserve"> </w:t>
      </w:r>
      <w:r w:rsidRPr="00121A6A">
        <w:rPr>
          <w:sz w:val="24"/>
          <w:szCs w:val="24"/>
        </w:rPr>
        <w:t xml:space="preserve">uitvoering </w:t>
      </w:r>
      <w:r w:rsidR="008A28A9">
        <w:rPr>
          <w:sz w:val="24"/>
          <w:szCs w:val="24"/>
        </w:rPr>
        <w:t>werd</w:t>
      </w:r>
      <w:r w:rsidR="00D73E09">
        <w:rPr>
          <w:sz w:val="24"/>
          <w:szCs w:val="24"/>
        </w:rPr>
        <w:t xml:space="preserve"> gegeven</w:t>
      </w:r>
      <w:r w:rsidR="000C12C4" w:rsidRPr="00121A6A">
        <w:rPr>
          <w:sz w:val="24"/>
          <w:szCs w:val="24"/>
        </w:rPr>
        <w:t xml:space="preserve"> aan</w:t>
      </w:r>
      <w:r w:rsidR="009113F3" w:rsidRPr="00121A6A">
        <w:rPr>
          <w:sz w:val="24"/>
          <w:szCs w:val="24"/>
        </w:rPr>
        <w:t xml:space="preserve"> </w:t>
      </w:r>
      <w:r w:rsidR="00D73E09">
        <w:rPr>
          <w:sz w:val="24"/>
          <w:szCs w:val="24"/>
        </w:rPr>
        <w:t xml:space="preserve">het </w:t>
      </w:r>
      <w:r w:rsidRPr="00121A6A">
        <w:rPr>
          <w:sz w:val="24"/>
          <w:szCs w:val="24"/>
        </w:rPr>
        <w:t xml:space="preserve">Unierecht </w:t>
      </w:r>
      <w:r w:rsidR="00245E36" w:rsidRPr="00121A6A">
        <w:rPr>
          <w:sz w:val="24"/>
          <w:szCs w:val="24"/>
        </w:rPr>
        <w:t>zoals bedoeld</w:t>
      </w:r>
      <w:r w:rsidRPr="00121A6A">
        <w:rPr>
          <w:sz w:val="24"/>
          <w:szCs w:val="24"/>
        </w:rPr>
        <w:t xml:space="preserve"> </w:t>
      </w:r>
      <w:r w:rsidR="009113F3" w:rsidRPr="00121A6A">
        <w:rPr>
          <w:sz w:val="24"/>
          <w:szCs w:val="24"/>
        </w:rPr>
        <w:t xml:space="preserve">in </w:t>
      </w:r>
      <w:r w:rsidRPr="00121A6A">
        <w:rPr>
          <w:sz w:val="24"/>
          <w:szCs w:val="24"/>
        </w:rPr>
        <w:t xml:space="preserve">artikel 51 lid 1 Hv. </w:t>
      </w:r>
      <w:r w:rsidR="002F7213" w:rsidRPr="00121A6A">
        <w:rPr>
          <w:sz w:val="24"/>
          <w:szCs w:val="24"/>
        </w:rPr>
        <w:t xml:space="preserve">Omdat het nationale </w:t>
      </w:r>
      <w:r w:rsidR="00EA7838">
        <w:rPr>
          <w:sz w:val="24"/>
          <w:szCs w:val="24"/>
        </w:rPr>
        <w:t>‘</w:t>
      </w:r>
      <w:r w:rsidR="002F7213" w:rsidRPr="00121A6A">
        <w:rPr>
          <w:sz w:val="24"/>
          <w:szCs w:val="24"/>
        </w:rPr>
        <w:t>meerdere’ buiten de context van de Arbeidstijdenrichtlijn viel,</w:t>
      </w:r>
      <w:r w:rsidRPr="00121A6A">
        <w:rPr>
          <w:sz w:val="24"/>
          <w:szCs w:val="24"/>
        </w:rPr>
        <w:t xml:space="preserve"> was </w:t>
      </w:r>
      <w:r w:rsidR="002F7213" w:rsidRPr="00121A6A">
        <w:rPr>
          <w:sz w:val="24"/>
          <w:szCs w:val="24"/>
        </w:rPr>
        <w:t xml:space="preserve">artikel 31 lid 2 </w:t>
      </w:r>
      <w:r w:rsidR="009113F3" w:rsidRPr="00121A6A">
        <w:rPr>
          <w:sz w:val="24"/>
          <w:szCs w:val="24"/>
        </w:rPr>
        <w:t xml:space="preserve">Hv </w:t>
      </w:r>
      <w:r w:rsidR="002F7213" w:rsidRPr="00121A6A">
        <w:rPr>
          <w:sz w:val="24"/>
          <w:szCs w:val="24"/>
        </w:rPr>
        <w:t>daar</w:t>
      </w:r>
      <w:r w:rsidRPr="00121A6A">
        <w:rPr>
          <w:sz w:val="24"/>
          <w:szCs w:val="24"/>
        </w:rPr>
        <w:t xml:space="preserve">op </w:t>
      </w:r>
      <w:r w:rsidR="002F7213" w:rsidRPr="00121A6A">
        <w:rPr>
          <w:sz w:val="24"/>
          <w:szCs w:val="24"/>
        </w:rPr>
        <w:t xml:space="preserve">niet </w:t>
      </w:r>
      <w:r w:rsidRPr="00121A6A">
        <w:rPr>
          <w:sz w:val="24"/>
          <w:szCs w:val="24"/>
        </w:rPr>
        <w:t>van toepassing.</w:t>
      </w:r>
      <w:r w:rsidR="00DA446B" w:rsidRPr="00121A6A">
        <w:rPr>
          <w:sz w:val="24"/>
          <w:szCs w:val="24"/>
        </w:rPr>
        <w:t xml:space="preserve"> </w:t>
      </w:r>
      <w:r w:rsidR="008A4B2E" w:rsidRPr="00121A6A">
        <w:rPr>
          <w:sz w:val="24"/>
          <w:szCs w:val="24"/>
        </w:rPr>
        <w:t xml:space="preserve">Naar analogie zou kunnen worden betoogd dat voor zover </w:t>
      </w:r>
      <w:r w:rsidR="008A28A9">
        <w:rPr>
          <w:sz w:val="24"/>
          <w:szCs w:val="24"/>
        </w:rPr>
        <w:t xml:space="preserve">met </w:t>
      </w:r>
      <w:r w:rsidR="008A4B2E" w:rsidRPr="00121A6A">
        <w:rPr>
          <w:sz w:val="24"/>
          <w:szCs w:val="24"/>
        </w:rPr>
        <w:t xml:space="preserve">een staking </w:t>
      </w:r>
      <w:r w:rsidR="008A28A9">
        <w:rPr>
          <w:sz w:val="24"/>
          <w:szCs w:val="24"/>
        </w:rPr>
        <w:t>wordt beoogd</w:t>
      </w:r>
      <w:r w:rsidR="008A4B2E" w:rsidRPr="00121A6A">
        <w:rPr>
          <w:sz w:val="24"/>
          <w:szCs w:val="24"/>
        </w:rPr>
        <w:t xml:space="preserve"> méér werknemersbescherming te realiseren dan het minimum </w:t>
      </w:r>
      <w:r w:rsidR="00D33CCA" w:rsidRPr="00121A6A">
        <w:rPr>
          <w:sz w:val="24"/>
          <w:szCs w:val="24"/>
        </w:rPr>
        <w:t>dat door</w:t>
      </w:r>
      <w:r w:rsidR="008A4B2E" w:rsidRPr="00121A6A">
        <w:rPr>
          <w:sz w:val="24"/>
          <w:szCs w:val="24"/>
        </w:rPr>
        <w:t xml:space="preserve"> een </w:t>
      </w:r>
      <w:r w:rsidR="00D33CCA" w:rsidRPr="00121A6A">
        <w:rPr>
          <w:sz w:val="24"/>
          <w:szCs w:val="24"/>
        </w:rPr>
        <w:t>EU-</w:t>
      </w:r>
      <w:r w:rsidR="008A4B2E" w:rsidRPr="00121A6A">
        <w:rPr>
          <w:sz w:val="24"/>
          <w:szCs w:val="24"/>
        </w:rPr>
        <w:t>richtlijn</w:t>
      </w:r>
      <w:r w:rsidR="00D33CCA" w:rsidRPr="00121A6A">
        <w:rPr>
          <w:sz w:val="24"/>
          <w:szCs w:val="24"/>
        </w:rPr>
        <w:t xml:space="preserve"> wordt gewaarborgd</w:t>
      </w:r>
      <w:r w:rsidR="008A4B2E" w:rsidRPr="00121A6A">
        <w:rPr>
          <w:sz w:val="24"/>
          <w:szCs w:val="24"/>
        </w:rPr>
        <w:t>, niet langer een afdoende link met d</w:t>
      </w:r>
      <w:r w:rsidR="001F5690" w:rsidRPr="00121A6A">
        <w:rPr>
          <w:sz w:val="24"/>
          <w:szCs w:val="24"/>
        </w:rPr>
        <w:t>i</w:t>
      </w:r>
      <w:r w:rsidR="008A4B2E" w:rsidRPr="00121A6A">
        <w:rPr>
          <w:sz w:val="24"/>
          <w:szCs w:val="24"/>
        </w:rPr>
        <w:t xml:space="preserve">e richtlijn </w:t>
      </w:r>
      <w:r w:rsidR="00D73E09">
        <w:rPr>
          <w:sz w:val="24"/>
          <w:szCs w:val="24"/>
        </w:rPr>
        <w:t>bestaat</w:t>
      </w:r>
      <w:r w:rsidR="00B07AF7" w:rsidRPr="00121A6A">
        <w:rPr>
          <w:sz w:val="24"/>
          <w:szCs w:val="24"/>
        </w:rPr>
        <w:t xml:space="preserve"> </w:t>
      </w:r>
      <w:r w:rsidR="003F5097" w:rsidRPr="00121A6A">
        <w:rPr>
          <w:sz w:val="24"/>
          <w:szCs w:val="24"/>
        </w:rPr>
        <w:t xml:space="preserve">om </w:t>
      </w:r>
      <w:r w:rsidR="00D73E09">
        <w:rPr>
          <w:sz w:val="24"/>
          <w:szCs w:val="24"/>
        </w:rPr>
        <w:t xml:space="preserve">de </w:t>
      </w:r>
      <w:r w:rsidR="008A28A9">
        <w:rPr>
          <w:sz w:val="24"/>
          <w:szCs w:val="24"/>
        </w:rPr>
        <w:t>toepasselijkheid</w:t>
      </w:r>
      <w:r w:rsidR="008A4B2E" w:rsidRPr="00121A6A">
        <w:rPr>
          <w:sz w:val="24"/>
          <w:szCs w:val="24"/>
        </w:rPr>
        <w:t xml:space="preserve"> van </w:t>
      </w:r>
      <w:r w:rsidR="00DB010C" w:rsidRPr="00121A6A">
        <w:rPr>
          <w:sz w:val="24"/>
          <w:szCs w:val="24"/>
        </w:rPr>
        <w:t xml:space="preserve">(artikel 28 van) </w:t>
      </w:r>
      <w:r w:rsidR="008A4B2E" w:rsidRPr="00121A6A">
        <w:rPr>
          <w:sz w:val="24"/>
          <w:szCs w:val="24"/>
        </w:rPr>
        <w:t xml:space="preserve">het Handvest </w:t>
      </w:r>
      <w:r w:rsidR="003F5097" w:rsidRPr="00121A6A">
        <w:rPr>
          <w:sz w:val="24"/>
          <w:szCs w:val="24"/>
        </w:rPr>
        <w:t>te kunnen</w:t>
      </w:r>
      <w:r w:rsidR="008A4B2E" w:rsidRPr="00121A6A">
        <w:rPr>
          <w:sz w:val="24"/>
          <w:szCs w:val="24"/>
        </w:rPr>
        <w:t xml:space="preserve"> rechtvaardigen.</w:t>
      </w:r>
      <w:r w:rsidR="0092576B">
        <w:rPr>
          <w:sz w:val="24"/>
          <w:szCs w:val="24"/>
        </w:rPr>
        <w:t xml:space="preserve"> </w:t>
      </w:r>
      <w:r w:rsidR="0092576B" w:rsidRPr="0092576B">
        <w:rPr>
          <w:sz w:val="24"/>
          <w:szCs w:val="24"/>
        </w:rPr>
        <w:t xml:space="preserve">Bij dit standpunt moet </w:t>
      </w:r>
      <w:r w:rsidR="0092576B">
        <w:rPr>
          <w:sz w:val="24"/>
          <w:szCs w:val="24"/>
        </w:rPr>
        <w:t xml:space="preserve">evenwel </w:t>
      </w:r>
      <w:r w:rsidR="0092576B" w:rsidRPr="0092576B">
        <w:rPr>
          <w:sz w:val="24"/>
          <w:szCs w:val="24"/>
        </w:rPr>
        <w:t xml:space="preserve">in het licht van het </w:t>
      </w:r>
      <w:proofErr w:type="spellStart"/>
      <w:r w:rsidR="0092576B" w:rsidRPr="0092576B">
        <w:rPr>
          <w:i/>
          <w:iCs/>
          <w:sz w:val="24"/>
          <w:szCs w:val="24"/>
        </w:rPr>
        <w:t>Parkwood</w:t>
      </w:r>
      <w:proofErr w:type="spellEnd"/>
      <w:r w:rsidR="0092576B" w:rsidRPr="0092576B">
        <w:rPr>
          <w:sz w:val="24"/>
          <w:szCs w:val="24"/>
        </w:rPr>
        <w:t xml:space="preserve">-arrest (par. 3.3), dat zich moeilijk laat rijmen met </w:t>
      </w:r>
      <w:r w:rsidR="0092576B">
        <w:rPr>
          <w:sz w:val="24"/>
          <w:szCs w:val="24"/>
        </w:rPr>
        <w:t xml:space="preserve">het arrest </w:t>
      </w:r>
      <w:r w:rsidR="0092576B">
        <w:rPr>
          <w:i/>
          <w:iCs/>
          <w:sz w:val="24"/>
          <w:szCs w:val="24"/>
        </w:rPr>
        <w:t>TSN en AKT</w:t>
      </w:r>
      <w:r w:rsidR="0092576B" w:rsidRPr="0092576B">
        <w:rPr>
          <w:sz w:val="24"/>
          <w:szCs w:val="24"/>
        </w:rPr>
        <w:t xml:space="preserve">, een klein voorbehoud worden gemaakt. In </w:t>
      </w:r>
      <w:proofErr w:type="spellStart"/>
      <w:r w:rsidR="0092576B" w:rsidRPr="0092576B">
        <w:rPr>
          <w:i/>
          <w:iCs/>
          <w:sz w:val="24"/>
          <w:szCs w:val="24"/>
        </w:rPr>
        <w:t>Parkwood</w:t>
      </w:r>
      <w:proofErr w:type="spellEnd"/>
      <w:r w:rsidR="0092576B" w:rsidRPr="0092576B">
        <w:rPr>
          <w:sz w:val="24"/>
          <w:szCs w:val="24"/>
        </w:rPr>
        <w:t xml:space="preserve"> betrof het eveneens nationale over-implementatie: nationale wetgeving kende, in lijn met artikel 8 Richtlijn 2001/23/EG, </w:t>
      </w:r>
      <w:r w:rsidR="00D145ED">
        <w:rPr>
          <w:sz w:val="24"/>
          <w:szCs w:val="24"/>
        </w:rPr>
        <w:t xml:space="preserve">aan </w:t>
      </w:r>
      <w:r w:rsidR="0092576B" w:rsidRPr="0092576B">
        <w:rPr>
          <w:sz w:val="24"/>
          <w:szCs w:val="24"/>
        </w:rPr>
        <w:t xml:space="preserve">werknemers méér bescherming toe dan het minimumniveau van de richtlijn. Toch toetste het Hof deze nationale wetgeving, zonder zich de vraag naar de toepasselijkheid van het Handvest te </w:t>
      </w:r>
      <w:r w:rsidR="0092576B" w:rsidRPr="0092576B">
        <w:rPr>
          <w:sz w:val="24"/>
          <w:szCs w:val="24"/>
        </w:rPr>
        <w:lastRenderedPageBreak/>
        <w:t xml:space="preserve">stellen, aan de richtlijn zoals uitgelegd in het licht van artikel 16 Hv. De vraag is of het Hof het Handvest ook van toepassing </w:t>
      </w:r>
      <w:r w:rsidR="008A28A9">
        <w:rPr>
          <w:sz w:val="24"/>
          <w:szCs w:val="24"/>
        </w:rPr>
        <w:t>had verklaard</w:t>
      </w:r>
      <w:r w:rsidR="0092576B" w:rsidRPr="0092576B">
        <w:rPr>
          <w:sz w:val="24"/>
          <w:szCs w:val="24"/>
        </w:rPr>
        <w:t xml:space="preserve"> als niet nationale wetgeving, maar een staking deze verdergaande werknemersbescherming had nagestreefd. Mogelijk is het Hof gevoelig voor de rechtsbasis van de relevante richtlijn en acht het Hof het Handvest eerder toepasselijk bij een link met een economische, op de interne markt gerichte richtlijn</w:t>
      </w:r>
      <w:r w:rsidR="0087247F">
        <w:rPr>
          <w:sz w:val="24"/>
          <w:szCs w:val="24"/>
        </w:rPr>
        <w:t xml:space="preserve"> zoals Richtlijn 2001/23/EG</w:t>
      </w:r>
      <w:r w:rsidR="0092576B" w:rsidRPr="0092576B">
        <w:rPr>
          <w:sz w:val="24"/>
          <w:szCs w:val="24"/>
        </w:rPr>
        <w:t>.</w:t>
      </w:r>
      <w:r w:rsidR="00933DE0" w:rsidRPr="00121A6A">
        <w:rPr>
          <w:rStyle w:val="FootnoteReference"/>
          <w:sz w:val="24"/>
          <w:szCs w:val="24"/>
        </w:rPr>
        <w:footnoteReference w:id="229"/>
      </w:r>
    </w:p>
    <w:p w14:paraId="3E0C45CD" w14:textId="5D0EC3AC" w:rsidR="0043706B" w:rsidRPr="00121A6A" w:rsidRDefault="00193A26" w:rsidP="00E604E8">
      <w:pPr>
        <w:spacing w:after="0"/>
        <w:ind w:firstLine="708"/>
        <w:jc w:val="both"/>
        <w:rPr>
          <w:sz w:val="24"/>
          <w:szCs w:val="24"/>
        </w:rPr>
      </w:pPr>
      <w:r>
        <w:rPr>
          <w:sz w:val="24"/>
          <w:szCs w:val="24"/>
        </w:rPr>
        <w:t>Ook al zou dit zo zijn</w:t>
      </w:r>
      <w:r w:rsidR="008A28A9">
        <w:rPr>
          <w:sz w:val="24"/>
          <w:szCs w:val="24"/>
        </w:rPr>
        <w:t>,</w:t>
      </w:r>
      <w:r w:rsidR="00FF227A">
        <w:rPr>
          <w:sz w:val="24"/>
          <w:szCs w:val="24"/>
        </w:rPr>
        <w:t xml:space="preserve"> </w:t>
      </w:r>
      <w:r w:rsidR="008A28A9">
        <w:rPr>
          <w:sz w:val="24"/>
          <w:szCs w:val="24"/>
        </w:rPr>
        <w:t xml:space="preserve">dan nog geldt, </w:t>
      </w:r>
      <w:r>
        <w:rPr>
          <w:sz w:val="24"/>
          <w:szCs w:val="24"/>
        </w:rPr>
        <w:t>in de derde plaats</w:t>
      </w:r>
      <w:r w:rsidR="008A28A9">
        <w:rPr>
          <w:sz w:val="24"/>
          <w:szCs w:val="24"/>
        </w:rPr>
        <w:t>,</w:t>
      </w:r>
      <w:r w:rsidR="00A34AE6" w:rsidRPr="00121A6A">
        <w:rPr>
          <w:sz w:val="24"/>
          <w:szCs w:val="24"/>
        </w:rPr>
        <w:t xml:space="preserve"> dat de</w:t>
      </w:r>
      <w:r w:rsidR="0043706B" w:rsidRPr="00121A6A">
        <w:rPr>
          <w:sz w:val="24"/>
          <w:szCs w:val="24"/>
        </w:rPr>
        <w:t xml:space="preserve"> EU geen regelgevende bevoegdheid </w:t>
      </w:r>
      <w:r w:rsidR="00784B20" w:rsidRPr="00121A6A">
        <w:rPr>
          <w:sz w:val="24"/>
          <w:szCs w:val="24"/>
        </w:rPr>
        <w:t xml:space="preserve">heeft </w:t>
      </w:r>
      <w:r w:rsidR="0043706B" w:rsidRPr="00121A6A">
        <w:rPr>
          <w:sz w:val="24"/>
          <w:szCs w:val="24"/>
        </w:rPr>
        <w:t xml:space="preserve">op het gebied van het stakingsrecht. Door niettemin te aanvaarden dat (artikel 28 van) het Handvest van toepassing is enkel en alleen omdat hetgeen </w:t>
      </w:r>
      <w:r w:rsidR="0043706B" w:rsidRPr="006017DC">
        <w:rPr>
          <w:i/>
          <w:iCs/>
          <w:sz w:val="24"/>
          <w:szCs w:val="24"/>
        </w:rPr>
        <w:t xml:space="preserve">waarover </w:t>
      </w:r>
      <w:r w:rsidR="0043706B" w:rsidRPr="00121A6A">
        <w:rPr>
          <w:sz w:val="24"/>
          <w:szCs w:val="24"/>
        </w:rPr>
        <w:t>wordt gestaakt een onderwerp betreft waaromtrent de EU als zodanig wél mandaat heeft, eigent de EU (het Hof) zich in feite alsnog en in strijd met het allocatiebeginsel de bevoegdheid toe om via het Handvest het stakingsrecht (deels) te reguleren. Dat komt op gespannen voet met artikel 6 lid 1 VEU en artikel 51 lid 2 Hv, waarin staat dat de bepalingen van het Handvest ‘</w:t>
      </w:r>
      <w:r w:rsidR="0043706B" w:rsidRPr="00121A6A">
        <w:rPr>
          <w:i/>
          <w:iCs/>
          <w:sz w:val="24"/>
          <w:szCs w:val="24"/>
        </w:rPr>
        <w:t>geenszins een verruiming in[houden] van de</w:t>
      </w:r>
      <w:r w:rsidR="009A1DD7" w:rsidRPr="00121A6A">
        <w:rPr>
          <w:i/>
          <w:iCs/>
          <w:sz w:val="24"/>
          <w:szCs w:val="24"/>
        </w:rPr>
        <w:t xml:space="preserve"> </w:t>
      </w:r>
      <w:r w:rsidR="0043706B" w:rsidRPr="00121A6A">
        <w:rPr>
          <w:i/>
          <w:iCs/>
          <w:sz w:val="24"/>
          <w:szCs w:val="24"/>
        </w:rPr>
        <w:t>bevoegdheden van de Unie zoals bepaald bij de Verdragen</w:t>
      </w:r>
      <w:r w:rsidR="0043706B" w:rsidRPr="00121A6A">
        <w:rPr>
          <w:sz w:val="24"/>
          <w:szCs w:val="24"/>
        </w:rPr>
        <w:t>’.</w:t>
      </w:r>
      <w:r w:rsidR="0094031C" w:rsidRPr="00121A6A">
        <w:rPr>
          <w:sz w:val="24"/>
          <w:szCs w:val="24"/>
        </w:rPr>
        <w:t xml:space="preserve"> </w:t>
      </w:r>
      <w:r w:rsidR="00ED669D" w:rsidRPr="00121A6A">
        <w:rPr>
          <w:sz w:val="24"/>
          <w:szCs w:val="24"/>
        </w:rPr>
        <w:t>Het feit dat</w:t>
      </w:r>
      <w:r w:rsidR="0094031C" w:rsidRPr="00121A6A">
        <w:rPr>
          <w:sz w:val="24"/>
          <w:szCs w:val="24"/>
        </w:rPr>
        <w:t xml:space="preserve"> het Handvest</w:t>
      </w:r>
      <w:r w:rsidR="00ED669D" w:rsidRPr="00121A6A">
        <w:rPr>
          <w:sz w:val="24"/>
          <w:szCs w:val="24"/>
        </w:rPr>
        <w:t>, anders dan de EU-Verdragen,</w:t>
      </w:r>
      <w:r w:rsidR="0094031C" w:rsidRPr="00121A6A">
        <w:rPr>
          <w:sz w:val="24"/>
          <w:szCs w:val="24"/>
        </w:rPr>
        <w:t xml:space="preserve"> geen bevoegdheden</w:t>
      </w:r>
      <w:r w:rsidR="0094031C" w:rsidRPr="00121A6A">
        <w:rPr>
          <w:i/>
          <w:iCs/>
          <w:sz w:val="24"/>
          <w:szCs w:val="24"/>
        </w:rPr>
        <w:t xml:space="preserve"> </w:t>
      </w:r>
      <w:r w:rsidR="0094031C" w:rsidRPr="008A28A9">
        <w:rPr>
          <w:i/>
          <w:iCs/>
          <w:sz w:val="24"/>
          <w:szCs w:val="24"/>
        </w:rPr>
        <w:t>toekent</w:t>
      </w:r>
      <w:r w:rsidR="0094031C" w:rsidRPr="00121A6A">
        <w:rPr>
          <w:i/>
          <w:iCs/>
          <w:sz w:val="24"/>
          <w:szCs w:val="24"/>
        </w:rPr>
        <w:t xml:space="preserve"> </w:t>
      </w:r>
      <w:r w:rsidR="0094031C" w:rsidRPr="00121A6A">
        <w:rPr>
          <w:sz w:val="24"/>
          <w:szCs w:val="24"/>
        </w:rPr>
        <w:t xml:space="preserve">maar slechts </w:t>
      </w:r>
      <w:r w:rsidR="00ED669D" w:rsidRPr="00121A6A">
        <w:rPr>
          <w:sz w:val="24"/>
          <w:szCs w:val="24"/>
        </w:rPr>
        <w:t xml:space="preserve">de uitoefening van bevoegdheden, die door andere attributieve normen zijn toegekend, </w:t>
      </w:r>
      <w:r w:rsidR="00ED669D" w:rsidRPr="008A28A9">
        <w:rPr>
          <w:i/>
          <w:iCs/>
          <w:sz w:val="24"/>
          <w:szCs w:val="24"/>
        </w:rPr>
        <w:t>reguleert</w:t>
      </w:r>
      <w:r w:rsidR="00ED669D" w:rsidRPr="00121A6A">
        <w:rPr>
          <w:sz w:val="24"/>
          <w:szCs w:val="24"/>
        </w:rPr>
        <w:t>,</w:t>
      </w:r>
      <w:r w:rsidR="00ED669D" w:rsidRPr="00121A6A">
        <w:rPr>
          <w:rStyle w:val="FootnoteReference"/>
          <w:sz w:val="24"/>
          <w:szCs w:val="24"/>
        </w:rPr>
        <w:footnoteReference w:id="230"/>
      </w:r>
      <w:r w:rsidR="0043706B" w:rsidRPr="00121A6A">
        <w:rPr>
          <w:sz w:val="24"/>
          <w:szCs w:val="24"/>
        </w:rPr>
        <w:t xml:space="preserve"> </w:t>
      </w:r>
      <w:r w:rsidR="005E2053" w:rsidRPr="00121A6A">
        <w:rPr>
          <w:sz w:val="24"/>
          <w:szCs w:val="24"/>
        </w:rPr>
        <w:t xml:space="preserve">in combinatie met het gebrek aan bevoegdheid van de Unie op het gebied van het stakingsrecht, maakt artikel 28 Hv een </w:t>
      </w:r>
      <w:r w:rsidR="00201171" w:rsidRPr="00121A6A">
        <w:rPr>
          <w:sz w:val="24"/>
          <w:szCs w:val="24"/>
        </w:rPr>
        <w:t>merkwaardige</w:t>
      </w:r>
      <w:r w:rsidR="005E2053" w:rsidRPr="00121A6A">
        <w:rPr>
          <w:sz w:val="24"/>
          <w:szCs w:val="24"/>
        </w:rPr>
        <w:t xml:space="preserve"> bepaling</w:t>
      </w:r>
      <w:r w:rsidR="00D145ED">
        <w:rPr>
          <w:sz w:val="24"/>
          <w:szCs w:val="24"/>
        </w:rPr>
        <w:t>.</w:t>
      </w:r>
      <w:r w:rsidR="005E2053" w:rsidRPr="00121A6A">
        <w:rPr>
          <w:sz w:val="24"/>
          <w:szCs w:val="24"/>
        </w:rPr>
        <w:t xml:space="preserve"> </w:t>
      </w:r>
      <w:r w:rsidR="00D145ED">
        <w:rPr>
          <w:sz w:val="24"/>
          <w:szCs w:val="24"/>
        </w:rPr>
        <w:t>H</w:t>
      </w:r>
      <w:r w:rsidR="005E2053" w:rsidRPr="00121A6A">
        <w:rPr>
          <w:sz w:val="24"/>
          <w:szCs w:val="24"/>
        </w:rPr>
        <w:t>oewel het grondrecht op collectieve actie</w:t>
      </w:r>
      <w:r w:rsidR="00A0552B" w:rsidRPr="00121A6A">
        <w:rPr>
          <w:sz w:val="24"/>
          <w:szCs w:val="24"/>
        </w:rPr>
        <w:t xml:space="preserve"> als zodanig</w:t>
      </w:r>
      <w:r w:rsidR="005E2053" w:rsidRPr="00121A6A">
        <w:rPr>
          <w:sz w:val="24"/>
          <w:szCs w:val="24"/>
        </w:rPr>
        <w:t xml:space="preserve"> wordt erkend, </w:t>
      </w:r>
      <w:r w:rsidR="001277F4" w:rsidRPr="00121A6A">
        <w:rPr>
          <w:sz w:val="24"/>
          <w:szCs w:val="24"/>
        </w:rPr>
        <w:t xml:space="preserve">is </w:t>
      </w:r>
      <w:r w:rsidR="00E604E8" w:rsidRPr="00121A6A">
        <w:rPr>
          <w:sz w:val="24"/>
          <w:szCs w:val="24"/>
        </w:rPr>
        <w:t xml:space="preserve">Unierechtelijke </w:t>
      </w:r>
      <w:r w:rsidR="00140555" w:rsidRPr="00121A6A">
        <w:rPr>
          <w:sz w:val="24"/>
          <w:szCs w:val="24"/>
        </w:rPr>
        <w:t>bescherming</w:t>
      </w:r>
      <w:r w:rsidR="001277F4" w:rsidRPr="00121A6A">
        <w:rPr>
          <w:sz w:val="24"/>
          <w:szCs w:val="24"/>
        </w:rPr>
        <w:t xml:space="preserve"> van dit recht</w:t>
      </w:r>
      <w:r w:rsidR="00140555" w:rsidRPr="00121A6A">
        <w:rPr>
          <w:sz w:val="24"/>
          <w:szCs w:val="24"/>
        </w:rPr>
        <w:t xml:space="preserve"> </w:t>
      </w:r>
      <w:r w:rsidR="00E604E8" w:rsidRPr="00121A6A">
        <w:rPr>
          <w:sz w:val="24"/>
          <w:szCs w:val="24"/>
        </w:rPr>
        <w:t xml:space="preserve">in principe </w:t>
      </w:r>
      <w:r w:rsidR="001277F4" w:rsidRPr="00121A6A">
        <w:rPr>
          <w:sz w:val="24"/>
          <w:szCs w:val="24"/>
        </w:rPr>
        <w:t>uitgesloten</w:t>
      </w:r>
      <w:r w:rsidR="005E2053" w:rsidRPr="00121A6A">
        <w:rPr>
          <w:sz w:val="24"/>
          <w:szCs w:val="24"/>
        </w:rPr>
        <w:t>.</w:t>
      </w:r>
      <w:r w:rsidR="00540A61" w:rsidRPr="00121A6A">
        <w:rPr>
          <w:rStyle w:val="FootnoteReference"/>
          <w:sz w:val="24"/>
          <w:szCs w:val="24"/>
        </w:rPr>
        <w:footnoteReference w:id="231"/>
      </w:r>
      <w:r w:rsidR="005E2053" w:rsidRPr="00121A6A">
        <w:rPr>
          <w:sz w:val="24"/>
          <w:szCs w:val="24"/>
        </w:rPr>
        <w:t xml:space="preserve"> </w:t>
      </w:r>
      <w:r w:rsidR="00B3218C">
        <w:rPr>
          <w:sz w:val="24"/>
          <w:szCs w:val="24"/>
        </w:rPr>
        <w:t xml:space="preserve">Indien het Hof via een materiële Unierichtlijn het stakingsrecht </w:t>
      </w:r>
      <w:r w:rsidR="00C75D0C">
        <w:rPr>
          <w:sz w:val="24"/>
          <w:szCs w:val="24"/>
        </w:rPr>
        <w:t>zou gaan beschermen</w:t>
      </w:r>
      <w:r w:rsidR="00B3218C">
        <w:rPr>
          <w:sz w:val="24"/>
          <w:szCs w:val="24"/>
        </w:rPr>
        <w:t>,</w:t>
      </w:r>
      <w:r w:rsidR="005E2053" w:rsidRPr="00121A6A">
        <w:rPr>
          <w:sz w:val="24"/>
          <w:szCs w:val="24"/>
        </w:rPr>
        <w:t xml:space="preserve"> zou </w:t>
      </w:r>
      <w:r w:rsidR="00B3218C">
        <w:rPr>
          <w:sz w:val="24"/>
          <w:szCs w:val="24"/>
        </w:rPr>
        <w:t xml:space="preserve">dit </w:t>
      </w:r>
      <w:r w:rsidR="005E2053" w:rsidRPr="00121A6A">
        <w:rPr>
          <w:sz w:val="24"/>
          <w:szCs w:val="24"/>
        </w:rPr>
        <w:t>wegens strijd met artikel 51 lid 2 Hv kunnen worden bestempeld als</w:t>
      </w:r>
      <w:r w:rsidR="0043706B" w:rsidRPr="00121A6A">
        <w:rPr>
          <w:sz w:val="24"/>
          <w:szCs w:val="24"/>
        </w:rPr>
        <w:t xml:space="preserve"> ‘juridisch activisme’</w:t>
      </w:r>
      <w:r w:rsidR="00B3218C">
        <w:rPr>
          <w:sz w:val="24"/>
          <w:szCs w:val="24"/>
        </w:rPr>
        <w:t>.</w:t>
      </w:r>
      <w:r w:rsidR="001D6699">
        <w:rPr>
          <w:sz w:val="24"/>
          <w:szCs w:val="24"/>
        </w:rPr>
        <w:t xml:space="preserve"> Dit zou het draagvlak voor de EU kunnen ondergraven.</w:t>
      </w:r>
    </w:p>
    <w:p w14:paraId="77DE996B" w14:textId="54271752" w:rsidR="0043706B" w:rsidRPr="00121A6A" w:rsidRDefault="0043706B" w:rsidP="0043706B">
      <w:pPr>
        <w:spacing w:after="0"/>
        <w:ind w:firstLine="708"/>
        <w:jc w:val="both"/>
        <w:rPr>
          <w:sz w:val="24"/>
          <w:szCs w:val="24"/>
        </w:rPr>
      </w:pPr>
      <w:r w:rsidRPr="00121A6A">
        <w:rPr>
          <w:sz w:val="24"/>
          <w:szCs w:val="24"/>
        </w:rPr>
        <w:t xml:space="preserve">Een argument ter verdediging van de stelling dat het Handvest tóch van toepassing </w:t>
      </w:r>
      <w:r w:rsidR="007464B6" w:rsidRPr="00121A6A">
        <w:rPr>
          <w:sz w:val="24"/>
          <w:szCs w:val="24"/>
        </w:rPr>
        <w:t>is</w:t>
      </w:r>
      <w:r w:rsidRPr="00121A6A">
        <w:rPr>
          <w:sz w:val="24"/>
          <w:szCs w:val="24"/>
        </w:rPr>
        <w:t xml:space="preserve"> indien het onderwerp van het </w:t>
      </w:r>
      <w:r w:rsidR="004A5206">
        <w:rPr>
          <w:sz w:val="24"/>
          <w:szCs w:val="24"/>
        </w:rPr>
        <w:t xml:space="preserve">aan de staking ten grondslag liggende </w:t>
      </w:r>
      <w:r w:rsidRPr="004A5206">
        <w:rPr>
          <w:i/>
          <w:iCs/>
          <w:sz w:val="24"/>
          <w:szCs w:val="24"/>
        </w:rPr>
        <w:t>belangen</w:t>
      </w:r>
      <w:r w:rsidRPr="00121A6A">
        <w:rPr>
          <w:sz w:val="24"/>
          <w:szCs w:val="24"/>
        </w:rPr>
        <w:t xml:space="preserve">conflict verband houdt met </w:t>
      </w:r>
      <w:r w:rsidR="00DB010C" w:rsidRPr="00121A6A">
        <w:rPr>
          <w:sz w:val="24"/>
          <w:szCs w:val="24"/>
        </w:rPr>
        <w:t>een</w:t>
      </w:r>
      <w:r w:rsidRPr="00121A6A">
        <w:rPr>
          <w:sz w:val="24"/>
          <w:szCs w:val="24"/>
        </w:rPr>
        <w:t xml:space="preserve"> </w:t>
      </w:r>
      <w:r w:rsidR="007464B6" w:rsidRPr="00121A6A">
        <w:rPr>
          <w:sz w:val="24"/>
          <w:szCs w:val="24"/>
        </w:rPr>
        <w:t xml:space="preserve">materiële </w:t>
      </w:r>
      <w:r w:rsidR="00DB010C" w:rsidRPr="00121A6A">
        <w:rPr>
          <w:sz w:val="24"/>
          <w:szCs w:val="24"/>
        </w:rPr>
        <w:t>Unierichtlijn</w:t>
      </w:r>
      <w:r w:rsidRPr="00121A6A">
        <w:rPr>
          <w:sz w:val="24"/>
          <w:szCs w:val="24"/>
        </w:rPr>
        <w:t>, is te vinden in het onderscheid tussen materieel en formeel (procedureel) recht.</w:t>
      </w:r>
      <w:r w:rsidRPr="00121A6A">
        <w:rPr>
          <w:rStyle w:val="FootnoteReference"/>
          <w:sz w:val="24"/>
          <w:szCs w:val="24"/>
        </w:rPr>
        <w:footnoteReference w:id="232"/>
      </w:r>
      <w:r w:rsidRPr="00121A6A">
        <w:rPr>
          <w:sz w:val="24"/>
          <w:szCs w:val="24"/>
        </w:rPr>
        <w:t xml:space="preserve"> Onder ‘materieel recht’ word</w:t>
      </w:r>
      <w:r w:rsidR="00D145ED">
        <w:rPr>
          <w:sz w:val="24"/>
          <w:szCs w:val="24"/>
        </w:rPr>
        <w:t>en</w:t>
      </w:r>
      <w:r w:rsidRPr="00121A6A">
        <w:rPr>
          <w:sz w:val="24"/>
          <w:szCs w:val="24"/>
        </w:rPr>
        <w:t xml:space="preserve"> de regels </w:t>
      </w:r>
      <w:r w:rsidR="00D145ED" w:rsidRPr="00121A6A">
        <w:rPr>
          <w:sz w:val="24"/>
          <w:szCs w:val="24"/>
        </w:rPr>
        <w:t xml:space="preserve">verstaan </w:t>
      </w:r>
      <w:r w:rsidRPr="00121A6A">
        <w:rPr>
          <w:sz w:val="24"/>
          <w:szCs w:val="24"/>
        </w:rPr>
        <w:t>die betrekking hebben op de inhoud van</w:t>
      </w:r>
      <w:r w:rsidR="004A5206">
        <w:rPr>
          <w:sz w:val="24"/>
          <w:szCs w:val="24"/>
        </w:rPr>
        <w:t xml:space="preserve"> </w:t>
      </w:r>
      <w:r w:rsidRPr="00121A6A">
        <w:rPr>
          <w:sz w:val="24"/>
          <w:szCs w:val="24"/>
        </w:rPr>
        <w:t>rechten en plichten van (rechts)personen. Met de term ‘formeel recht’ wordt de wijze bedoeld waarop materieel recht in een juridisch proces kan worden gehandhaafd, zoals</w:t>
      </w:r>
      <w:r w:rsidR="003820BE">
        <w:rPr>
          <w:sz w:val="24"/>
          <w:szCs w:val="24"/>
        </w:rPr>
        <w:t xml:space="preserve"> de</w:t>
      </w:r>
      <w:r w:rsidRPr="00121A6A">
        <w:rPr>
          <w:sz w:val="24"/>
          <w:szCs w:val="24"/>
        </w:rPr>
        <w:t xml:space="preserve"> regels rondom bewijsrecht en (hoger) beroep. Vanwege het gebrek aan wetgevende bevoegdheid van de </w:t>
      </w:r>
      <w:r w:rsidR="004A5206">
        <w:rPr>
          <w:sz w:val="24"/>
          <w:szCs w:val="24"/>
        </w:rPr>
        <w:t>Unie</w:t>
      </w:r>
      <w:r w:rsidRPr="00121A6A">
        <w:rPr>
          <w:sz w:val="24"/>
          <w:szCs w:val="24"/>
        </w:rPr>
        <w:t xml:space="preserve"> op het gebied van het procesrecht en het (daarmee samenhangende) beginsel van nationale procedurele en remediërende autonomie,</w:t>
      </w:r>
      <w:r w:rsidRPr="00121A6A">
        <w:rPr>
          <w:rStyle w:val="FootnoteReference"/>
          <w:sz w:val="24"/>
          <w:szCs w:val="24"/>
        </w:rPr>
        <w:footnoteReference w:id="233"/>
      </w:r>
      <w:r w:rsidRPr="00121A6A">
        <w:rPr>
          <w:sz w:val="24"/>
          <w:szCs w:val="24"/>
        </w:rPr>
        <w:t xml:space="preserve"> wordt de handhaving van materiële EU-regels in beginsel geregeld door het nationale recht. Ofschoon dit aspect dus valt binnen de competentie van de lidstaten, heeft het Hof in onder meer het </w:t>
      </w:r>
      <w:r w:rsidRPr="00121A6A">
        <w:rPr>
          <w:i/>
          <w:iCs/>
          <w:sz w:val="24"/>
          <w:szCs w:val="24"/>
        </w:rPr>
        <w:t>DEB</w:t>
      </w:r>
      <w:r w:rsidRPr="00121A6A">
        <w:rPr>
          <w:sz w:val="24"/>
          <w:szCs w:val="24"/>
        </w:rPr>
        <w:t>-arrest geoordeeld dat nationale procedureregels rondom</w:t>
      </w:r>
      <w:r w:rsidR="00152E97" w:rsidRPr="00121A6A">
        <w:rPr>
          <w:sz w:val="24"/>
          <w:szCs w:val="24"/>
        </w:rPr>
        <w:t xml:space="preserve"> </w:t>
      </w:r>
      <w:r w:rsidR="003820BE">
        <w:rPr>
          <w:sz w:val="24"/>
          <w:szCs w:val="24"/>
        </w:rPr>
        <w:t xml:space="preserve">de </w:t>
      </w:r>
      <w:r w:rsidRPr="00121A6A">
        <w:rPr>
          <w:sz w:val="24"/>
          <w:szCs w:val="24"/>
        </w:rPr>
        <w:t xml:space="preserve">uitoefening van </w:t>
      </w:r>
      <w:r w:rsidR="00152E97" w:rsidRPr="00121A6A">
        <w:rPr>
          <w:sz w:val="24"/>
          <w:szCs w:val="24"/>
        </w:rPr>
        <w:t>Unier</w:t>
      </w:r>
      <w:r w:rsidRPr="00121A6A">
        <w:rPr>
          <w:sz w:val="24"/>
          <w:szCs w:val="24"/>
        </w:rPr>
        <w:t>echten binnen de werkingssfeer van het EU-recht vallen</w:t>
      </w:r>
      <w:r w:rsidR="0092576B">
        <w:rPr>
          <w:sz w:val="24"/>
          <w:szCs w:val="24"/>
        </w:rPr>
        <w:t>.</w:t>
      </w:r>
      <w:r w:rsidR="0092576B" w:rsidRPr="00121A6A">
        <w:rPr>
          <w:rStyle w:val="FootnoteReference"/>
          <w:sz w:val="24"/>
          <w:szCs w:val="24"/>
        </w:rPr>
        <w:footnoteReference w:id="234"/>
      </w:r>
      <w:r w:rsidR="0092576B">
        <w:rPr>
          <w:sz w:val="24"/>
          <w:szCs w:val="24"/>
        </w:rPr>
        <w:t xml:space="preserve"> </w:t>
      </w:r>
      <w:r w:rsidRPr="00121A6A">
        <w:rPr>
          <w:sz w:val="24"/>
          <w:szCs w:val="24"/>
        </w:rPr>
        <w:t>Bijgevolg is het Handvest</w:t>
      </w:r>
      <w:r w:rsidR="005B6B6D">
        <w:rPr>
          <w:sz w:val="24"/>
          <w:szCs w:val="24"/>
        </w:rPr>
        <w:t xml:space="preserve">, </w:t>
      </w:r>
      <w:r w:rsidRPr="00121A6A">
        <w:rPr>
          <w:sz w:val="24"/>
          <w:szCs w:val="24"/>
        </w:rPr>
        <w:t>met name artikel 47</w:t>
      </w:r>
      <w:r w:rsidR="000B613C" w:rsidRPr="00121A6A">
        <w:rPr>
          <w:sz w:val="24"/>
          <w:szCs w:val="24"/>
        </w:rPr>
        <w:t xml:space="preserve"> Hv</w:t>
      </w:r>
      <w:r w:rsidRPr="00121A6A">
        <w:rPr>
          <w:sz w:val="24"/>
          <w:szCs w:val="24"/>
        </w:rPr>
        <w:t xml:space="preserve"> inzake het recht op </w:t>
      </w:r>
      <w:r w:rsidR="005B6B6D" w:rsidRPr="005B6B6D">
        <w:rPr>
          <w:sz w:val="24"/>
          <w:szCs w:val="24"/>
        </w:rPr>
        <w:t>een doeltreffende voorziening in rechte</w:t>
      </w:r>
      <w:r w:rsidRPr="00121A6A">
        <w:rPr>
          <w:sz w:val="24"/>
          <w:szCs w:val="24"/>
        </w:rPr>
        <w:t xml:space="preserve">, </w:t>
      </w:r>
      <w:r w:rsidR="00007E4D">
        <w:rPr>
          <w:sz w:val="24"/>
          <w:szCs w:val="24"/>
        </w:rPr>
        <w:t>op dit nationale procesrecht</w:t>
      </w:r>
      <w:r w:rsidRPr="00121A6A">
        <w:rPr>
          <w:sz w:val="24"/>
          <w:szCs w:val="24"/>
        </w:rPr>
        <w:t xml:space="preserve"> van toepassing.</w:t>
      </w:r>
      <w:r w:rsidR="004A5206">
        <w:rPr>
          <w:rStyle w:val="FootnoteReference"/>
          <w:sz w:val="24"/>
          <w:szCs w:val="24"/>
        </w:rPr>
        <w:footnoteReference w:id="235"/>
      </w:r>
    </w:p>
    <w:p w14:paraId="31B096CE" w14:textId="523FEEF0" w:rsidR="0043706B" w:rsidRPr="00121A6A" w:rsidRDefault="0043706B" w:rsidP="0043706B">
      <w:pPr>
        <w:spacing w:after="0"/>
        <w:ind w:firstLine="708"/>
        <w:jc w:val="both"/>
        <w:rPr>
          <w:sz w:val="24"/>
          <w:szCs w:val="24"/>
        </w:rPr>
      </w:pPr>
      <w:r w:rsidRPr="00121A6A">
        <w:rPr>
          <w:sz w:val="24"/>
          <w:szCs w:val="24"/>
        </w:rPr>
        <w:lastRenderedPageBreak/>
        <w:t xml:space="preserve">Deze uitkomst zet aan tot de gedachte dat voor nationaal procedureel recht mogelijk een ander, lichter regime geldt of zou moeten gelden om te beoordelen of </w:t>
      </w:r>
      <w:r w:rsidR="0061227A">
        <w:rPr>
          <w:sz w:val="24"/>
          <w:szCs w:val="24"/>
        </w:rPr>
        <w:t>uitvoering wordt gegeven aan het Unierecht</w:t>
      </w:r>
      <w:r w:rsidRPr="00121A6A">
        <w:rPr>
          <w:sz w:val="24"/>
          <w:szCs w:val="24"/>
        </w:rPr>
        <w:t>.</w:t>
      </w:r>
      <w:r w:rsidR="0061227A" w:rsidRPr="00121A6A">
        <w:rPr>
          <w:rStyle w:val="FootnoteReference"/>
          <w:sz w:val="24"/>
          <w:szCs w:val="24"/>
        </w:rPr>
        <w:footnoteReference w:id="236"/>
      </w:r>
      <w:r w:rsidRPr="00121A6A">
        <w:rPr>
          <w:sz w:val="24"/>
          <w:szCs w:val="24"/>
        </w:rPr>
        <w:t xml:space="preserve"> </w:t>
      </w:r>
      <w:bookmarkStart w:id="85" w:name="_Hlk163641197"/>
      <w:r w:rsidRPr="00121A6A">
        <w:rPr>
          <w:sz w:val="24"/>
          <w:szCs w:val="24"/>
        </w:rPr>
        <w:t xml:space="preserve">Denkbaar is dat de </w:t>
      </w:r>
      <w:bookmarkEnd w:id="85"/>
      <w:r w:rsidRPr="00121A6A">
        <w:rPr>
          <w:sz w:val="24"/>
          <w:szCs w:val="24"/>
        </w:rPr>
        <w:t>vereiste link met</w:t>
      </w:r>
      <w:r w:rsidR="0061227A">
        <w:rPr>
          <w:sz w:val="24"/>
          <w:szCs w:val="24"/>
        </w:rPr>
        <w:t xml:space="preserve"> het</w:t>
      </w:r>
      <w:r w:rsidRPr="00121A6A">
        <w:rPr>
          <w:sz w:val="24"/>
          <w:szCs w:val="24"/>
        </w:rPr>
        <w:t xml:space="preserve"> Unierecht al bestaat indien een losse(re) band (</w:t>
      </w:r>
      <w:r w:rsidRPr="00121A6A">
        <w:rPr>
          <w:i/>
          <w:iCs/>
          <w:sz w:val="24"/>
          <w:szCs w:val="24"/>
        </w:rPr>
        <w:t>enige</w:t>
      </w:r>
      <w:r w:rsidRPr="00121A6A">
        <w:rPr>
          <w:sz w:val="24"/>
          <w:szCs w:val="24"/>
        </w:rPr>
        <w:t xml:space="preserve"> link) met het EU-recht aanwezig is. Deze gedachtegang is ook voor het stakingsrecht interessant, omdat nationale regels rondom (</w:t>
      </w:r>
      <w:r w:rsidR="0061227A">
        <w:rPr>
          <w:sz w:val="24"/>
          <w:szCs w:val="24"/>
        </w:rPr>
        <w:t xml:space="preserve">de </w:t>
      </w:r>
      <w:r w:rsidRPr="00121A6A">
        <w:rPr>
          <w:sz w:val="24"/>
          <w:szCs w:val="24"/>
        </w:rPr>
        <w:t xml:space="preserve">uitoefening van) het </w:t>
      </w:r>
      <w:r w:rsidR="00182F69" w:rsidRPr="00121A6A">
        <w:rPr>
          <w:sz w:val="24"/>
          <w:szCs w:val="24"/>
        </w:rPr>
        <w:t>stakingsrecht</w:t>
      </w:r>
      <w:r w:rsidRPr="00121A6A">
        <w:rPr>
          <w:sz w:val="24"/>
          <w:szCs w:val="24"/>
        </w:rPr>
        <w:t xml:space="preserve"> in zekere zin kunnen worden gelijkgesteld met nationaal procesrecht</w:t>
      </w:r>
      <w:r w:rsidR="00C3756A">
        <w:rPr>
          <w:sz w:val="24"/>
          <w:szCs w:val="24"/>
        </w:rPr>
        <w:t>.</w:t>
      </w:r>
      <w:r w:rsidRPr="00121A6A">
        <w:rPr>
          <w:sz w:val="24"/>
          <w:szCs w:val="24"/>
        </w:rPr>
        <w:t xml:space="preserve"> </w:t>
      </w:r>
      <w:r w:rsidR="00C3756A">
        <w:rPr>
          <w:sz w:val="24"/>
          <w:szCs w:val="24"/>
        </w:rPr>
        <w:t>N</w:t>
      </w:r>
      <w:r w:rsidRPr="00121A6A">
        <w:rPr>
          <w:sz w:val="24"/>
          <w:szCs w:val="24"/>
        </w:rPr>
        <w:t xml:space="preserve">et als in een procedure voor de nationale rechter kunnen materiële werknemersrechten door </w:t>
      </w:r>
      <w:r w:rsidR="0061227A">
        <w:rPr>
          <w:sz w:val="24"/>
          <w:szCs w:val="24"/>
        </w:rPr>
        <w:t xml:space="preserve">de </w:t>
      </w:r>
      <w:r w:rsidRPr="00121A6A">
        <w:rPr>
          <w:sz w:val="24"/>
          <w:szCs w:val="24"/>
        </w:rPr>
        <w:t>inzet van het stakingsmiddel effectief worden gehandhaafd, althans kunnen sociaaleconomische werknemersbelangen worden beschermd.</w:t>
      </w:r>
      <w:r w:rsidRPr="00121A6A">
        <w:rPr>
          <w:rStyle w:val="FootnoteReference"/>
          <w:sz w:val="24"/>
          <w:szCs w:val="24"/>
        </w:rPr>
        <w:footnoteReference w:id="237"/>
      </w:r>
      <w:r w:rsidRPr="00121A6A">
        <w:rPr>
          <w:sz w:val="24"/>
          <w:szCs w:val="24"/>
        </w:rPr>
        <w:t xml:space="preserve"> De Schutter noemt het collectieve actierecht dan ook met zoveel woorden een procedureel recht.</w:t>
      </w:r>
      <w:r w:rsidRPr="00121A6A">
        <w:rPr>
          <w:rStyle w:val="FootnoteReference"/>
          <w:sz w:val="24"/>
          <w:szCs w:val="24"/>
        </w:rPr>
        <w:footnoteReference w:id="238"/>
      </w:r>
      <w:r w:rsidRPr="00121A6A">
        <w:rPr>
          <w:sz w:val="24"/>
          <w:szCs w:val="24"/>
        </w:rPr>
        <w:t xml:space="preserve"> </w:t>
      </w:r>
      <w:r w:rsidR="000505FD">
        <w:rPr>
          <w:sz w:val="24"/>
          <w:szCs w:val="24"/>
        </w:rPr>
        <w:t>N</w:t>
      </w:r>
      <w:r w:rsidRPr="00121A6A">
        <w:rPr>
          <w:sz w:val="24"/>
          <w:szCs w:val="24"/>
        </w:rPr>
        <w:t>et zoals het procedurele recht van artikel 47 Hv,</w:t>
      </w:r>
      <w:r w:rsidRPr="00121A6A">
        <w:rPr>
          <w:rStyle w:val="FootnoteReference"/>
          <w:sz w:val="24"/>
          <w:szCs w:val="24"/>
        </w:rPr>
        <w:footnoteReference w:id="239"/>
      </w:r>
      <w:r w:rsidRPr="00121A6A">
        <w:rPr>
          <w:sz w:val="24"/>
          <w:szCs w:val="24"/>
        </w:rPr>
        <w:t xml:space="preserve"> </w:t>
      </w:r>
      <w:r w:rsidR="00511E7D">
        <w:rPr>
          <w:sz w:val="24"/>
          <w:szCs w:val="24"/>
        </w:rPr>
        <w:t>verschaft</w:t>
      </w:r>
      <w:r w:rsidR="000505FD">
        <w:rPr>
          <w:sz w:val="24"/>
          <w:szCs w:val="24"/>
        </w:rPr>
        <w:t xml:space="preserve"> artikel 28 Hv </w:t>
      </w:r>
      <w:r w:rsidRPr="00121A6A">
        <w:rPr>
          <w:sz w:val="24"/>
          <w:szCs w:val="24"/>
        </w:rPr>
        <w:t xml:space="preserve">een middel om een doel te bereiken. Precies dit (verschil) zou de stelling kunnen verdedigen dat het Handvest </w:t>
      </w:r>
      <w:r w:rsidR="00E76A02">
        <w:rPr>
          <w:sz w:val="24"/>
          <w:szCs w:val="24"/>
        </w:rPr>
        <w:t>met betrekking tot</w:t>
      </w:r>
      <w:r w:rsidR="0061227A" w:rsidRPr="00121A6A">
        <w:rPr>
          <w:sz w:val="24"/>
          <w:szCs w:val="24"/>
        </w:rPr>
        <w:t xml:space="preserve"> procedurele grondrechten </w:t>
      </w:r>
      <w:r w:rsidRPr="00121A6A">
        <w:rPr>
          <w:sz w:val="24"/>
          <w:szCs w:val="24"/>
        </w:rPr>
        <w:t xml:space="preserve">eerder, namelijk bij een indirecte(re) band met </w:t>
      </w:r>
      <w:r w:rsidR="0061227A">
        <w:rPr>
          <w:sz w:val="24"/>
          <w:szCs w:val="24"/>
        </w:rPr>
        <w:t xml:space="preserve">het </w:t>
      </w:r>
      <w:r w:rsidRPr="00121A6A">
        <w:rPr>
          <w:sz w:val="24"/>
          <w:szCs w:val="24"/>
        </w:rPr>
        <w:t xml:space="preserve">Unierecht, van toepassing </w:t>
      </w:r>
      <w:r w:rsidR="002D7DAC" w:rsidRPr="00121A6A">
        <w:rPr>
          <w:sz w:val="24"/>
          <w:szCs w:val="24"/>
        </w:rPr>
        <w:t xml:space="preserve">is of </w:t>
      </w:r>
      <w:r w:rsidRPr="00121A6A">
        <w:rPr>
          <w:sz w:val="24"/>
          <w:szCs w:val="24"/>
        </w:rPr>
        <w:t xml:space="preserve">zou moeten zijn. Procedurele rechten zijn immers algemener van aard en zijn nodig voor de verwezenlijking van materiële rechten en belangen – ook die (deels) worden gereguleerd door </w:t>
      </w:r>
      <w:r w:rsidR="0001087D" w:rsidRPr="00121A6A">
        <w:rPr>
          <w:sz w:val="24"/>
          <w:szCs w:val="24"/>
        </w:rPr>
        <w:t>het EU-recht</w:t>
      </w:r>
      <w:r w:rsidRPr="00121A6A">
        <w:rPr>
          <w:sz w:val="24"/>
          <w:szCs w:val="24"/>
        </w:rPr>
        <w:t>.</w:t>
      </w:r>
    </w:p>
    <w:p w14:paraId="5E963D44" w14:textId="662091ED" w:rsidR="0043706B" w:rsidRPr="00121A6A" w:rsidRDefault="0043706B" w:rsidP="0043706B">
      <w:pPr>
        <w:spacing w:after="0"/>
        <w:ind w:firstLine="708"/>
        <w:jc w:val="both"/>
        <w:rPr>
          <w:sz w:val="24"/>
          <w:szCs w:val="24"/>
        </w:rPr>
      </w:pPr>
      <w:r w:rsidRPr="00121A6A">
        <w:rPr>
          <w:sz w:val="24"/>
          <w:szCs w:val="24"/>
        </w:rPr>
        <w:t xml:space="preserve">Naar analogie van het </w:t>
      </w:r>
      <w:r w:rsidRPr="00121A6A">
        <w:rPr>
          <w:i/>
          <w:iCs/>
          <w:sz w:val="24"/>
          <w:szCs w:val="24"/>
        </w:rPr>
        <w:t>DEB</w:t>
      </w:r>
      <w:r w:rsidRPr="00121A6A">
        <w:rPr>
          <w:sz w:val="24"/>
          <w:szCs w:val="24"/>
        </w:rPr>
        <w:t>-arrest inzake de laagdrempelige toepasselijkheid van artikel 47 Hv</w:t>
      </w:r>
      <w:r w:rsidR="000B613C" w:rsidRPr="00121A6A">
        <w:rPr>
          <w:sz w:val="24"/>
          <w:szCs w:val="24"/>
        </w:rPr>
        <w:t>,</w:t>
      </w:r>
      <w:r w:rsidR="000B613C" w:rsidRPr="00121A6A">
        <w:rPr>
          <w:rStyle w:val="FootnoteReference"/>
          <w:sz w:val="24"/>
          <w:szCs w:val="24"/>
        </w:rPr>
        <w:footnoteReference w:id="240"/>
      </w:r>
      <w:r w:rsidRPr="00121A6A">
        <w:rPr>
          <w:sz w:val="24"/>
          <w:szCs w:val="24"/>
        </w:rPr>
        <w:t xml:space="preserve"> is dus verdedigbaar dat het stakingsrecht van artikel 28 Hv als handhavingsinstrument van in cao’s neergelegde </w:t>
      </w:r>
      <w:r w:rsidR="00060482" w:rsidRPr="00121A6A">
        <w:rPr>
          <w:sz w:val="24"/>
          <w:szCs w:val="24"/>
        </w:rPr>
        <w:t xml:space="preserve">aspecten van </w:t>
      </w:r>
      <w:r w:rsidRPr="00121A6A">
        <w:rPr>
          <w:sz w:val="24"/>
          <w:szCs w:val="24"/>
        </w:rPr>
        <w:t xml:space="preserve">materiële Unie(grond)rechten, zoals het recht op </w:t>
      </w:r>
      <w:r w:rsidR="00D54E15" w:rsidRPr="00121A6A">
        <w:rPr>
          <w:sz w:val="24"/>
          <w:szCs w:val="24"/>
        </w:rPr>
        <w:t>loondoorbetaling tijdens vakantie</w:t>
      </w:r>
      <w:r w:rsidR="00C1431B" w:rsidRPr="00121A6A">
        <w:rPr>
          <w:sz w:val="24"/>
          <w:szCs w:val="24"/>
        </w:rPr>
        <w:t xml:space="preserve"> of een billijk minimumloon</w:t>
      </w:r>
      <w:r w:rsidRPr="00121A6A">
        <w:rPr>
          <w:sz w:val="24"/>
          <w:szCs w:val="24"/>
        </w:rPr>
        <w:t xml:space="preserve">, voor wat zijn werkingssfeer </w:t>
      </w:r>
      <w:r w:rsidR="00D363E0" w:rsidRPr="00121A6A">
        <w:rPr>
          <w:sz w:val="24"/>
          <w:szCs w:val="24"/>
        </w:rPr>
        <w:t xml:space="preserve">betreft </w:t>
      </w:r>
      <w:r w:rsidRPr="00121A6A">
        <w:rPr>
          <w:sz w:val="24"/>
          <w:szCs w:val="24"/>
        </w:rPr>
        <w:t xml:space="preserve">anders </w:t>
      </w:r>
      <w:r w:rsidR="00C3756A">
        <w:rPr>
          <w:sz w:val="24"/>
          <w:szCs w:val="24"/>
        </w:rPr>
        <w:t xml:space="preserve">zou </w:t>
      </w:r>
      <w:r w:rsidR="00333E4B" w:rsidRPr="00121A6A">
        <w:rPr>
          <w:sz w:val="24"/>
          <w:szCs w:val="24"/>
        </w:rPr>
        <w:t>moet</w:t>
      </w:r>
      <w:r w:rsidR="00C3756A">
        <w:rPr>
          <w:sz w:val="24"/>
          <w:szCs w:val="24"/>
        </w:rPr>
        <w:t>en</w:t>
      </w:r>
      <w:r w:rsidRPr="00121A6A">
        <w:rPr>
          <w:sz w:val="24"/>
          <w:szCs w:val="24"/>
        </w:rPr>
        <w:t xml:space="preserve"> worden behandeld dan deze materiële Unie(grond)rechten zelf. Indien en voor zover </w:t>
      </w:r>
      <w:r w:rsidR="00B25117" w:rsidRPr="00121A6A">
        <w:rPr>
          <w:sz w:val="24"/>
          <w:szCs w:val="24"/>
        </w:rPr>
        <w:t>Unierechtelijke arbeidsrechten</w:t>
      </w:r>
      <w:r w:rsidRPr="00121A6A">
        <w:rPr>
          <w:sz w:val="24"/>
          <w:szCs w:val="24"/>
        </w:rPr>
        <w:t xml:space="preserve">, althans werknemersbelangen die </w:t>
      </w:r>
      <w:r w:rsidR="00AB1E9E" w:rsidRPr="00121A6A">
        <w:rPr>
          <w:sz w:val="24"/>
          <w:szCs w:val="24"/>
        </w:rPr>
        <w:t xml:space="preserve">daarmee </w:t>
      </w:r>
      <w:r w:rsidRPr="00121A6A">
        <w:rPr>
          <w:sz w:val="24"/>
          <w:szCs w:val="24"/>
        </w:rPr>
        <w:t xml:space="preserve">verband houden, worden geëffectueerd middels het voeren van collectieve actie, zou het Handvest van toepassing moeten zijn. </w:t>
      </w:r>
      <w:bookmarkStart w:id="86" w:name="_Hlk163651065"/>
      <w:r w:rsidRPr="00121A6A">
        <w:rPr>
          <w:sz w:val="24"/>
          <w:szCs w:val="24"/>
        </w:rPr>
        <w:t xml:space="preserve">Tégen deze redenering kan echter worden ingebracht dat </w:t>
      </w:r>
      <w:r w:rsidR="0061227A" w:rsidRPr="00121A6A">
        <w:rPr>
          <w:sz w:val="24"/>
          <w:szCs w:val="24"/>
        </w:rPr>
        <w:t xml:space="preserve">materiële Unierechten </w:t>
      </w:r>
      <w:r w:rsidRPr="00121A6A">
        <w:rPr>
          <w:sz w:val="24"/>
          <w:szCs w:val="24"/>
        </w:rPr>
        <w:t>met betrekking tot artikel 47 Hv daadwerkelijk in het geding (kunnen) zijn</w:t>
      </w:r>
      <w:r w:rsidR="00C3756A">
        <w:rPr>
          <w:sz w:val="24"/>
          <w:szCs w:val="24"/>
        </w:rPr>
        <w:t>.</w:t>
      </w:r>
      <w:r w:rsidR="0061227A">
        <w:rPr>
          <w:sz w:val="24"/>
          <w:szCs w:val="24"/>
        </w:rPr>
        <w:t xml:space="preserve"> </w:t>
      </w:r>
      <w:r w:rsidR="00C3756A">
        <w:rPr>
          <w:sz w:val="24"/>
          <w:szCs w:val="24"/>
        </w:rPr>
        <w:t>A</w:t>
      </w:r>
      <w:r w:rsidRPr="00121A6A">
        <w:rPr>
          <w:sz w:val="24"/>
          <w:szCs w:val="24"/>
        </w:rPr>
        <w:t xml:space="preserve">rtikel 47 Hv </w:t>
      </w:r>
      <w:r w:rsidR="0061227A">
        <w:rPr>
          <w:sz w:val="24"/>
          <w:szCs w:val="24"/>
        </w:rPr>
        <w:t xml:space="preserve">is </w:t>
      </w:r>
      <w:r w:rsidRPr="00121A6A">
        <w:rPr>
          <w:sz w:val="24"/>
          <w:szCs w:val="24"/>
        </w:rPr>
        <w:t xml:space="preserve">juist erop gericht de effectieve uitoefening van </w:t>
      </w:r>
      <w:r w:rsidR="00954619" w:rsidRPr="00121A6A">
        <w:rPr>
          <w:sz w:val="24"/>
          <w:szCs w:val="24"/>
        </w:rPr>
        <w:t>materiële</w:t>
      </w:r>
      <w:r w:rsidRPr="00121A6A">
        <w:rPr>
          <w:sz w:val="24"/>
          <w:szCs w:val="24"/>
        </w:rPr>
        <w:t xml:space="preserve"> </w:t>
      </w:r>
      <w:r w:rsidR="00954619" w:rsidRPr="00121A6A">
        <w:rPr>
          <w:sz w:val="24"/>
          <w:szCs w:val="24"/>
        </w:rPr>
        <w:t>Unie</w:t>
      </w:r>
      <w:r w:rsidRPr="00121A6A">
        <w:rPr>
          <w:sz w:val="24"/>
          <w:szCs w:val="24"/>
        </w:rPr>
        <w:t xml:space="preserve">rechten te garanderen. </w:t>
      </w:r>
      <w:bookmarkEnd w:id="86"/>
      <w:r w:rsidRPr="00121A6A">
        <w:rPr>
          <w:sz w:val="24"/>
          <w:szCs w:val="24"/>
        </w:rPr>
        <w:t>D</w:t>
      </w:r>
      <w:r w:rsidR="005E7F26">
        <w:rPr>
          <w:sz w:val="24"/>
          <w:szCs w:val="24"/>
        </w:rPr>
        <w:t>i</w:t>
      </w:r>
      <w:r w:rsidRPr="00121A6A">
        <w:rPr>
          <w:sz w:val="24"/>
          <w:szCs w:val="24"/>
        </w:rPr>
        <w:t xml:space="preserve">t is anders bij het stakingsrecht, dat </w:t>
      </w:r>
      <w:r w:rsidR="005E7F26">
        <w:rPr>
          <w:sz w:val="24"/>
          <w:szCs w:val="24"/>
        </w:rPr>
        <w:t>‘</w:t>
      </w:r>
      <w:r w:rsidRPr="00121A6A">
        <w:rPr>
          <w:sz w:val="24"/>
          <w:szCs w:val="24"/>
        </w:rPr>
        <w:t>slechts</w:t>
      </w:r>
      <w:r w:rsidR="005E7F26">
        <w:rPr>
          <w:sz w:val="24"/>
          <w:szCs w:val="24"/>
        </w:rPr>
        <w:t>’</w:t>
      </w:r>
      <w:r w:rsidRPr="00121A6A">
        <w:rPr>
          <w:sz w:val="24"/>
          <w:szCs w:val="24"/>
        </w:rPr>
        <w:t xml:space="preserve"> betrekking </w:t>
      </w:r>
      <w:r w:rsidR="00C1431B" w:rsidRPr="00121A6A">
        <w:rPr>
          <w:sz w:val="24"/>
          <w:szCs w:val="24"/>
        </w:rPr>
        <w:t>heeft</w:t>
      </w:r>
      <w:r w:rsidRPr="00121A6A">
        <w:rPr>
          <w:sz w:val="24"/>
          <w:szCs w:val="24"/>
        </w:rPr>
        <w:t xml:space="preserve"> op een </w:t>
      </w:r>
      <w:r w:rsidRPr="00121A6A">
        <w:rPr>
          <w:i/>
          <w:iCs/>
          <w:sz w:val="24"/>
          <w:szCs w:val="24"/>
        </w:rPr>
        <w:t>belangen</w:t>
      </w:r>
      <w:r w:rsidRPr="00121A6A">
        <w:rPr>
          <w:sz w:val="24"/>
          <w:szCs w:val="24"/>
        </w:rPr>
        <w:t>conflict</w:t>
      </w:r>
      <w:r w:rsidR="0061227A">
        <w:rPr>
          <w:sz w:val="24"/>
          <w:szCs w:val="24"/>
        </w:rPr>
        <w:t>.</w:t>
      </w:r>
      <w:r w:rsidR="00C1431B" w:rsidRPr="00121A6A">
        <w:rPr>
          <w:sz w:val="24"/>
          <w:szCs w:val="24"/>
        </w:rPr>
        <w:t xml:space="preserve"> </w:t>
      </w:r>
      <w:r w:rsidR="0061227A">
        <w:rPr>
          <w:sz w:val="24"/>
          <w:szCs w:val="24"/>
        </w:rPr>
        <w:t>D</w:t>
      </w:r>
      <w:r w:rsidRPr="00121A6A">
        <w:rPr>
          <w:sz w:val="24"/>
          <w:szCs w:val="24"/>
        </w:rPr>
        <w:t xml:space="preserve">e noodzaak om </w:t>
      </w:r>
      <w:r w:rsidR="00F11E37" w:rsidRPr="00121A6A">
        <w:rPr>
          <w:sz w:val="24"/>
          <w:szCs w:val="24"/>
        </w:rPr>
        <w:t xml:space="preserve">een </w:t>
      </w:r>
      <w:r w:rsidR="00FE4F2C" w:rsidRPr="00121A6A">
        <w:rPr>
          <w:sz w:val="24"/>
          <w:szCs w:val="24"/>
        </w:rPr>
        <w:t xml:space="preserve">staking </w:t>
      </w:r>
      <w:r w:rsidRPr="00121A6A">
        <w:rPr>
          <w:sz w:val="24"/>
          <w:szCs w:val="24"/>
        </w:rPr>
        <w:t>binnen de werkingssfeer van het Handvest te trekken</w:t>
      </w:r>
      <w:r w:rsidR="00C3756A">
        <w:rPr>
          <w:sz w:val="24"/>
          <w:szCs w:val="24"/>
        </w:rPr>
        <w:t>,</w:t>
      </w:r>
      <w:r w:rsidRPr="00121A6A">
        <w:rPr>
          <w:sz w:val="24"/>
          <w:szCs w:val="24"/>
        </w:rPr>
        <w:t xml:space="preserve"> </w:t>
      </w:r>
      <w:r w:rsidR="0061227A">
        <w:rPr>
          <w:sz w:val="24"/>
          <w:szCs w:val="24"/>
        </w:rPr>
        <w:t xml:space="preserve">is </w:t>
      </w:r>
      <w:r w:rsidR="002A5A39" w:rsidRPr="00121A6A">
        <w:rPr>
          <w:sz w:val="24"/>
          <w:szCs w:val="24"/>
        </w:rPr>
        <w:t xml:space="preserve">daardoor </w:t>
      </w:r>
      <w:r w:rsidRPr="00121A6A">
        <w:rPr>
          <w:sz w:val="24"/>
          <w:szCs w:val="24"/>
        </w:rPr>
        <w:t xml:space="preserve">significant minder. Daar komt de hiervoor besproken bevoegdheidsproblematiek rondom </w:t>
      </w:r>
      <w:r w:rsidR="0061227A">
        <w:rPr>
          <w:sz w:val="24"/>
          <w:szCs w:val="24"/>
        </w:rPr>
        <w:t xml:space="preserve">de </w:t>
      </w:r>
      <w:r w:rsidRPr="00121A6A">
        <w:rPr>
          <w:sz w:val="24"/>
          <w:szCs w:val="24"/>
        </w:rPr>
        <w:t>regulering van het stakingsrecht door de Unie nog bij. Al met al lijken mij</w:t>
      </w:r>
      <w:r w:rsidR="0075196E" w:rsidRPr="00121A6A">
        <w:rPr>
          <w:sz w:val="24"/>
          <w:szCs w:val="24"/>
        </w:rPr>
        <w:t xml:space="preserve"> </w:t>
      </w:r>
      <w:r w:rsidRPr="00121A6A">
        <w:rPr>
          <w:sz w:val="24"/>
          <w:szCs w:val="24"/>
        </w:rPr>
        <w:t xml:space="preserve">de kansen voor het direct </w:t>
      </w:r>
      <w:r w:rsidR="00C3756A">
        <w:rPr>
          <w:sz w:val="24"/>
          <w:szCs w:val="24"/>
        </w:rPr>
        <w:t xml:space="preserve">kunnen </w:t>
      </w:r>
      <w:r w:rsidRPr="00121A6A">
        <w:rPr>
          <w:sz w:val="24"/>
          <w:szCs w:val="24"/>
        </w:rPr>
        <w:t>toepassen van artikel 28 Hv</w:t>
      </w:r>
      <w:r w:rsidR="003924C3" w:rsidRPr="00121A6A">
        <w:rPr>
          <w:sz w:val="24"/>
          <w:szCs w:val="24"/>
        </w:rPr>
        <w:t xml:space="preserve"> bij een link tussen het onderwerp van het stakingsgeschil en een EU-richtlijn</w:t>
      </w:r>
      <w:r w:rsidR="00F10986" w:rsidRPr="00121A6A">
        <w:rPr>
          <w:sz w:val="24"/>
          <w:szCs w:val="24"/>
        </w:rPr>
        <w:t xml:space="preserve"> daarom</w:t>
      </w:r>
      <w:r w:rsidR="002816B2" w:rsidRPr="00121A6A">
        <w:rPr>
          <w:sz w:val="24"/>
          <w:szCs w:val="24"/>
        </w:rPr>
        <w:t xml:space="preserve"> </w:t>
      </w:r>
      <w:r w:rsidRPr="00121A6A">
        <w:rPr>
          <w:sz w:val="24"/>
          <w:szCs w:val="24"/>
        </w:rPr>
        <w:t>klein.</w:t>
      </w:r>
      <w:bookmarkEnd w:id="84"/>
    </w:p>
    <w:p w14:paraId="006FD805" w14:textId="0224391A" w:rsidR="00F40DF0" w:rsidRPr="00121A6A" w:rsidRDefault="00F40DF0" w:rsidP="00783D78">
      <w:pPr>
        <w:spacing w:after="0"/>
        <w:jc w:val="both"/>
        <w:rPr>
          <w:sz w:val="24"/>
          <w:szCs w:val="24"/>
        </w:rPr>
      </w:pPr>
    </w:p>
    <w:p w14:paraId="708DC2DD" w14:textId="51A3A7EC" w:rsidR="0007610C" w:rsidRPr="00121A6A" w:rsidRDefault="0007610C" w:rsidP="00783D78">
      <w:pPr>
        <w:pStyle w:val="Heading2"/>
        <w:rPr>
          <w:sz w:val="24"/>
          <w:szCs w:val="24"/>
        </w:rPr>
      </w:pPr>
      <w:bookmarkStart w:id="87" w:name="_Toc169963078"/>
      <w:r w:rsidRPr="00121A6A">
        <w:rPr>
          <w:sz w:val="24"/>
          <w:szCs w:val="24"/>
        </w:rPr>
        <w:t xml:space="preserve">4.3 </w:t>
      </w:r>
      <w:r w:rsidR="00DF5CF6">
        <w:rPr>
          <w:sz w:val="24"/>
          <w:szCs w:val="24"/>
        </w:rPr>
        <w:t>Rechtstreekse</w:t>
      </w:r>
      <w:r w:rsidR="00783D78" w:rsidRPr="00121A6A">
        <w:rPr>
          <w:sz w:val="24"/>
          <w:szCs w:val="24"/>
        </w:rPr>
        <w:t xml:space="preserve"> werking </w:t>
      </w:r>
      <w:r w:rsidR="00F50AC1">
        <w:rPr>
          <w:sz w:val="24"/>
          <w:szCs w:val="24"/>
        </w:rPr>
        <w:t xml:space="preserve">van </w:t>
      </w:r>
      <w:r w:rsidR="00783D78" w:rsidRPr="00121A6A">
        <w:rPr>
          <w:sz w:val="24"/>
          <w:szCs w:val="24"/>
        </w:rPr>
        <w:t>artikel 28 Hv in de context van het vrij verkeer</w:t>
      </w:r>
      <w:bookmarkEnd w:id="87"/>
    </w:p>
    <w:p w14:paraId="03942FBC" w14:textId="77777777" w:rsidR="00673B81" w:rsidRDefault="005C7FEA" w:rsidP="00D56751">
      <w:pPr>
        <w:spacing w:after="0"/>
        <w:jc w:val="both"/>
        <w:rPr>
          <w:sz w:val="24"/>
          <w:szCs w:val="24"/>
        </w:rPr>
      </w:pPr>
      <w:r w:rsidRPr="00121A6A">
        <w:rPr>
          <w:sz w:val="24"/>
          <w:szCs w:val="24"/>
        </w:rPr>
        <w:t>D</w:t>
      </w:r>
      <w:r w:rsidR="00964467" w:rsidRPr="00121A6A">
        <w:rPr>
          <w:sz w:val="24"/>
          <w:szCs w:val="24"/>
        </w:rPr>
        <w:t>e vraag</w:t>
      </w:r>
      <w:r w:rsidR="00723A6C">
        <w:rPr>
          <w:sz w:val="24"/>
          <w:szCs w:val="24"/>
        </w:rPr>
        <w:t xml:space="preserve"> is</w:t>
      </w:r>
      <w:r w:rsidR="00964467" w:rsidRPr="00121A6A">
        <w:rPr>
          <w:sz w:val="24"/>
          <w:szCs w:val="24"/>
        </w:rPr>
        <w:t xml:space="preserve"> </w:t>
      </w:r>
      <w:r w:rsidR="009B0364" w:rsidRPr="00121A6A">
        <w:rPr>
          <w:sz w:val="24"/>
          <w:szCs w:val="24"/>
        </w:rPr>
        <w:t>of horizontale directe werking van artikel 28 Hv in de context van het vrij verkeer meer kan</w:t>
      </w:r>
      <w:r w:rsidR="00DA514C" w:rsidRPr="00121A6A">
        <w:rPr>
          <w:sz w:val="24"/>
          <w:szCs w:val="24"/>
        </w:rPr>
        <w:t>s</w:t>
      </w:r>
      <w:r w:rsidR="009B0364" w:rsidRPr="00121A6A">
        <w:rPr>
          <w:sz w:val="24"/>
          <w:szCs w:val="24"/>
        </w:rPr>
        <w:t xml:space="preserve"> op succes heeft</w:t>
      </w:r>
      <w:r w:rsidR="00723A6C">
        <w:rPr>
          <w:sz w:val="24"/>
          <w:szCs w:val="24"/>
        </w:rPr>
        <w:t xml:space="preserve">. Dit punt </w:t>
      </w:r>
      <w:r w:rsidR="00AD6C0E" w:rsidRPr="00121A6A">
        <w:rPr>
          <w:sz w:val="24"/>
          <w:szCs w:val="24"/>
        </w:rPr>
        <w:t>is relevant</w:t>
      </w:r>
      <w:r w:rsidR="00723A6C">
        <w:rPr>
          <w:sz w:val="24"/>
          <w:szCs w:val="24"/>
        </w:rPr>
        <w:t>,</w:t>
      </w:r>
      <w:r w:rsidR="00AD6C0E" w:rsidRPr="00121A6A">
        <w:rPr>
          <w:sz w:val="24"/>
          <w:szCs w:val="24"/>
        </w:rPr>
        <w:t xml:space="preserve"> om</w:t>
      </w:r>
      <w:r w:rsidR="00757BAD" w:rsidRPr="00121A6A">
        <w:rPr>
          <w:sz w:val="24"/>
          <w:szCs w:val="24"/>
        </w:rPr>
        <w:t>dat in</w:t>
      </w:r>
      <w:r w:rsidR="00AD6C0E" w:rsidRPr="00121A6A">
        <w:rPr>
          <w:sz w:val="24"/>
          <w:szCs w:val="24"/>
        </w:rPr>
        <w:t xml:space="preserve"> </w:t>
      </w:r>
      <w:r w:rsidR="00AD6C0E" w:rsidRPr="00121A6A">
        <w:rPr>
          <w:i/>
          <w:iCs/>
          <w:sz w:val="24"/>
          <w:szCs w:val="24"/>
        </w:rPr>
        <w:t>Viking</w:t>
      </w:r>
      <w:r w:rsidR="00AD6C0E" w:rsidRPr="00121A6A">
        <w:rPr>
          <w:sz w:val="24"/>
          <w:szCs w:val="24"/>
        </w:rPr>
        <w:t xml:space="preserve"> </w:t>
      </w:r>
      <w:r w:rsidR="00757BAD" w:rsidRPr="00121A6A">
        <w:rPr>
          <w:sz w:val="24"/>
          <w:szCs w:val="24"/>
        </w:rPr>
        <w:t>sprake was van een asymmetrische afweging. Enerzijds</w:t>
      </w:r>
      <w:r w:rsidR="00AD6C0E" w:rsidRPr="00121A6A">
        <w:rPr>
          <w:sz w:val="24"/>
          <w:szCs w:val="24"/>
        </w:rPr>
        <w:t xml:space="preserve"> aanvaardde het Hof zuiver horizontale </w:t>
      </w:r>
      <w:r w:rsidR="00D570CF">
        <w:rPr>
          <w:sz w:val="24"/>
          <w:szCs w:val="24"/>
        </w:rPr>
        <w:t>directe</w:t>
      </w:r>
      <w:r w:rsidR="00D570CF" w:rsidRPr="00121A6A">
        <w:rPr>
          <w:sz w:val="24"/>
          <w:szCs w:val="24"/>
        </w:rPr>
        <w:t xml:space="preserve"> </w:t>
      </w:r>
      <w:r w:rsidR="00AD6C0E" w:rsidRPr="00121A6A">
        <w:rPr>
          <w:sz w:val="24"/>
          <w:szCs w:val="24"/>
        </w:rPr>
        <w:t xml:space="preserve">werking van de </w:t>
      </w:r>
      <w:r w:rsidR="000B6F74" w:rsidRPr="00121A6A">
        <w:rPr>
          <w:sz w:val="24"/>
          <w:szCs w:val="24"/>
        </w:rPr>
        <w:lastRenderedPageBreak/>
        <w:t>vestigingsvrijheid</w:t>
      </w:r>
      <w:r w:rsidR="002B1C52">
        <w:rPr>
          <w:sz w:val="24"/>
          <w:szCs w:val="24"/>
        </w:rPr>
        <w:t>.</w:t>
      </w:r>
      <w:r w:rsidR="00AD6C0E" w:rsidRPr="00121A6A">
        <w:rPr>
          <w:sz w:val="24"/>
          <w:szCs w:val="24"/>
        </w:rPr>
        <w:t xml:space="preserve"> </w:t>
      </w:r>
      <w:r w:rsidR="002B1C52">
        <w:rPr>
          <w:sz w:val="24"/>
          <w:szCs w:val="24"/>
        </w:rPr>
        <w:t>I</w:t>
      </w:r>
      <w:r w:rsidR="00AD6C0E" w:rsidRPr="00121A6A">
        <w:rPr>
          <w:sz w:val="24"/>
          <w:szCs w:val="24"/>
        </w:rPr>
        <w:t>n weerwil van het feit dat de verdragsvrijheden in principe zijn gericht tot lidstaten en niet tot particulieren,</w:t>
      </w:r>
      <w:r w:rsidR="00AD6C0E" w:rsidRPr="00121A6A">
        <w:rPr>
          <w:rStyle w:val="FootnoteReference"/>
          <w:sz w:val="24"/>
          <w:szCs w:val="24"/>
        </w:rPr>
        <w:footnoteReference w:id="241"/>
      </w:r>
      <w:r w:rsidR="00AD6C0E" w:rsidRPr="00121A6A">
        <w:rPr>
          <w:sz w:val="24"/>
          <w:szCs w:val="24"/>
        </w:rPr>
        <w:t xml:space="preserve"> kon </w:t>
      </w:r>
      <w:r w:rsidR="00AD6C0E" w:rsidRPr="00121A6A">
        <w:rPr>
          <w:i/>
          <w:iCs/>
          <w:sz w:val="24"/>
          <w:szCs w:val="24"/>
        </w:rPr>
        <w:t>Viking</w:t>
      </w:r>
      <w:r w:rsidR="00AD6C0E" w:rsidRPr="00121A6A">
        <w:rPr>
          <w:sz w:val="24"/>
          <w:szCs w:val="24"/>
        </w:rPr>
        <w:t xml:space="preserve"> artikel 49 VwEU</w:t>
      </w:r>
      <w:r w:rsidR="00E94C51" w:rsidRPr="00121A6A">
        <w:rPr>
          <w:sz w:val="24"/>
          <w:szCs w:val="24"/>
        </w:rPr>
        <w:t xml:space="preserve"> in rechte inroepen</w:t>
      </w:r>
      <w:r w:rsidR="00AD6C0E" w:rsidRPr="00121A6A">
        <w:rPr>
          <w:sz w:val="24"/>
          <w:szCs w:val="24"/>
        </w:rPr>
        <w:t xml:space="preserve"> teneinde </w:t>
      </w:r>
      <w:r w:rsidR="00364817" w:rsidRPr="00430192">
        <w:rPr>
          <w:i/>
          <w:iCs/>
          <w:sz w:val="24"/>
          <w:szCs w:val="24"/>
        </w:rPr>
        <w:t>direct</w:t>
      </w:r>
      <w:r w:rsidR="00AD6C0E" w:rsidRPr="00121A6A">
        <w:rPr>
          <w:sz w:val="24"/>
          <w:szCs w:val="24"/>
        </w:rPr>
        <w:t xml:space="preserve"> </w:t>
      </w:r>
      <w:r w:rsidR="00364817" w:rsidRPr="00121A6A">
        <w:rPr>
          <w:sz w:val="24"/>
          <w:szCs w:val="24"/>
        </w:rPr>
        <w:t xml:space="preserve">– </w:t>
      </w:r>
      <w:r w:rsidR="00AD6C0E" w:rsidRPr="00121A6A">
        <w:rPr>
          <w:sz w:val="24"/>
          <w:szCs w:val="24"/>
        </w:rPr>
        <w:t xml:space="preserve">dus niet </w:t>
      </w:r>
      <w:r w:rsidR="00AD6C0E" w:rsidRPr="00430192">
        <w:rPr>
          <w:i/>
          <w:iCs/>
          <w:sz w:val="24"/>
          <w:szCs w:val="24"/>
        </w:rPr>
        <w:t>indirect</w:t>
      </w:r>
      <w:r w:rsidR="00AD6C0E" w:rsidRPr="00121A6A">
        <w:rPr>
          <w:sz w:val="24"/>
          <w:szCs w:val="24"/>
        </w:rPr>
        <w:t xml:space="preserve"> via toetsing van het nationale (</w:t>
      </w:r>
      <w:proofErr w:type="spellStart"/>
      <w:r w:rsidR="00AD6C0E" w:rsidRPr="00121A6A">
        <w:rPr>
          <w:sz w:val="24"/>
          <w:szCs w:val="24"/>
        </w:rPr>
        <w:t>stakings</w:t>
      </w:r>
      <w:proofErr w:type="spellEnd"/>
      <w:r w:rsidR="00AD6C0E" w:rsidRPr="00121A6A">
        <w:rPr>
          <w:sz w:val="24"/>
          <w:szCs w:val="24"/>
        </w:rPr>
        <w:t>)recht</w:t>
      </w:r>
      <w:r w:rsidR="001F0943" w:rsidRPr="00121A6A">
        <w:rPr>
          <w:rStyle w:val="FootnoteReference"/>
          <w:sz w:val="24"/>
          <w:szCs w:val="24"/>
        </w:rPr>
        <w:footnoteReference w:id="242"/>
      </w:r>
      <w:r w:rsidR="00364817" w:rsidRPr="00121A6A">
        <w:rPr>
          <w:sz w:val="24"/>
          <w:szCs w:val="24"/>
        </w:rPr>
        <w:t xml:space="preserve"> –</w:t>
      </w:r>
      <w:r w:rsidR="001F0943" w:rsidRPr="00121A6A">
        <w:rPr>
          <w:sz w:val="24"/>
          <w:szCs w:val="24"/>
        </w:rPr>
        <w:t xml:space="preserve"> </w:t>
      </w:r>
      <w:r w:rsidR="00AD6C0E" w:rsidRPr="00121A6A">
        <w:rPr>
          <w:sz w:val="24"/>
          <w:szCs w:val="24"/>
        </w:rPr>
        <w:t xml:space="preserve">de rechtmatigheid van </w:t>
      </w:r>
      <w:r w:rsidR="00C75B2D" w:rsidRPr="00121A6A">
        <w:rPr>
          <w:sz w:val="24"/>
          <w:szCs w:val="24"/>
        </w:rPr>
        <w:t>de</w:t>
      </w:r>
      <w:r w:rsidR="00AD6C0E" w:rsidRPr="00121A6A">
        <w:rPr>
          <w:sz w:val="24"/>
          <w:szCs w:val="24"/>
        </w:rPr>
        <w:t xml:space="preserve"> door de </w:t>
      </w:r>
      <w:r w:rsidR="00C75B2D" w:rsidRPr="00121A6A">
        <w:rPr>
          <w:sz w:val="24"/>
          <w:szCs w:val="24"/>
        </w:rPr>
        <w:t>vakbond</w:t>
      </w:r>
      <w:r w:rsidR="00AD6C0E" w:rsidRPr="00121A6A">
        <w:rPr>
          <w:sz w:val="24"/>
          <w:szCs w:val="24"/>
        </w:rPr>
        <w:t xml:space="preserve"> geïnitieerde staking </w:t>
      </w:r>
      <w:r w:rsidR="000B6F74" w:rsidRPr="00121A6A">
        <w:rPr>
          <w:sz w:val="24"/>
          <w:szCs w:val="24"/>
        </w:rPr>
        <w:t xml:space="preserve">(particulier handelen) </w:t>
      </w:r>
      <w:r w:rsidR="00AD6C0E" w:rsidRPr="00121A6A">
        <w:rPr>
          <w:sz w:val="24"/>
          <w:szCs w:val="24"/>
        </w:rPr>
        <w:t>aan te vechten.</w:t>
      </w:r>
      <w:r w:rsidR="00AD6C0E" w:rsidRPr="00121A6A">
        <w:rPr>
          <w:rStyle w:val="FootnoteReference"/>
          <w:sz w:val="24"/>
          <w:szCs w:val="24"/>
        </w:rPr>
        <w:footnoteReference w:id="243"/>
      </w:r>
      <w:r w:rsidR="00AD6C0E" w:rsidRPr="00121A6A">
        <w:rPr>
          <w:sz w:val="24"/>
          <w:szCs w:val="24"/>
        </w:rPr>
        <w:t xml:space="preserve"> Tegelijkertijd kon de vakbond ter verweer </w:t>
      </w:r>
      <w:r w:rsidR="00FB33A8" w:rsidRPr="00121A6A">
        <w:rPr>
          <w:sz w:val="24"/>
          <w:szCs w:val="24"/>
        </w:rPr>
        <w:t>of</w:t>
      </w:r>
      <w:r w:rsidR="00074B16">
        <w:rPr>
          <w:sz w:val="24"/>
          <w:szCs w:val="24"/>
        </w:rPr>
        <w:t>, nog</w:t>
      </w:r>
      <w:r w:rsidR="00FB33A8" w:rsidRPr="00121A6A">
        <w:rPr>
          <w:sz w:val="24"/>
          <w:szCs w:val="24"/>
        </w:rPr>
        <w:t xml:space="preserve"> beter</w:t>
      </w:r>
      <w:r w:rsidR="00074B16">
        <w:rPr>
          <w:sz w:val="24"/>
          <w:szCs w:val="24"/>
        </w:rPr>
        <w:t>,</w:t>
      </w:r>
      <w:r w:rsidR="00FB33A8" w:rsidRPr="00121A6A">
        <w:rPr>
          <w:sz w:val="24"/>
          <w:szCs w:val="24"/>
        </w:rPr>
        <w:t xml:space="preserve"> in reconventie</w:t>
      </w:r>
      <w:r w:rsidR="00074B16">
        <w:rPr>
          <w:sz w:val="24"/>
          <w:szCs w:val="24"/>
        </w:rPr>
        <w:t>,</w:t>
      </w:r>
      <w:r w:rsidR="00FB33A8" w:rsidRPr="00121A6A">
        <w:rPr>
          <w:sz w:val="24"/>
          <w:szCs w:val="24"/>
        </w:rPr>
        <w:t xml:space="preserve"> </w:t>
      </w:r>
      <w:r w:rsidR="00463C0D">
        <w:rPr>
          <w:sz w:val="24"/>
          <w:szCs w:val="24"/>
        </w:rPr>
        <w:t xml:space="preserve">artikel 28 Hv </w:t>
      </w:r>
      <w:r w:rsidR="005438A6">
        <w:rPr>
          <w:sz w:val="24"/>
          <w:szCs w:val="24"/>
        </w:rPr>
        <w:t xml:space="preserve">niet </w:t>
      </w:r>
      <w:r w:rsidR="00AD6C0E" w:rsidRPr="00121A6A">
        <w:rPr>
          <w:sz w:val="24"/>
          <w:szCs w:val="24"/>
        </w:rPr>
        <w:t xml:space="preserve">als zelfstandige toetsingsmaatstaf </w:t>
      </w:r>
      <w:r w:rsidR="009148E9">
        <w:rPr>
          <w:sz w:val="24"/>
          <w:szCs w:val="24"/>
        </w:rPr>
        <w:t xml:space="preserve">inroepen teneinde </w:t>
      </w:r>
      <w:r w:rsidR="00D31A8B" w:rsidRPr="00121A6A">
        <w:rPr>
          <w:sz w:val="24"/>
          <w:szCs w:val="24"/>
        </w:rPr>
        <w:t xml:space="preserve">het privaatrechtelijk handelen van </w:t>
      </w:r>
      <w:r w:rsidR="00D31A8B" w:rsidRPr="00121A6A">
        <w:rPr>
          <w:i/>
          <w:iCs/>
          <w:sz w:val="24"/>
          <w:szCs w:val="24"/>
        </w:rPr>
        <w:t>Viking</w:t>
      </w:r>
      <w:r w:rsidR="00D31A8B" w:rsidRPr="00121A6A">
        <w:rPr>
          <w:sz w:val="24"/>
          <w:szCs w:val="24"/>
        </w:rPr>
        <w:t xml:space="preserve"> </w:t>
      </w:r>
      <w:r w:rsidR="00CA06C3" w:rsidRPr="00121A6A">
        <w:rPr>
          <w:sz w:val="24"/>
          <w:szCs w:val="24"/>
        </w:rPr>
        <w:t xml:space="preserve">(het door hem gevorderde stakingsverbod) </w:t>
      </w:r>
      <w:r w:rsidR="009148E9">
        <w:rPr>
          <w:sz w:val="24"/>
          <w:szCs w:val="24"/>
        </w:rPr>
        <w:t>te toetsen</w:t>
      </w:r>
      <w:r w:rsidR="00463C0D">
        <w:rPr>
          <w:sz w:val="24"/>
          <w:szCs w:val="24"/>
        </w:rPr>
        <w:t>.</w:t>
      </w:r>
      <w:r w:rsidR="00AD6C0E" w:rsidRPr="00121A6A">
        <w:rPr>
          <w:sz w:val="24"/>
          <w:szCs w:val="24"/>
        </w:rPr>
        <w:t xml:space="preserve"> </w:t>
      </w:r>
      <w:r w:rsidR="00463C0D">
        <w:rPr>
          <w:sz w:val="24"/>
          <w:szCs w:val="24"/>
        </w:rPr>
        <w:t xml:space="preserve">Het </w:t>
      </w:r>
      <w:r w:rsidR="00074B16">
        <w:rPr>
          <w:sz w:val="24"/>
          <w:szCs w:val="24"/>
        </w:rPr>
        <w:t>grondrecht op collectieve actie</w:t>
      </w:r>
      <w:r w:rsidR="00463C0D">
        <w:rPr>
          <w:sz w:val="24"/>
          <w:szCs w:val="24"/>
        </w:rPr>
        <w:t xml:space="preserve"> </w:t>
      </w:r>
      <w:r w:rsidR="00AD6C0E" w:rsidRPr="00121A6A">
        <w:rPr>
          <w:sz w:val="24"/>
          <w:szCs w:val="24"/>
        </w:rPr>
        <w:t>kon slechts</w:t>
      </w:r>
      <w:r w:rsidR="00D61848" w:rsidRPr="00121A6A">
        <w:rPr>
          <w:sz w:val="24"/>
          <w:szCs w:val="24"/>
        </w:rPr>
        <w:t>,</w:t>
      </w:r>
      <w:r w:rsidR="00CA06C3" w:rsidRPr="00121A6A">
        <w:rPr>
          <w:sz w:val="24"/>
          <w:szCs w:val="24"/>
        </w:rPr>
        <w:t xml:space="preserve"> </w:t>
      </w:r>
      <w:r w:rsidR="00AD6C0E" w:rsidRPr="00121A6A">
        <w:rPr>
          <w:sz w:val="24"/>
          <w:szCs w:val="24"/>
        </w:rPr>
        <w:t>in de vorm van werknemersbescherming</w:t>
      </w:r>
      <w:r w:rsidR="00D61848" w:rsidRPr="00121A6A">
        <w:rPr>
          <w:sz w:val="24"/>
          <w:szCs w:val="24"/>
        </w:rPr>
        <w:t>,</w:t>
      </w:r>
      <w:r w:rsidR="00AD6C0E" w:rsidRPr="00121A6A">
        <w:rPr>
          <w:rStyle w:val="FootnoteReference"/>
          <w:sz w:val="24"/>
          <w:szCs w:val="24"/>
        </w:rPr>
        <w:footnoteReference w:id="244"/>
      </w:r>
      <w:r w:rsidR="00AD6C0E" w:rsidRPr="00121A6A">
        <w:rPr>
          <w:sz w:val="24"/>
          <w:szCs w:val="24"/>
        </w:rPr>
        <w:t xml:space="preserve"> als mogelijke rechtvaardiging</w:t>
      </w:r>
      <w:r w:rsidR="000B6F74" w:rsidRPr="00121A6A">
        <w:rPr>
          <w:sz w:val="24"/>
          <w:szCs w:val="24"/>
        </w:rPr>
        <w:t xml:space="preserve"> </w:t>
      </w:r>
      <w:r w:rsidR="00AD6C0E" w:rsidRPr="00121A6A">
        <w:rPr>
          <w:sz w:val="24"/>
          <w:szCs w:val="24"/>
        </w:rPr>
        <w:t xml:space="preserve">voor </w:t>
      </w:r>
      <w:r w:rsidR="00B1728F" w:rsidRPr="00121A6A">
        <w:rPr>
          <w:sz w:val="24"/>
          <w:szCs w:val="24"/>
        </w:rPr>
        <w:t>de</w:t>
      </w:r>
      <w:r w:rsidR="00AD6C0E" w:rsidRPr="00121A6A">
        <w:rPr>
          <w:sz w:val="24"/>
          <w:szCs w:val="24"/>
        </w:rPr>
        <w:t xml:space="preserve"> inbreuk op het vrij verkeer dienen. Daarmee </w:t>
      </w:r>
      <w:r w:rsidR="005438A6">
        <w:rPr>
          <w:sz w:val="24"/>
          <w:szCs w:val="24"/>
        </w:rPr>
        <w:t xml:space="preserve">werd dit grondrecht geheel ingepast in het interne marktkader en werd hieraan </w:t>
      </w:r>
      <w:r w:rsidR="00AD6C0E" w:rsidRPr="00121A6A">
        <w:rPr>
          <w:sz w:val="24"/>
          <w:szCs w:val="24"/>
        </w:rPr>
        <w:t>geen autono</w:t>
      </w:r>
      <w:r w:rsidR="005F2CDA" w:rsidRPr="00121A6A">
        <w:rPr>
          <w:sz w:val="24"/>
          <w:szCs w:val="24"/>
        </w:rPr>
        <w:t>me</w:t>
      </w:r>
      <w:r w:rsidR="00AD6C0E" w:rsidRPr="00121A6A">
        <w:rPr>
          <w:sz w:val="24"/>
          <w:szCs w:val="24"/>
        </w:rPr>
        <w:t>, substanti</w:t>
      </w:r>
      <w:r w:rsidR="005F2CDA" w:rsidRPr="00121A6A">
        <w:rPr>
          <w:sz w:val="24"/>
          <w:szCs w:val="24"/>
        </w:rPr>
        <w:t>ële inhoud</w:t>
      </w:r>
      <w:r w:rsidR="00AD6C0E" w:rsidRPr="00121A6A">
        <w:rPr>
          <w:sz w:val="24"/>
          <w:szCs w:val="24"/>
        </w:rPr>
        <w:t xml:space="preserve"> </w:t>
      </w:r>
      <w:r w:rsidR="005438A6">
        <w:rPr>
          <w:sz w:val="24"/>
          <w:szCs w:val="24"/>
        </w:rPr>
        <w:t xml:space="preserve">gegeven </w:t>
      </w:r>
      <w:r w:rsidR="00FD6376" w:rsidRPr="00121A6A">
        <w:rPr>
          <w:sz w:val="24"/>
          <w:szCs w:val="24"/>
        </w:rPr>
        <w:t>die</w:t>
      </w:r>
      <w:r w:rsidR="00AD6C0E" w:rsidRPr="00121A6A">
        <w:rPr>
          <w:sz w:val="24"/>
          <w:szCs w:val="24"/>
        </w:rPr>
        <w:t xml:space="preserve"> recht doet aan </w:t>
      </w:r>
      <w:r w:rsidR="009B6E4A">
        <w:rPr>
          <w:sz w:val="24"/>
          <w:szCs w:val="24"/>
        </w:rPr>
        <w:t>de</w:t>
      </w:r>
      <w:r w:rsidR="00AD6C0E" w:rsidRPr="00121A6A">
        <w:rPr>
          <w:sz w:val="24"/>
          <w:szCs w:val="24"/>
        </w:rPr>
        <w:t xml:space="preserve"> status als fundamenteel recht</w:t>
      </w:r>
      <w:r w:rsidR="00074B16">
        <w:rPr>
          <w:sz w:val="24"/>
          <w:szCs w:val="24"/>
        </w:rPr>
        <w:t xml:space="preserve">. </w:t>
      </w:r>
    </w:p>
    <w:p w14:paraId="35BC8740" w14:textId="090B2202" w:rsidR="00783D78" w:rsidRPr="00121A6A" w:rsidRDefault="00AD6C0E" w:rsidP="004B424C">
      <w:pPr>
        <w:spacing w:after="0"/>
        <w:ind w:firstLine="708"/>
        <w:jc w:val="both"/>
        <w:rPr>
          <w:sz w:val="24"/>
          <w:szCs w:val="24"/>
        </w:rPr>
      </w:pPr>
      <w:r w:rsidRPr="00121A6A">
        <w:rPr>
          <w:sz w:val="24"/>
          <w:szCs w:val="24"/>
        </w:rPr>
        <w:t xml:space="preserve">Dit zou anders kunnen zijn indien het Hof zuiver horizontale </w:t>
      </w:r>
      <w:r w:rsidR="00D570CF" w:rsidRPr="00121A6A">
        <w:rPr>
          <w:sz w:val="24"/>
          <w:szCs w:val="24"/>
        </w:rPr>
        <w:t xml:space="preserve">directe </w:t>
      </w:r>
      <w:r w:rsidRPr="00121A6A">
        <w:rPr>
          <w:sz w:val="24"/>
          <w:szCs w:val="24"/>
        </w:rPr>
        <w:t>werking van artikel 28 Hv zou aanvaarden</w:t>
      </w:r>
      <w:r w:rsidR="00CA06C3" w:rsidRPr="00121A6A">
        <w:rPr>
          <w:sz w:val="24"/>
          <w:szCs w:val="24"/>
        </w:rPr>
        <w:t>.</w:t>
      </w:r>
      <w:r w:rsidR="00B1728F" w:rsidRPr="00121A6A">
        <w:rPr>
          <w:rStyle w:val="FootnoteReference"/>
          <w:sz w:val="24"/>
          <w:szCs w:val="24"/>
        </w:rPr>
        <w:footnoteReference w:id="245"/>
      </w:r>
      <w:r w:rsidR="00CA06C3" w:rsidRPr="00121A6A">
        <w:rPr>
          <w:sz w:val="24"/>
          <w:szCs w:val="24"/>
        </w:rPr>
        <w:t xml:space="preserve"> Alsdan zou </w:t>
      </w:r>
      <w:r w:rsidRPr="00121A6A">
        <w:rPr>
          <w:sz w:val="24"/>
          <w:szCs w:val="24"/>
        </w:rPr>
        <w:t xml:space="preserve">artikel 28 Hv niet louter als legitiem doel </w:t>
      </w:r>
      <w:r w:rsidR="00251579" w:rsidRPr="00121A6A">
        <w:rPr>
          <w:sz w:val="24"/>
          <w:szCs w:val="24"/>
        </w:rPr>
        <w:t>fungeren</w:t>
      </w:r>
      <w:r w:rsidR="00364817" w:rsidRPr="00121A6A">
        <w:rPr>
          <w:sz w:val="24"/>
          <w:szCs w:val="24"/>
        </w:rPr>
        <w:t>,</w:t>
      </w:r>
      <w:r w:rsidR="00251579" w:rsidRPr="00121A6A">
        <w:rPr>
          <w:sz w:val="24"/>
          <w:szCs w:val="24"/>
        </w:rPr>
        <w:t xml:space="preserve"> </w:t>
      </w:r>
      <w:r w:rsidRPr="00121A6A">
        <w:rPr>
          <w:sz w:val="24"/>
          <w:szCs w:val="24"/>
        </w:rPr>
        <w:t>maar als autonome bron van subjectieve rechten</w:t>
      </w:r>
      <w:r w:rsidR="00251579" w:rsidRPr="00121A6A">
        <w:rPr>
          <w:sz w:val="24"/>
          <w:szCs w:val="24"/>
        </w:rPr>
        <w:t>. Dit</w:t>
      </w:r>
      <w:r w:rsidRPr="00121A6A">
        <w:rPr>
          <w:sz w:val="24"/>
          <w:szCs w:val="24"/>
        </w:rPr>
        <w:t xml:space="preserve"> zou een </w:t>
      </w:r>
      <w:r w:rsidR="00757BAD" w:rsidRPr="00121A6A">
        <w:rPr>
          <w:sz w:val="24"/>
          <w:szCs w:val="24"/>
        </w:rPr>
        <w:t>‘dubbele proportionaliteitstoets’ (par. 2.2)</w:t>
      </w:r>
      <w:r w:rsidRPr="00121A6A">
        <w:rPr>
          <w:sz w:val="24"/>
          <w:szCs w:val="24"/>
        </w:rPr>
        <w:t xml:space="preserve"> mogelijk maken die meer in lijn zou zijn met het toetsingskader van</w:t>
      </w:r>
      <w:bookmarkStart w:id="88" w:name="_Hlk161826162"/>
      <w:r w:rsidRPr="00121A6A">
        <w:rPr>
          <w:sz w:val="24"/>
          <w:szCs w:val="24"/>
        </w:rPr>
        <w:t xml:space="preserve"> </w:t>
      </w:r>
      <w:bookmarkEnd w:id="88"/>
      <w:r w:rsidR="001F0030" w:rsidRPr="00121A6A">
        <w:rPr>
          <w:sz w:val="24"/>
          <w:szCs w:val="24"/>
        </w:rPr>
        <w:t>artikel</w:t>
      </w:r>
      <w:r w:rsidRPr="00121A6A">
        <w:rPr>
          <w:sz w:val="24"/>
          <w:szCs w:val="24"/>
        </w:rPr>
        <w:t xml:space="preserve"> </w:t>
      </w:r>
      <w:r w:rsidR="001F0030" w:rsidRPr="00121A6A">
        <w:rPr>
          <w:sz w:val="24"/>
          <w:szCs w:val="24"/>
        </w:rPr>
        <w:t xml:space="preserve">11 </w:t>
      </w:r>
      <w:r w:rsidRPr="00121A6A">
        <w:rPr>
          <w:sz w:val="24"/>
          <w:szCs w:val="24"/>
        </w:rPr>
        <w:t xml:space="preserve">EVRM, ILO-Verdrag 87 en </w:t>
      </w:r>
      <w:r w:rsidR="001F0030" w:rsidRPr="00121A6A">
        <w:rPr>
          <w:sz w:val="24"/>
          <w:szCs w:val="24"/>
        </w:rPr>
        <w:t>artikel</w:t>
      </w:r>
      <w:r w:rsidRPr="00121A6A">
        <w:rPr>
          <w:sz w:val="24"/>
          <w:szCs w:val="24"/>
        </w:rPr>
        <w:t xml:space="preserve"> </w:t>
      </w:r>
      <w:r w:rsidR="001F0030" w:rsidRPr="00121A6A">
        <w:rPr>
          <w:sz w:val="24"/>
          <w:szCs w:val="24"/>
        </w:rPr>
        <w:t xml:space="preserve">6 lid 4 </w:t>
      </w:r>
      <w:r w:rsidRPr="00121A6A">
        <w:rPr>
          <w:sz w:val="24"/>
          <w:szCs w:val="24"/>
        </w:rPr>
        <w:t>ESH.</w:t>
      </w:r>
      <w:r w:rsidR="003500A9" w:rsidRPr="00121A6A">
        <w:rPr>
          <w:rStyle w:val="FootnoteReference"/>
          <w:sz w:val="24"/>
          <w:szCs w:val="24"/>
        </w:rPr>
        <w:footnoteReference w:id="246"/>
      </w:r>
      <w:r w:rsidRPr="00121A6A">
        <w:rPr>
          <w:sz w:val="24"/>
          <w:szCs w:val="24"/>
        </w:rPr>
        <w:t xml:space="preserve"> </w:t>
      </w:r>
      <w:r w:rsidR="009148E9">
        <w:rPr>
          <w:sz w:val="24"/>
          <w:szCs w:val="24"/>
        </w:rPr>
        <w:t>Behalve aan het</w:t>
      </w:r>
      <w:r w:rsidR="00757BAD" w:rsidRPr="00121A6A">
        <w:rPr>
          <w:sz w:val="24"/>
          <w:szCs w:val="24"/>
        </w:rPr>
        <w:t xml:space="preserve"> vrij verkeersrecht</w:t>
      </w:r>
      <w:r w:rsidR="00074B16">
        <w:rPr>
          <w:sz w:val="24"/>
          <w:szCs w:val="24"/>
        </w:rPr>
        <w:t xml:space="preserve"> zou </w:t>
      </w:r>
      <w:r w:rsidRPr="00121A6A">
        <w:rPr>
          <w:sz w:val="24"/>
          <w:szCs w:val="24"/>
        </w:rPr>
        <w:t xml:space="preserve">de rechter </w:t>
      </w:r>
      <w:r w:rsidR="00A04E7A">
        <w:rPr>
          <w:sz w:val="24"/>
          <w:szCs w:val="24"/>
        </w:rPr>
        <w:t xml:space="preserve">dan </w:t>
      </w:r>
      <w:r w:rsidR="00074B16">
        <w:rPr>
          <w:sz w:val="24"/>
          <w:szCs w:val="24"/>
        </w:rPr>
        <w:t>immers</w:t>
      </w:r>
      <w:r w:rsidRPr="00121A6A">
        <w:rPr>
          <w:sz w:val="24"/>
          <w:szCs w:val="24"/>
        </w:rPr>
        <w:t xml:space="preserve"> aan het grondrecht zelf, inclusief de daarin vervatte beperkingsmogelijkheden, moeten toetsen</w:t>
      </w:r>
      <w:r w:rsidR="001F0030" w:rsidRPr="00121A6A">
        <w:rPr>
          <w:sz w:val="24"/>
          <w:szCs w:val="24"/>
        </w:rPr>
        <w:t>.</w:t>
      </w:r>
      <w:r w:rsidRPr="00121A6A">
        <w:rPr>
          <w:rStyle w:val="FootnoteReference"/>
          <w:sz w:val="24"/>
          <w:szCs w:val="24"/>
        </w:rPr>
        <w:footnoteReference w:id="247"/>
      </w:r>
      <w:r w:rsidR="004B424C">
        <w:rPr>
          <w:sz w:val="24"/>
          <w:szCs w:val="24"/>
        </w:rPr>
        <w:t xml:space="preserve"> </w:t>
      </w:r>
      <w:r w:rsidR="009E3C3D">
        <w:rPr>
          <w:sz w:val="24"/>
          <w:szCs w:val="24"/>
        </w:rPr>
        <w:t>H</w:t>
      </w:r>
      <w:r w:rsidR="00BC63FC">
        <w:rPr>
          <w:sz w:val="24"/>
          <w:szCs w:val="24"/>
        </w:rPr>
        <w:t>ierdoor zou h</w:t>
      </w:r>
      <w:r w:rsidR="004B424C" w:rsidRPr="004B424C">
        <w:rPr>
          <w:sz w:val="24"/>
          <w:szCs w:val="24"/>
        </w:rPr>
        <w:t xml:space="preserve">et principiële verschil tussen de benadering van het HvJ </w:t>
      </w:r>
      <w:r w:rsidR="00C503C0">
        <w:rPr>
          <w:sz w:val="24"/>
          <w:szCs w:val="24"/>
        </w:rPr>
        <w:t>(</w:t>
      </w:r>
      <w:r w:rsidR="004B424C" w:rsidRPr="004B424C">
        <w:rPr>
          <w:sz w:val="24"/>
          <w:szCs w:val="24"/>
        </w:rPr>
        <w:t>die vertrekt vanuit het vrij verkeer en toetst of een grondrechtelijke beperking daarvan geoorloofd is</w:t>
      </w:r>
      <w:r w:rsidR="00C503C0">
        <w:rPr>
          <w:sz w:val="24"/>
          <w:szCs w:val="24"/>
        </w:rPr>
        <w:t>)</w:t>
      </w:r>
      <w:r w:rsidR="004B424C" w:rsidRPr="004B424C">
        <w:rPr>
          <w:sz w:val="24"/>
          <w:szCs w:val="24"/>
        </w:rPr>
        <w:t xml:space="preserve"> en die van de andere instituties </w:t>
      </w:r>
      <w:r w:rsidR="00C503C0">
        <w:rPr>
          <w:sz w:val="24"/>
          <w:szCs w:val="24"/>
        </w:rPr>
        <w:t>(</w:t>
      </w:r>
      <w:r w:rsidR="004B424C" w:rsidRPr="004B424C">
        <w:rPr>
          <w:sz w:val="24"/>
          <w:szCs w:val="24"/>
        </w:rPr>
        <w:t>die beginnen bij het grondrecht en de (on)rechtmatigheid van een inperking daarvan toetsen</w:t>
      </w:r>
      <w:r w:rsidR="00C503C0">
        <w:rPr>
          <w:sz w:val="24"/>
          <w:szCs w:val="24"/>
        </w:rPr>
        <w:t>)</w:t>
      </w:r>
      <w:r w:rsidR="004B424C" w:rsidRPr="004B424C">
        <w:rPr>
          <w:sz w:val="24"/>
          <w:szCs w:val="24"/>
        </w:rPr>
        <w:t xml:space="preserve"> </w:t>
      </w:r>
      <w:r w:rsidR="00BC63FC">
        <w:rPr>
          <w:sz w:val="24"/>
          <w:szCs w:val="24"/>
        </w:rPr>
        <w:t>vervagen</w:t>
      </w:r>
      <w:r w:rsidR="004B424C" w:rsidRPr="004B424C">
        <w:rPr>
          <w:sz w:val="24"/>
          <w:szCs w:val="24"/>
        </w:rPr>
        <w:t xml:space="preserve">. Bovendien zou de normatieve inhoud van artikel 28 Hv zoveel als mogelijk kunnen worden vastgesteld in lijn met </w:t>
      </w:r>
      <w:r w:rsidR="009E3C3D">
        <w:rPr>
          <w:sz w:val="24"/>
          <w:szCs w:val="24"/>
        </w:rPr>
        <w:t>de andere verdragsnormen.</w:t>
      </w:r>
      <w:r w:rsidR="004B424C" w:rsidRPr="004B424C">
        <w:rPr>
          <w:sz w:val="24"/>
          <w:szCs w:val="24"/>
        </w:rPr>
        <w:t xml:space="preserve"> Via die weg zou het huidige, op het vrij verkeer gerichte toetsingskader uit </w:t>
      </w:r>
      <w:r w:rsidR="004B424C" w:rsidRPr="009E3C3D">
        <w:rPr>
          <w:i/>
          <w:iCs/>
          <w:sz w:val="24"/>
          <w:szCs w:val="24"/>
        </w:rPr>
        <w:t>Viking</w:t>
      </w:r>
      <w:r w:rsidR="004B424C" w:rsidRPr="004B424C">
        <w:rPr>
          <w:sz w:val="24"/>
          <w:szCs w:val="24"/>
        </w:rPr>
        <w:t xml:space="preserve"> en </w:t>
      </w:r>
      <w:r w:rsidR="004B424C" w:rsidRPr="009E3C3D">
        <w:rPr>
          <w:i/>
          <w:iCs/>
          <w:sz w:val="24"/>
          <w:szCs w:val="24"/>
        </w:rPr>
        <w:t>Laval</w:t>
      </w:r>
      <w:r w:rsidR="004B424C" w:rsidRPr="004B424C">
        <w:rPr>
          <w:sz w:val="24"/>
          <w:szCs w:val="24"/>
        </w:rPr>
        <w:t xml:space="preserve"> fundamenteel kunnen wijzigen en kunnen leiden tot een krachtige(re) interpretatie van het</w:t>
      </w:r>
      <w:r w:rsidR="00C503C0">
        <w:rPr>
          <w:sz w:val="24"/>
          <w:szCs w:val="24"/>
        </w:rPr>
        <w:t xml:space="preserve"> </w:t>
      </w:r>
      <w:r w:rsidR="00DE5644">
        <w:rPr>
          <w:sz w:val="24"/>
          <w:szCs w:val="24"/>
        </w:rPr>
        <w:t>grondrecht op</w:t>
      </w:r>
      <w:r w:rsidR="004B424C" w:rsidRPr="004B424C">
        <w:rPr>
          <w:sz w:val="24"/>
          <w:szCs w:val="24"/>
        </w:rPr>
        <w:t xml:space="preserve"> </w:t>
      </w:r>
      <w:r w:rsidR="00243FA8">
        <w:rPr>
          <w:sz w:val="24"/>
          <w:szCs w:val="24"/>
        </w:rPr>
        <w:t>collectieve actie.</w:t>
      </w:r>
    </w:p>
    <w:p w14:paraId="15D3A814" w14:textId="77777777" w:rsidR="0007610C" w:rsidRPr="00121A6A" w:rsidRDefault="0007610C" w:rsidP="00783D78">
      <w:pPr>
        <w:spacing w:after="0"/>
        <w:jc w:val="both"/>
        <w:rPr>
          <w:sz w:val="24"/>
          <w:szCs w:val="24"/>
        </w:rPr>
      </w:pPr>
    </w:p>
    <w:p w14:paraId="1F7466B4" w14:textId="60E0500C" w:rsidR="0007610C" w:rsidRPr="00121A6A" w:rsidRDefault="0007610C" w:rsidP="00783D78">
      <w:pPr>
        <w:pStyle w:val="Heading3"/>
        <w:jc w:val="both"/>
        <w:rPr>
          <w:sz w:val="24"/>
          <w:szCs w:val="24"/>
        </w:rPr>
      </w:pPr>
      <w:bookmarkStart w:id="89" w:name="_Toc169963079"/>
      <w:r w:rsidRPr="00121A6A">
        <w:rPr>
          <w:sz w:val="24"/>
          <w:szCs w:val="24"/>
        </w:rPr>
        <w:t>Horizontale directe werking van Uniegrondrechten: ontwikkelingen in</w:t>
      </w:r>
      <w:r w:rsidR="0028105E">
        <w:rPr>
          <w:sz w:val="24"/>
          <w:szCs w:val="24"/>
        </w:rPr>
        <w:t xml:space="preserve"> de</w:t>
      </w:r>
      <w:r w:rsidRPr="00121A6A">
        <w:rPr>
          <w:sz w:val="24"/>
          <w:szCs w:val="24"/>
        </w:rPr>
        <w:t xml:space="preserve"> jurisprudentie</w:t>
      </w:r>
      <w:bookmarkEnd w:id="89"/>
    </w:p>
    <w:p w14:paraId="1C9A313B" w14:textId="04F1DCF3" w:rsidR="0007610C" w:rsidRPr="00121A6A" w:rsidRDefault="0007610C" w:rsidP="006E5A5F">
      <w:pPr>
        <w:spacing w:after="0"/>
        <w:jc w:val="both"/>
        <w:rPr>
          <w:sz w:val="24"/>
          <w:szCs w:val="24"/>
        </w:rPr>
      </w:pPr>
      <w:r w:rsidRPr="00121A6A">
        <w:rPr>
          <w:sz w:val="24"/>
          <w:szCs w:val="24"/>
        </w:rPr>
        <w:t>Voor horizontale directe werking van een Handvestbepaling is</w:t>
      </w:r>
      <w:r w:rsidR="00FC2D96" w:rsidRPr="00121A6A">
        <w:rPr>
          <w:sz w:val="24"/>
          <w:szCs w:val="24"/>
        </w:rPr>
        <w:t xml:space="preserve"> </w:t>
      </w:r>
      <w:r w:rsidRPr="00121A6A">
        <w:rPr>
          <w:sz w:val="24"/>
          <w:szCs w:val="24"/>
        </w:rPr>
        <w:t>vereist dat de bepaling</w:t>
      </w:r>
      <w:r w:rsidR="00F66EAE" w:rsidRPr="00121A6A">
        <w:rPr>
          <w:sz w:val="24"/>
          <w:szCs w:val="24"/>
        </w:rPr>
        <w:t>,</w:t>
      </w:r>
      <w:r w:rsidRPr="00121A6A">
        <w:rPr>
          <w:sz w:val="24"/>
          <w:szCs w:val="24"/>
        </w:rPr>
        <w:t xml:space="preserve"> behalve technisch geschikt</w:t>
      </w:r>
      <w:r w:rsidR="00F66EAE" w:rsidRPr="00121A6A">
        <w:rPr>
          <w:sz w:val="24"/>
          <w:szCs w:val="24"/>
        </w:rPr>
        <w:t>,</w:t>
      </w:r>
      <w:r w:rsidR="00F66EAE" w:rsidRPr="00121A6A">
        <w:rPr>
          <w:rStyle w:val="FootnoteReference"/>
          <w:sz w:val="24"/>
          <w:szCs w:val="24"/>
        </w:rPr>
        <w:footnoteReference w:id="248"/>
      </w:r>
      <w:r w:rsidRPr="00121A6A">
        <w:rPr>
          <w:sz w:val="24"/>
          <w:szCs w:val="24"/>
        </w:rPr>
        <w:t xml:space="preserve"> ook van toepassing is op </w:t>
      </w:r>
      <w:r w:rsidR="009C03F0">
        <w:rPr>
          <w:sz w:val="24"/>
          <w:szCs w:val="24"/>
        </w:rPr>
        <w:t>de</w:t>
      </w:r>
      <w:r w:rsidRPr="00121A6A">
        <w:rPr>
          <w:sz w:val="24"/>
          <w:szCs w:val="24"/>
        </w:rPr>
        <w:t xml:space="preserve"> voorliggende </w:t>
      </w:r>
      <w:r w:rsidR="009C03F0">
        <w:rPr>
          <w:sz w:val="24"/>
          <w:szCs w:val="24"/>
        </w:rPr>
        <w:t>rechtsverhouding</w:t>
      </w:r>
      <w:r w:rsidRPr="00121A6A">
        <w:rPr>
          <w:sz w:val="24"/>
          <w:szCs w:val="24"/>
        </w:rPr>
        <w:t xml:space="preserve"> en (een van) de </w:t>
      </w:r>
      <w:r w:rsidRPr="00121A6A">
        <w:rPr>
          <w:sz w:val="24"/>
          <w:szCs w:val="24"/>
        </w:rPr>
        <w:lastRenderedPageBreak/>
        <w:t>procespartijen bindt. Voor zover de procespartijen</w:t>
      </w:r>
      <w:r w:rsidR="00906025" w:rsidRPr="00121A6A">
        <w:rPr>
          <w:sz w:val="24"/>
          <w:szCs w:val="24"/>
        </w:rPr>
        <w:t xml:space="preserve"> </w:t>
      </w:r>
      <w:r w:rsidRPr="00121A6A">
        <w:rPr>
          <w:sz w:val="24"/>
          <w:szCs w:val="24"/>
        </w:rPr>
        <w:t xml:space="preserve">privaatrechtelijke (rechts)personen zijn, levert dit complicaties op. </w:t>
      </w:r>
      <w:r w:rsidR="003919E0" w:rsidRPr="00121A6A">
        <w:rPr>
          <w:sz w:val="24"/>
          <w:szCs w:val="24"/>
        </w:rPr>
        <w:t xml:space="preserve">Grondrechten </w:t>
      </w:r>
      <w:r w:rsidR="00BB0E92" w:rsidRPr="00121A6A">
        <w:rPr>
          <w:sz w:val="24"/>
          <w:szCs w:val="24"/>
        </w:rPr>
        <w:t xml:space="preserve">zijn </w:t>
      </w:r>
      <w:r w:rsidR="003919E0" w:rsidRPr="00121A6A">
        <w:rPr>
          <w:sz w:val="24"/>
          <w:szCs w:val="24"/>
        </w:rPr>
        <w:t xml:space="preserve">namelijk </w:t>
      </w:r>
      <w:r w:rsidRPr="00121A6A">
        <w:rPr>
          <w:sz w:val="24"/>
          <w:szCs w:val="24"/>
        </w:rPr>
        <w:t>primair bedoeld als schild voor burgers tegen overheidsoptreden</w:t>
      </w:r>
      <w:r w:rsidR="003919E0" w:rsidRPr="00121A6A">
        <w:rPr>
          <w:sz w:val="24"/>
          <w:szCs w:val="24"/>
        </w:rPr>
        <w:t xml:space="preserve"> (par. 3.2)</w:t>
      </w:r>
      <w:r w:rsidR="00BB0E92" w:rsidRPr="00121A6A">
        <w:rPr>
          <w:sz w:val="24"/>
          <w:szCs w:val="24"/>
        </w:rPr>
        <w:t>.</w:t>
      </w:r>
      <w:r w:rsidRPr="00121A6A">
        <w:rPr>
          <w:rStyle w:val="FootnoteReference"/>
          <w:sz w:val="24"/>
          <w:szCs w:val="24"/>
        </w:rPr>
        <w:footnoteReference w:id="249"/>
      </w:r>
      <w:r w:rsidRPr="00121A6A">
        <w:rPr>
          <w:sz w:val="24"/>
          <w:szCs w:val="24"/>
        </w:rPr>
        <w:t xml:space="preserve"> </w:t>
      </w:r>
      <w:r w:rsidR="00BB0E92" w:rsidRPr="00121A6A">
        <w:rPr>
          <w:sz w:val="24"/>
          <w:szCs w:val="24"/>
        </w:rPr>
        <w:t>A</w:t>
      </w:r>
      <w:r w:rsidRPr="00121A6A">
        <w:rPr>
          <w:sz w:val="24"/>
          <w:szCs w:val="24"/>
        </w:rPr>
        <w:t xml:space="preserve">rtikel 51 lid 1 Hv </w:t>
      </w:r>
      <w:r w:rsidR="00BB0E92" w:rsidRPr="00121A6A">
        <w:rPr>
          <w:sz w:val="24"/>
          <w:szCs w:val="24"/>
        </w:rPr>
        <w:t xml:space="preserve">regelt in dit verband </w:t>
      </w:r>
      <w:r w:rsidRPr="00121A6A">
        <w:rPr>
          <w:sz w:val="24"/>
          <w:szCs w:val="24"/>
        </w:rPr>
        <w:t>dat enkel EU-instellingen (onvoorwaardelijk) en lidstaten (voor zover zij optreden binnen de werkingssfeer van het EU-recht) de Uniegrondrechten in acht moeten nemen. Het feit dat particulieren impliciet zijn uitgesloten van de reikwijdte van het Handvest,</w:t>
      </w:r>
      <w:r w:rsidR="00211007" w:rsidRPr="00121A6A">
        <w:rPr>
          <w:rStyle w:val="FootnoteReference"/>
          <w:sz w:val="24"/>
          <w:szCs w:val="24"/>
        </w:rPr>
        <w:footnoteReference w:id="250"/>
      </w:r>
      <w:r w:rsidRPr="00121A6A">
        <w:rPr>
          <w:sz w:val="24"/>
          <w:szCs w:val="24"/>
        </w:rPr>
        <w:t xml:space="preserve"> maakt het direct inroepen van Handvestbepalingen in een rechtsgeschil met een private werkgever in principe ontoelaatbaar.</w:t>
      </w:r>
      <w:r w:rsidR="006E5A5F" w:rsidRPr="00121A6A">
        <w:rPr>
          <w:sz w:val="24"/>
          <w:szCs w:val="24"/>
        </w:rPr>
        <w:t xml:space="preserve"> Echter, v</w:t>
      </w:r>
      <w:r w:rsidRPr="00121A6A">
        <w:rPr>
          <w:sz w:val="24"/>
          <w:szCs w:val="24"/>
        </w:rPr>
        <w:t xml:space="preserve">an belang is om </w:t>
      </w:r>
      <w:r w:rsidR="007B3631">
        <w:rPr>
          <w:sz w:val="24"/>
          <w:szCs w:val="24"/>
        </w:rPr>
        <w:t xml:space="preserve">bij </w:t>
      </w:r>
      <w:r w:rsidRPr="00121A6A">
        <w:rPr>
          <w:sz w:val="24"/>
          <w:szCs w:val="24"/>
        </w:rPr>
        <w:t>horizontale directe werking</w:t>
      </w:r>
      <w:r w:rsidR="007B3631">
        <w:rPr>
          <w:sz w:val="24"/>
          <w:szCs w:val="24"/>
        </w:rPr>
        <w:t xml:space="preserve"> </w:t>
      </w:r>
      <w:r w:rsidR="00AD3398">
        <w:rPr>
          <w:sz w:val="24"/>
          <w:szCs w:val="24"/>
        </w:rPr>
        <w:t xml:space="preserve">van het Handvest </w:t>
      </w:r>
      <w:r w:rsidR="007B3631">
        <w:rPr>
          <w:sz w:val="24"/>
          <w:szCs w:val="24"/>
        </w:rPr>
        <w:t>de</w:t>
      </w:r>
      <w:r w:rsidRPr="00121A6A">
        <w:rPr>
          <w:sz w:val="24"/>
          <w:szCs w:val="24"/>
        </w:rPr>
        <w:t xml:space="preserve"> </w:t>
      </w:r>
      <w:r w:rsidR="00AD3398">
        <w:rPr>
          <w:sz w:val="24"/>
          <w:szCs w:val="24"/>
        </w:rPr>
        <w:t xml:space="preserve">variant </w:t>
      </w:r>
      <w:r w:rsidR="007B3631">
        <w:rPr>
          <w:sz w:val="24"/>
          <w:szCs w:val="24"/>
        </w:rPr>
        <w:t>‘</w:t>
      </w:r>
      <w:r w:rsidRPr="00121A6A">
        <w:rPr>
          <w:sz w:val="24"/>
          <w:szCs w:val="24"/>
        </w:rPr>
        <w:t xml:space="preserve">toetsing van </w:t>
      </w:r>
      <w:r w:rsidRPr="007B3631">
        <w:rPr>
          <w:i/>
          <w:iCs/>
          <w:sz w:val="24"/>
          <w:szCs w:val="24"/>
        </w:rPr>
        <w:t>overheids</w:t>
      </w:r>
      <w:r w:rsidRPr="00121A6A">
        <w:rPr>
          <w:sz w:val="24"/>
          <w:szCs w:val="24"/>
        </w:rPr>
        <w:t>handelen’</w:t>
      </w:r>
      <w:r w:rsidR="007B3631">
        <w:rPr>
          <w:sz w:val="24"/>
          <w:szCs w:val="24"/>
        </w:rPr>
        <w:t xml:space="preserve"> (nationale wetgeving)</w:t>
      </w:r>
      <w:r w:rsidRPr="00121A6A">
        <w:rPr>
          <w:sz w:val="24"/>
          <w:szCs w:val="24"/>
        </w:rPr>
        <w:t xml:space="preserve"> te onderscheiden van </w:t>
      </w:r>
      <w:r w:rsidR="007B3631">
        <w:rPr>
          <w:sz w:val="24"/>
          <w:szCs w:val="24"/>
        </w:rPr>
        <w:t xml:space="preserve">de </w:t>
      </w:r>
      <w:r w:rsidR="00AD3398">
        <w:rPr>
          <w:sz w:val="24"/>
          <w:szCs w:val="24"/>
        </w:rPr>
        <w:t xml:space="preserve">variant </w:t>
      </w:r>
      <w:r w:rsidRPr="00121A6A">
        <w:rPr>
          <w:sz w:val="24"/>
          <w:szCs w:val="24"/>
        </w:rPr>
        <w:t xml:space="preserve">‘toetsing van </w:t>
      </w:r>
      <w:r w:rsidRPr="007B3631">
        <w:rPr>
          <w:i/>
          <w:iCs/>
          <w:sz w:val="24"/>
          <w:szCs w:val="24"/>
        </w:rPr>
        <w:t>particulier</w:t>
      </w:r>
      <w:r w:rsidRPr="00121A6A">
        <w:rPr>
          <w:sz w:val="24"/>
          <w:szCs w:val="24"/>
        </w:rPr>
        <w:t xml:space="preserve"> handelen’.</w:t>
      </w:r>
      <w:r w:rsidRPr="00121A6A">
        <w:rPr>
          <w:rStyle w:val="FootnoteReference"/>
          <w:sz w:val="24"/>
          <w:szCs w:val="24"/>
        </w:rPr>
        <w:footnoteReference w:id="251"/>
      </w:r>
      <w:r w:rsidRPr="00121A6A">
        <w:rPr>
          <w:sz w:val="24"/>
          <w:szCs w:val="24"/>
        </w:rPr>
        <w:t xml:space="preserve"> Bij grondrechtelijke toetsing van zuiver </w:t>
      </w:r>
      <w:r w:rsidRPr="002F7048">
        <w:rPr>
          <w:i/>
          <w:iCs/>
          <w:sz w:val="24"/>
          <w:szCs w:val="24"/>
        </w:rPr>
        <w:t>particulier</w:t>
      </w:r>
      <w:r w:rsidRPr="00121A6A">
        <w:rPr>
          <w:sz w:val="24"/>
          <w:szCs w:val="24"/>
        </w:rPr>
        <w:t xml:space="preserve"> handelen (feitelijk handelen of een rechtshandeling) is de juridische invloed op de private rechtsverhouding indringender. </w:t>
      </w:r>
      <w:r w:rsidR="007B3631">
        <w:rPr>
          <w:sz w:val="24"/>
          <w:szCs w:val="24"/>
        </w:rPr>
        <w:t>D</w:t>
      </w:r>
      <w:r w:rsidRPr="00121A6A">
        <w:rPr>
          <w:sz w:val="24"/>
          <w:szCs w:val="24"/>
        </w:rPr>
        <w:t xml:space="preserve">e private rechtsverhouding </w:t>
      </w:r>
      <w:r w:rsidR="007B3631">
        <w:rPr>
          <w:sz w:val="24"/>
          <w:szCs w:val="24"/>
        </w:rPr>
        <w:t xml:space="preserve">wordt dan namelijk </w:t>
      </w:r>
      <w:r w:rsidRPr="00121A6A">
        <w:rPr>
          <w:sz w:val="24"/>
          <w:szCs w:val="24"/>
        </w:rPr>
        <w:t xml:space="preserve">direct beïnvloed door het grondrecht: het grondrecht vormt de norm waaraan private partijen rechtstreeks zijn gebonden. </w:t>
      </w:r>
      <w:r w:rsidR="00AA40FB">
        <w:rPr>
          <w:sz w:val="24"/>
          <w:szCs w:val="24"/>
        </w:rPr>
        <w:t xml:space="preserve">Met name deze variant is </w:t>
      </w:r>
      <w:r w:rsidRPr="00121A6A">
        <w:rPr>
          <w:sz w:val="24"/>
          <w:szCs w:val="24"/>
        </w:rPr>
        <w:t>problematisch in het licht van artikel 51 lid 1 Hv.</w:t>
      </w:r>
      <w:r w:rsidRPr="00121A6A">
        <w:rPr>
          <w:rStyle w:val="FootnoteReference"/>
          <w:sz w:val="24"/>
          <w:szCs w:val="24"/>
        </w:rPr>
        <w:footnoteReference w:id="252"/>
      </w:r>
    </w:p>
    <w:p w14:paraId="625F6099" w14:textId="0FAB2A70" w:rsidR="0007610C" w:rsidRPr="00121A6A" w:rsidRDefault="0007610C" w:rsidP="0007610C">
      <w:pPr>
        <w:spacing w:after="0"/>
        <w:ind w:firstLine="708"/>
        <w:jc w:val="both"/>
        <w:rPr>
          <w:sz w:val="24"/>
          <w:szCs w:val="24"/>
        </w:rPr>
      </w:pPr>
      <w:r w:rsidRPr="00121A6A">
        <w:rPr>
          <w:sz w:val="24"/>
          <w:szCs w:val="24"/>
        </w:rPr>
        <w:t xml:space="preserve">Vooralsnog heeft het Hof (derhalve) ‘louter’ ‘horizontale directe werking: toetsing van </w:t>
      </w:r>
      <w:r w:rsidRPr="00AD3398">
        <w:rPr>
          <w:i/>
          <w:iCs/>
          <w:sz w:val="24"/>
          <w:szCs w:val="24"/>
        </w:rPr>
        <w:t>overheids</w:t>
      </w:r>
      <w:r w:rsidRPr="00121A6A">
        <w:rPr>
          <w:sz w:val="24"/>
          <w:szCs w:val="24"/>
        </w:rPr>
        <w:t xml:space="preserve">handelen’ aanvaard. De relevante jurisprudentie moet worden bezien tegen de achtergrond dat richtlijnen vanwege hun aard </w:t>
      </w:r>
      <w:r w:rsidR="00F65566" w:rsidRPr="00121A6A">
        <w:rPr>
          <w:sz w:val="24"/>
          <w:szCs w:val="24"/>
        </w:rPr>
        <w:t xml:space="preserve">niet inroepbaar zijn in een privaatrechtelijk geschil en </w:t>
      </w:r>
      <w:r w:rsidRPr="00121A6A">
        <w:rPr>
          <w:sz w:val="24"/>
          <w:szCs w:val="24"/>
        </w:rPr>
        <w:t>geen horizontale directe werking hebben</w:t>
      </w:r>
      <w:r w:rsidR="00042BF8" w:rsidRPr="00121A6A">
        <w:rPr>
          <w:sz w:val="24"/>
          <w:szCs w:val="24"/>
        </w:rPr>
        <w:t xml:space="preserve"> (par. 4.2)</w:t>
      </w:r>
      <w:r w:rsidRPr="00121A6A">
        <w:rPr>
          <w:sz w:val="24"/>
          <w:szCs w:val="24"/>
        </w:rPr>
        <w:t xml:space="preserve">. Hierdoor kan private partij </w:t>
      </w:r>
      <w:r w:rsidR="00F40990" w:rsidRPr="00121A6A">
        <w:rPr>
          <w:sz w:val="24"/>
          <w:szCs w:val="24"/>
        </w:rPr>
        <w:t xml:space="preserve">A </w:t>
      </w:r>
      <w:r w:rsidR="00C95593" w:rsidRPr="00121A6A">
        <w:rPr>
          <w:sz w:val="24"/>
          <w:szCs w:val="24"/>
        </w:rPr>
        <w:t>tegenover</w:t>
      </w:r>
      <w:r w:rsidRPr="00121A6A">
        <w:rPr>
          <w:sz w:val="24"/>
          <w:szCs w:val="24"/>
        </w:rPr>
        <w:t xml:space="preserve"> private partij </w:t>
      </w:r>
      <w:r w:rsidR="00F40990" w:rsidRPr="00121A6A">
        <w:rPr>
          <w:sz w:val="24"/>
          <w:szCs w:val="24"/>
        </w:rPr>
        <w:t xml:space="preserve">B </w:t>
      </w:r>
      <w:r w:rsidRPr="00121A6A">
        <w:rPr>
          <w:sz w:val="24"/>
          <w:szCs w:val="24"/>
        </w:rPr>
        <w:t xml:space="preserve">geen beroep doen op een </w:t>
      </w:r>
      <w:r w:rsidR="00AA40FB">
        <w:rPr>
          <w:sz w:val="24"/>
          <w:szCs w:val="24"/>
        </w:rPr>
        <w:t>Unie</w:t>
      </w:r>
      <w:r w:rsidRPr="00121A6A">
        <w:rPr>
          <w:sz w:val="24"/>
          <w:szCs w:val="24"/>
        </w:rPr>
        <w:t>richtlijn teneinde daarmee strijdig nationaal recht aan te vechten. De gevolgen van deze ‘tekortkoming’ in rechtsbescherming heeft het Hof willen ondervangen door te aanvaarden dat de nationale rechter</w:t>
      </w:r>
      <w:r w:rsidR="00A72E4D">
        <w:rPr>
          <w:sz w:val="24"/>
          <w:szCs w:val="24"/>
        </w:rPr>
        <w:t>,</w:t>
      </w:r>
      <w:r w:rsidRPr="00121A6A">
        <w:rPr>
          <w:sz w:val="24"/>
          <w:szCs w:val="24"/>
        </w:rPr>
        <w:t xml:space="preserve"> via </w:t>
      </w:r>
      <w:r w:rsidR="00625CAA">
        <w:rPr>
          <w:sz w:val="24"/>
          <w:szCs w:val="24"/>
        </w:rPr>
        <w:t>het Handvest</w:t>
      </w:r>
      <w:r w:rsidR="00A72E4D">
        <w:rPr>
          <w:sz w:val="24"/>
          <w:szCs w:val="24"/>
        </w:rPr>
        <w:t>,</w:t>
      </w:r>
      <w:r w:rsidR="00625CAA">
        <w:rPr>
          <w:sz w:val="24"/>
          <w:szCs w:val="24"/>
        </w:rPr>
        <w:t xml:space="preserve"> </w:t>
      </w:r>
      <w:r w:rsidRPr="00121A6A">
        <w:rPr>
          <w:sz w:val="24"/>
          <w:szCs w:val="24"/>
        </w:rPr>
        <w:t>het met een richtlijnbepaling strijdige nationale recht in een concreet geval tóch buiten toepassing kan laten</w:t>
      </w:r>
      <w:r w:rsidR="009C27FF">
        <w:rPr>
          <w:sz w:val="24"/>
          <w:szCs w:val="24"/>
        </w:rPr>
        <w:t>.</w:t>
      </w:r>
      <w:r w:rsidRPr="00121A6A">
        <w:rPr>
          <w:sz w:val="24"/>
          <w:szCs w:val="24"/>
        </w:rPr>
        <w:t xml:space="preserve"> </w:t>
      </w:r>
      <w:r w:rsidR="00C51724">
        <w:rPr>
          <w:sz w:val="24"/>
          <w:szCs w:val="24"/>
        </w:rPr>
        <w:t xml:space="preserve">Voor zover de relevante Handvestbepaling vervolgens de inhoud van de </w:t>
      </w:r>
      <w:r w:rsidR="0067458D">
        <w:rPr>
          <w:sz w:val="24"/>
          <w:szCs w:val="24"/>
        </w:rPr>
        <w:t xml:space="preserve">private </w:t>
      </w:r>
      <w:r w:rsidR="00C51724">
        <w:rPr>
          <w:sz w:val="24"/>
          <w:szCs w:val="24"/>
        </w:rPr>
        <w:t>rechtsbetrekking bepaalt, kan men spreken van horizontale directe werking.</w:t>
      </w:r>
      <w:r w:rsidR="00C51724">
        <w:rPr>
          <w:rStyle w:val="FootnoteReference"/>
          <w:sz w:val="24"/>
          <w:szCs w:val="24"/>
        </w:rPr>
        <w:footnoteReference w:id="253"/>
      </w:r>
      <w:r w:rsidR="00C51724">
        <w:rPr>
          <w:sz w:val="24"/>
          <w:szCs w:val="24"/>
        </w:rPr>
        <w:t xml:space="preserve"> </w:t>
      </w:r>
      <w:r w:rsidRPr="00121A6A">
        <w:rPr>
          <w:sz w:val="24"/>
          <w:szCs w:val="24"/>
        </w:rPr>
        <w:t xml:space="preserve">Voor </w:t>
      </w:r>
      <w:r w:rsidR="00A72E4D">
        <w:rPr>
          <w:sz w:val="24"/>
          <w:szCs w:val="24"/>
        </w:rPr>
        <w:t>het toepassen</w:t>
      </w:r>
      <w:r w:rsidRPr="00121A6A">
        <w:rPr>
          <w:sz w:val="24"/>
          <w:szCs w:val="24"/>
        </w:rPr>
        <w:t xml:space="preserve"> van deze techniek is nodig</w:t>
      </w:r>
      <w:r w:rsidR="00AE22EF" w:rsidRPr="00121A6A">
        <w:rPr>
          <w:sz w:val="24"/>
          <w:szCs w:val="24"/>
        </w:rPr>
        <w:t>:</w:t>
      </w:r>
      <w:r w:rsidRPr="00121A6A">
        <w:rPr>
          <w:sz w:val="24"/>
          <w:szCs w:val="24"/>
        </w:rPr>
        <w:t xml:space="preserve"> (</w:t>
      </w:r>
      <w:r w:rsidR="00DC4775" w:rsidRPr="00121A6A">
        <w:rPr>
          <w:sz w:val="24"/>
          <w:szCs w:val="24"/>
        </w:rPr>
        <w:t>1</w:t>
      </w:r>
      <w:r w:rsidRPr="00121A6A">
        <w:rPr>
          <w:sz w:val="24"/>
          <w:szCs w:val="24"/>
        </w:rPr>
        <w:t>) dat richtlijnconforme interpretatie van het nationale recht niet mogelijk is</w:t>
      </w:r>
      <w:r w:rsidR="00AE22EF" w:rsidRPr="00121A6A">
        <w:rPr>
          <w:sz w:val="24"/>
          <w:szCs w:val="24"/>
        </w:rPr>
        <w:t>;</w:t>
      </w:r>
      <w:r w:rsidRPr="00121A6A">
        <w:rPr>
          <w:sz w:val="24"/>
          <w:szCs w:val="24"/>
        </w:rPr>
        <w:t xml:space="preserve"> (</w:t>
      </w:r>
      <w:r w:rsidR="00DC4775" w:rsidRPr="00121A6A">
        <w:rPr>
          <w:sz w:val="24"/>
          <w:szCs w:val="24"/>
        </w:rPr>
        <w:t>2</w:t>
      </w:r>
      <w:r w:rsidRPr="00121A6A">
        <w:rPr>
          <w:sz w:val="24"/>
          <w:szCs w:val="24"/>
        </w:rPr>
        <w:t>) dat de betreffende richtlijn</w:t>
      </w:r>
      <w:r w:rsidR="00052DE6" w:rsidRPr="00121A6A">
        <w:rPr>
          <w:sz w:val="24"/>
          <w:szCs w:val="24"/>
        </w:rPr>
        <w:t xml:space="preserve"> </w:t>
      </w:r>
      <w:r w:rsidR="00A31AB7">
        <w:rPr>
          <w:sz w:val="24"/>
          <w:szCs w:val="24"/>
        </w:rPr>
        <w:t xml:space="preserve">kan worden gekoppeld aan een concreet </w:t>
      </w:r>
      <w:r w:rsidRPr="00121A6A">
        <w:rPr>
          <w:sz w:val="24"/>
          <w:szCs w:val="24"/>
        </w:rPr>
        <w:t xml:space="preserve">Uniegrondrecht – in de richtlijn wordt dan ook het door artikel 51 lid 1 Hv vereiste aanknopingspunt met </w:t>
      </w:r>
      <w:r w:rsidR="00AA40FB">
        <w:rPr>
          <w:sz w:val="24"/>
          <w:szCs w:val="24"/>
        </w:rPr>
        <w:t xml:space="preserve">het </w:t>
      </w:r>
      <w:r w:rsidRPr="00121A6A">
        <w:rPr>
          <w:sz w:val="24"/>
          <w:szCs w:val="24"/>
        </w:rPr>
        <w:t>Unierecht gevonden – én (</w:t>
      </w:r>
      <w:r w:rsidR="00DC4775" w:rsidRPr="00121A6A">
        <w:rPr>
          <w:sz w:val="24"/>
          <w:szCs w:val="24"/>
        </w:rPr>
        <w:t>3</w:t>
      </w:r>
      <w:r w:rsidRPr="00121A6A">
        <w:rPr>
          <w:sz w:val="24"/>
          <w:szCs w:val="24"/>
        </w:rPr>
        <w:t>) dat dit Uniegrondrecht voldoet aan de voorwaarden voor directe werking.</w:t>
      </w:r>
      <w:r w:rsidRPr="00121A6A">
        <w:rPr>
          <w:rStyle w:val="FootnoteReference"/>
          <w:sz w:val="24"/>
          <w:szCs w:val="24"/>
        </w:rPr>
        <w:footnoteReference w:id="254"/>
      </w:r>
    </w:p>
    <w:p w14:paraId="12569323" w14:textId="1EC3EE16" w:rsidR="0007610C" w:rsidRPr="00121A6A" w:rsidRDefault="0038146D" w:rsidP="0007610C">
      <w:pPr>
        <w:spacing w:after="0"/>
        <w:ind w:firstLine="708"/>
        <w:jc w:val="both"/>
        <w:rPr>
          <w:sz w:val="24"/>
          <w:szCs w:val="24"/>
        </w:rPr>
      </w:pPr>
      <w:r w:rsidRPr="00121A6A">
        <w:rPr>
          <w:sz w:val="24"/>
          <w:szCs w:val="24"/>
        </w:rPr>
        <w:t>Illustratief is</w:t>
      </w:r>
      <w:r w:rsidR="0007610C" w:rsidRPr="00121A6A">
        <w:rPr>
          <w:sz w:val="24"/>
          <w:szCs w:val="24"/>
        </w:rPr>
        <w:t xml:space="preserve"> het </w:t>
      </w:r>
      <w:r w:rsidRPr="00121A6A">
        <w:rPr>
          <w:sz w:val="24"/>
          <w:szCs w:val="24"/>
        </w:rPr>
        <w:t xml:space="preserve">arrest </w:t>
      </w:r>
      <w:r w:rsidR="0007610C" w:rsidRPr="00121A6A">
        <w:rPr>
          <w:i/>
          <w:iCs/>
          <w:sz w:val="24"/>
          <w:szCs w:val="24"/>
        </w:rPr>
        <w:t xml:space="preserve">Bauer en </w:t>
      </w:r>
      <w:proofErr w:type="spellStart"/>
      <w:r w:rsidR="0007610C" w:rsidRPr="00121A6A">
        <w:rPr>
          <w:i/>
          <w:iCs/>
          <w:sz w:val="24"/>
          <w:szCs w:val="24"/>
        </w:rPr>
        <w:t>Willmeroth</w:t>
      </w:r>
      <w:proofErr w:type="spellEnd"/>
      <w:r w:rsidR="0007610C" w:rsidRPr="00121A6A">
        <w:rPr>
          <w:sz w:val="24"/>
          <w:szCs w:val="24"/>
        </w:rPr>
        <w:t>.</w:t>
      </w:r>
      <w:r w:rsidR="0007610C" w:rsidRPr="00121A6A">
        <w:rPr>
          <w:rStyle w:val="FootnoteReference"/>
          <w:sz w:val="24"/>
          <w:szCs w:val="24"/>
        </w:rPr>
        <w:footnoteReference w:id="255"/>
      </w:r>
      <w:r w:rsidR="0007610C" w:rsidRPr="00121A6A">
        <w:rPr>
          <w:sz w:val="24"/>
          <w:szCs w:val="24"/>
        </w:rPr>
        <w:t xml:space="preserve"> Dit arrest betreft twee gevoegde zaken waarin</w:t>
      </w:r>
      <w:r w:rsidR="000415E4">
        <w:rPr>
          <w:sz w:val="24"/>
          <w:szCs w:val="24"/>
        </w:rPr>
        <w:t xml:space="preserve">, in elke </w:t>
      </w:r>
      <w:r w:rsidR="00133D66">
        <w:rPr>
          <w:sz w:val="24"/>
          <w:szCs w:val="24"/>
        </w:rPr>
        <w:t xml:space="preserve">individuele </w:t>
      </w:r>
      <w:r w:rsidR="000415E4">
        <w:rPr>
          <w:sz w:val="24"/>
          <w:szCs w:val="24"/>
        </w:rPr>
        <w:t>zaak,</w:t>
      </w:r>
      <w:r w:rsidR="0007610C" w:rsidRPr="00121A6A">
        <w:rPr>
          <w:sz w:val="24"/>
          <w:szCs w:val="24"/>
        </w:rPr>
        <w:t xml:space="preserve"> ee</w:t>
      </w:r>
      <w:r w:rsidR="000415E4">
        <w:rPr>
          <w:sz w:val="24"/>
          <w:szCs w:val="24"/>
        </w:rPr>
        <w:t>n</w:t>
      </w:r>
      <w:r w:rsidR="0007610C" w:rsidRPr="00121A6A">
        <w:rPr>
          <w:sz w:val="24"/>
          <w:szCs w:val="24"/>
        </w:rPr>
        <w:t xml:space="preserve"> weduwe </w:t>
      </w:r>
      <w:r w:rsidR="00532C75">
        <w:rPr>
          <w:sz w:val="24"/>
          <w:szCs w:val="24"/>
        </w:rPr>
        <w:t xml:space="preserve">de </w:t>
      </w:r>
      <w:r w:rsidR="0007610C" w:rsidRPr="00121A6A">
        <w:rPr>
          <w:sz w:val="24"/>
          <w:szCs w:val="24"/>
        </w:rPr>
        <w:t>uitbetaling van niet</w:t>
      </w:r>
      <w:r w:rsidR="007F742F" w:rsidRPr="00121A6A">
        <w:rPr>
          <w:sz w:val="24"/>
          <w:szCs w:val="24"/>
        </w:rPr>
        <w:t>-</w:t>
      </w:r>
      <w:r w:rsidR="0007610C" w:rsidRPr="00121A6A">
        <w:rPr>
          <w:sz w:val="24"/>
          <w:szCs w:val="24"/>
        </w:rPr>
        <w:t xml:space="preserve">opgenomen vakantiedagen van </w:t>
      </w:r>
      <w:r w:rsidR="000415E4">
        <w:rPr>
          <w:sz w:val="24"/>
          <w:szCs w:val="24"/>
        </w:rPr>
        <w:t>haar</w:t>
      </w:r>
      <w:r w:rsidR="0007610C" w:rsidRPr="00121A6A">
        <w:rPr>
          <w:sz w:val="24"/>
          <w:szCs w:val="24"/>
        </w:rPr>
        <w:t xml:space="preserve"> overleden echtgenoot vorderde. Duitse wetgeving sloot een dergelijke vordering echter </w:t>
      </w:r>
      <w:r w:rsidR="0007610C" w:rsidRPr="00121A6A">
        <w:rPr>
          <w:sz w:val="24"/>
          <w:szCs w:val="24"/>
        </w:rPr>
        <w:lastRenderedPageBreak/>
        <w:t>impliciet uit. Het Hof overwoog dat, voor zover de Duitse wetgeving niet in overeenstemming met artikel 7 Arbeidstijdenrichtlijn k</w:t>
      </w:r>
      <w:r w:rsidR="009940BA">
        <w:rPr>
          <w:sz w:val="24"/>
          <w:szCs w:val="24"/>
        </w:rPr>
        <w:t>o</w:t>
      </w:r>
      <w:r w:rsidR="0007610C" w:rsidRPr="00121A6A">
        <w:rPr>
          <w:sz w:val="24"/>
          <w:szCs w:val="24"/>
        </w:rPr>
        <w:t xml:space="preserve">n worden uitgelegd, mevr. </w:t>
      </w:r>
      <w:r w:rsidR="0007610C" w:rsidRPr="00121A6A">
        <w:rPr>
          <w:i/>
          <w:iCs/>
          <w:sz w:val="24"/>
          <w:szCs w:val="24"/>
        </w:rPr>
        <w:t>Bauer</w:t>
      </w:r>
      <w:r w:rsidR="0007610C" w:rsidRPr="00121A6A">
        <w:rPr>
          <w:sz w:val="24"/>
          <w:szCs w:val="24"/>
        </w:rPr>
        <w:t xml:space="preserve"> zich jegens de voormalige werkgever van haar </w:t>
      </w:r>
      <w:r w:rsidR="00971604">
        <w:rPr>
          <w:sz w:val="24"/>
          <w:szCs w:val="24"/>
        </w:rPr>
        <w:t xml:space="preserve">wijlen </w:t>
      </w:r>
      <w:r w:rsidR="0007610C" w:rsidRPr="00121A6A">
        <w:rPr>
          <w:sz w:val="24"/>
          <w:szCs w:val="24"/>
        </w:rPr>
        <w:t>echtgenoot – een overheidsinstelling – rechtstreeks op deze richtlijnbepaling k</w:t>
      </w:r>
      <w:r w:rsidR="009940BA">
        <w:rPr>
          <w:sz w:val="24"/>
          <w:szCs w:val="24"/>
        </w:rPr>
        <w:t>o</w:t>
      </w:r>
      <w:r w:rsidR="0007610C" w:rsidRPr="00121A6A">
        <w:rPr>
          <w:sz w:val="24"/>
          <w:szCs w:val="24"/>
        </w:rPr>
        <w:t>n beroepen teneinde het nationale recht buiten toepassing te laten en alsnog in aanmerking te komen voor de financiële vergoeding.</w:t>
      </w:r>
      <w:r w:rsidR="0007610C" w:rsidRPr="00121A6A">
        <w:rPr>
          <w:rStyle w:val="FootnoteReference"/>
          <w:sz w:val="24"/>
          <w:szCs w:val="24"/>
        </w:rPr>
        <w:footnoteReference w:id="256"/>
      </w:r>
      <w:r w:rsidR="0007610C" w:rsidRPr="00121A6A">
        <w:rPr>
          <w:sz w:val="24"/>
          <w:szCs w:val="24"/>
        </w:rPr>
        <w:t xml:space="preserve"> Deze optie bestond daarentegen niet voor mevr. </w:t>
      </w:r>
      <w:proofErr w:type="spellStart"/>
      <w:r w:rsidR="0007610C" w:rsidRPr="00121A6A">
        <w:rPr>
          <w:i/>
          <w:iCs/>
          <w:sz w:val="24"/>
          <w:szCs w:val="24"/>
        </w:rPr>
        <w:t>Bro</w:t>
      </w:r>
      <w:proofErr w:type="spellEnd"/>
      <w:r w:rsidR="0007610C" w:rsidRPr="00121A6A">
        <w:rPr>
          <w:i/>
          <w:iCs/>
          <w:sz w:val="24"/>
          <w:szCs w:val="24"/>
        </w:rPr>
        <w:t>βbonn</w:t>
      </w:r>
      <w:r w:rsidR="0007610C" w:rsidRPr="00121A6A">
        <w:rPr>
          <w:sz w:val="24"/>
          <w:szCs w:val="24"/>
        </w:rPr>
        <w:t>, aangezien haar vordering was gericht tegen een particuliere werkgever. Toch was de uitkomst van haar zaak hetzelfde</w:t>
      </w:r>
      <w:r w:rsidR="00040969">
        <w:rPr>
          <w:sz w:val="24"/>
          <w:szCs w:val="24"/>
        </w:rPr>
        <w:t>.</w:t>
      </w:r>
      <w:r w:rsidR="00C76A61">
        <w:rPr>
          <w:sz w:val="24"/>
          <w:szCs w:val="24"/>
        </w:rPr>
        <w:t xml:space="preserve"> </w:t>
      </w:r>
      <w:r w:rsidR="00040969">
        <w:rPr>
          <w:sz w:val="24"/>
          <w:szCs w:val="24"/>
        </w:rPr>
        <w:t>H</w:t>
      </w:r>
      <w:r w:rsidR="0007610C" w:rsidRPr="00121A6A">
        <w:rPr>
          <w:sz w:val="24"/>
          <w:szCs w:val="24"/>
        </w:rPr>
        <w:t xml:space="preserve">et Hof baseerde </w:t>
      </w:r>
      <w:r w:rsidR="00040969">
        <w:rPr>
          <w:sz w:val="24"/>
          <w:szCs w:val="24"/>
        </w:rPr>
        <w:t>zijn</w:t>
      </w:r>
      <w:r w:rsidR="0007610C" w:rsidRPr="00121A6A">
        <w:rPr>
          <w:sz w:val="24"/>
          <w:szCs w:val="24"/>
        </w:rPr>
        <w:t xml:space="preserve"> beslissing </w:t>
      </w:r>
      <w:r w:rsidR="00040969">
        <w:rPr>
          <w:sz w:val="24"/>
          <w:szCs w:val="24"/>
        </w:rPr>
        <w:t xml:space="preserve">in dit geval </w:t>
      </w:r>
      <w:r w:rsidR="0007610C" w:rsidRPr="00121A6A">
        <w:rPr>
          <w:sz w:val="24"/>
          <w:szCs w:val="24"/>
        </w:rPr>
        <w:t xml:space="preserve">rechtstreeks op het grondrecht op jaarlijkse vakantie met behoud van loon. </w:t>
      </w:r>
      <w:r w:rsidR="006E5A5F" w:rsidRPr="00121A6A">
        <w:rPr>
          <w:sz w:val="24"/>
          <w:szCs w:val="24"/>
        </w:rPr>
        <w:t>Daarmee</w:t>
      </w:r>
      <w:r w:rsidR="00562BE9" w:rsidRPr="00121A6A">
        <w:rPr>
          <w:sz w:val="24"/>
          <w:szCs w:val="24"/>
        </w:rPr>
        <w:t xml:space="preserve"> </w:t>
      </w:r>
      <w:r w:rsidR="00F16374" w:rsidRPr="00121A6A">
        <w:rPr>
          <w:sz w:val="24"/>
          <w:szCs w:val="24"/>
        </w:rPr>
        <w:t xml:space="preserve">aanvaardde het Hof </w:t>
      </w:r>
      <w:r w:rsidR="0007610C" w:rsidRPr="00121A6A">
        <w:rPr>
          <w:sz w:val="24"/>
          <w:szCs w:val="24"/>
        </w:rPr>
        <w:t xml:space="preserve">horizontale </w:t>
      </w:r>
      <w:r w:rsidR="00562BE9" w:rsidRPr="00121A6A">
        <w:rPr>
          <w:sz w:val="24"/>
          <w:szCs w:val="24"/>
        </w:rPr>
        <w:t xml:space="preserve">directe </w:t>
      </w:r>
      <w:r w:rsidR="0007610C" w:rsidRPr="00121A6A">
        <w:rPr>
          <w:sz w:val="24"/>
          <w:szCs w:val="24"/>
        </w:rPr>
        <w:t xml:space="preserve">werking van </w:t>
      </w:r>
      <w:r w:rsidR="003E3DCE">
        <w:rPr>
          <w:sz w:val="24"/>
          <w:szCs w:val="24"/>
        </w:rPr>
        <w:t>artikel 31 lid 2 Hv</w:t>
      </w:r>
      <w:r w:rsidR="0007610C" w:rsidRPr="00121A6A">
        <w:rPr>
          <w:sz w:val="24"/>
          <w:szCs w:val="24"/>
        </w:rPr>
        <w:t>.</w:t>
      </w:r>
      <w:r w:rsidR="0007610C" w:rsidRPr="00121A6A">
        <w:rPr>
          <w:rStyle w:val="FootnoteReference"/>
          <w:sz w:val="24"/>
          <w:szCs w:val="24"/>
        </w:rPr>
        <w:footnoteReference w:id="257"/>
      </w:r>
      <w:r w:rsidR="0007610C" w:rsidRPr="00121A6A">
        <w:rPr>
          <w:sz w:val="24"/>
          <w:szCs w:val="24"/>
        </w:rPr>
        <w:t xml:space="preserve"> </w:t>
      </w:r>
      <w:r w:rsidR="00175186">
        <w:rPr>
          <w:sz w:val="24"/>
          <w:szCs w:val="24"/>
        </w:rPr>
        <w:t>De t</w:t>
      </w:r>
      <w:r w:rsidR="0007610C" w:rsidRPr="00121A6A">
        <w:rPr>
          <w:sz w:val="24"/>
          <w:szCs w:val="24"/>
        </w:rPr>
        <w:t xml:space="preserve">oepassing van </w:t>
      </w:r>
      <w:r w:rsidR="003E3DCE">
        <w:rPr>
          <w:sz w:val="24"/>
          <w:szCs w:val="24"/>
        </w:rPr>
        <w:t xml:space="preserve">deze Handvestbepaling </w:t>
      </w:r>
      <w:r w:rsidR="0007610C" w:rsidRPr="00121A6A">
        <w:rPr>
          <w:sz w:val="24"/>
          <w:szCs w:val="24"/>
        </w:rPr>
        <w:t xml:space="preserve">op de privaatrechtelijke verhouding </w:t>
      </w:r>
      <w:r w:rsidR="006E5A5F" w:rsidRPr="00121A6A">
        <w:rPr>
          <w:sz w:val="24"/>
          <w:szCs w:val="24"/>
        </w:rPr>
        <w:t xml:space="preserve">leidde </w:t>
      </w:r>
      <w:r w:rsidR="0007610C" w:rsidRPr="00121A6A">
        <w:rPr>
          <w:sz w:val="24"/>
          <w:szCs w:val="24"/>
        </w:rPr>
        <w:t xml:space="preserve">immers </w:t>
      </w:r>
      <w:r w:rsidR="00196FE1" w:rsidRPr="00121A6A">
        <w:rPr>
          <w:sz w:val="24"/>
          <w:szCs w:val="24"/>
        </w:rPr>
        <w:t xml:space="preserve">niet alleen </w:t>
      </w:r>
      <w:r w:rsidR="0007610C" w:rsidRPr="00121A6A">
        <w:rPr>
          <w:sz w:val="24"/>
          <w:szCs w:val="24"/>
        </w:rPr>
        <w:t xml:space="preserve">ertoe dat de met de </w:t>
      </w:r>
      <w:r w:rsidR="006E5A5F" w:rsidRPr="00121A6A">
        <w:rPr>
          <w:sz w:val="24"/>
          <w:szCs w:val="24"/>
        </w:rPr>
        <w:t>Arbeidstijden</w:t>
      </w:r>
      <w:r w:rsidR="0007610C" w:rsidRPr="00121A6A">
        <w:rPr>
          <w:sz w:val="24"/>
          <w:szCs w:val="24"/>
        </w:rPr>
        <w:t xml:space="preserve">richtlijn strijdige nationale regeling buiten toepassing moest blijven, maar ook dat </w:t>
      </w:r>
      <w:r w:rsidR="00924FE0" w:rsidRPr="00121A6A">
        <w:rPr>
          <w:sz w:val="24"/>
          <w:szCs w:val="24"/>
        </w:rPr>
        <w:t>de bepaling</w:t>
      </w:r>
      <w:r w:rsidR="0007610C" w:rsidRPr="00121A6A">
        <w:rPr>
          <w:sz w:val="24"/>
          <w:szCs w:val="24"/>
        </w:rPr>
        <w:t xml:space="preserve"> – uitgelegd in het licht van artikel 7 Arbeidstijdenrichtlijn en de rechtspraak van het Hof daaromtrent – vervolgens de inhoud van de </w:t>
      </w:r>
      <w:r w:rsidR="007F659B">
        <w:rPr>
          <w:sz w:val="24"/>
          <w:szCs w:val="24"/>
        </w:rPr>
        <w:t xml:space="preserve">private </w:t>
      </w:r>
      <w:r w:rsidR="0007610C" w:rsidRPr="00121A6A">
        <w:rPr>
          <w:sz w:val="24"/>
          <w:szCs w:val="24"/>
        </w:rPr>
        <w:t>rechtsbetrekking bepaalde</w:t>
      </w:r>
      <w:r w:rsidR="00664BD2">
        <w:rPr>
          <w:sz w:val="24"/>
          <w:szCs w:val="24"/>
        </w:rPr>
        <w:t>.</w:t>
      </w:r>
      <w:r w:rsidR="002C2920">
        <w:rPr>
          <w:rStyle w:val="FootnoteReference"/>
          <w:sz w:val="24"/>
          <w:szCs w:val="24"/>
        </w:rPr>
        <w:footnoteReference w:id="258"/>
      </w:r>
      <w:r w:rsidR="006D014A">
        <w:rPr>
          <w:sz w:val="24"/>
          <w:szCs w:val="24"/>
        </w:rPr>
        <w:t xml:space="preserve"> </w:t>
      </w:r>
      <w:r w:rsidR="0007610C" w:rsidRPr="00121A6A">
        <w:rPr>
          <w:sz w:val="24"/>
          <w:szCs w:val="24"/>
        </w:rPr>
        <w:t>Doordat de (ontstane) leemte – of beter gezegd: de (reeds bestaande) onverenigbaarheid van de nationale wetgeving</w:t>
      </w:r>
      <w:r w:rsidR="00D47DB4" w:rsidRPr="00121A6A">
        <w:rPr>
          <w:sz w:val="24"/>
          <w:szCs w:val="24"/>
        </w:rPr>
        <w:t xml:space="preserve"> met het </w:t>
      </w:r>
      <w:r w:rsidR="00714FEB">
        <w:rPr>
          <w:sz w:val="24"/>
          <w:szCs w:val="24"/>
        </w:rPr>
        <w:t>Unie</w:t>
      </w:r>
      <w:r w:rsidR="00D47DB4" w:rsidRPr="00121A6A">
        <w:rPr>
          <w:sz w:val="24"/>
          <w:szCs w:val="24"/>
        </w:rPr>
        <w:t>recht</w:t>
      </w:r>
      <w:r w:rsidR="0007610C" w:rsidRPr="00121A6A">
        <w:rPr>
          <w:sz w:val="24"/>
          <w:szCs w:val="24"/>
        </w:rPr>
        <w:t xml:space="preserve"> –</w:t>
      </w:r>
      <w:r w:rsidR="00F522F2" w:rsidRPr="00121A6A">
        <w:rPr>
          <w:sz w:val="24"/>
          <w:szCs w:val="24"/>
        </w:rPr>
        <w:t xml:space="preserve"> </w:t>
      </w:r>
      <w:r w:rsidR="0007610C" w:rsidRPr="00121A6A">
        <w:rPr>
          <w:sz w:val="24"/>
          <w:szCs w:val="24"/>
        </w:rPr>
        <w:t xml:space="preserve">werd opgevuld met de inhoud van artikel 31 lid </w:t>
      </w:r>
      <w:r w:rsidR="006E5A5F" w:rsidRPr="00121A6A">
        <w:rPr>
          <w:sz w:val="24"/>
          <w:szCs w:val="24"/>
        </w:rPr>
        <w:t>2</w:t>
      </w:r>
      <w:r w:rsidR="0007610C" w:rsidRPr="00121A6A">
        <w:rPr>
          <w:sz w:val="24"/>
          <w:szCs w:val="24"/>
        </w:rPr>
        <w:t xml:space="preserve"> Hv</w:t>
      </w:r>
      <w:r w:rsidR="00494B97">
        <w:rPr>
          <w:sz w:val="24"/>
          <w:szCs w:val="24"/>
        </w:rPr>
        <w:t xml:space="preserve"> en deze bepaling </w:t>
      </w:r>
      <w:r w:rsidR="00494B97" w:rsidRPr="00121A6A">
        <w:rPr>
          <w:sz w:val="24"/>
          <w:szCs w:val="24"/>
        </w:rPr>
        <w:t xml:space="preserve">de rechtsgrondslag </w:t>
      </w:r>
      <w:r w:rsidR="00494B97">
        <w:rPr>
          <w:sz w:val="24"/>
          <w:szCs w:val="24"/>
        </w:rPr>
        <w:t>vormde</w:t>
      </w:r>
      <w:r w:rsidR="00494B97" w:rsidRPr="00121A6A">
        <w:rPr>
          <w:sz w:val="24"/>
          <w:szCs w:val="24"/>
        </w:rPr>
        <w:t xml:space="preserve"> voor het ontstaan van een vordering tussen particulieren (werknemer-werkgever)</w:t>
      </w:r>
      <w:r w:rsidR="00494B97">
        <w:rPr>
          <w:sz w:val="24"/>
          <w:szCs w:val="24"/>
        </w:rPr>
        <w:t>,</w:t>
      </w:r>
      <w:r w:rsidR="0007610C" w:rsidRPr="00121A6A">
        <w:rPr>
          <w:sz w:val="24"/>
          <w:szCs w:val="24"/>
        </w:rPr>
        <w:t xml:space="preserve"> </w:t>
      </w:r>
      <w:r w:rsidR="005A4444" w:rsidRPr="00121A6A">
        <w:rPr>
          <w:sz w:val="24"/>
          <w:szCs w:val="24"/>
        </w:rPr>
        <w:t xml:space="preserve">werkte </w:t>
      </w:r>
      <w:r w:rsidR="005A4444">
        <w:rPr>
          <w:sz w:val="24"/>
          <w:szCs w:val="24"/>
        </w:rPr>
        <w:t>deze bepaling</w:t>
      </w:r>
      <w:r w:rsidR="005A4444" w:rsidRPr="00121A6A">
        <w:rPr>
          <w:sz w:val="24"/>
          <w:szCs w:val="24"/>
        </w:rPr>
        <w:t xml:space="preserve"> rechtstreeks</w:t>
      </w:r>
      <w:r w:rsidR="00494B97">
        <w:rPr>
          <w:sz w:val="24"/>
          <w:szCs w:val="24"/>
        </w:rPr>
        <w:t xml:space="preserve"> en als autonome bron van subjectieve rechten</w:t>
      </w:r>
      <w:r w:rsidR="005A4444" w:rsidRPr="00121A6A">
        <w:rPr>
          <w:sz w:val="24"/>
          <w:szCs w:val="24"/>
        </w:rPr>
        <w:t xml:space="preserve"> door op </w:t>
      </w:r>
      <w:r w:rsidR="005A4444">
        <w:rPr>
          <w:sz w:val="24"/>
          <w:szCs w:val="24"/>
        </w:rPr>
        <w:t>de horizontale</w:t>
      </w:r>
      <w:r w:rsidR="005A4444" w:rsidRPr="00121A6A">
        <w:rPr>
          <w:sz w:val="24"/>
          <w:szCs w:val="24"/>
        </w:rPr>
        <w:t xml:space="preserve"> </w:t>
      </w:r>
      <w:r w:rsidR="005A4444">
        <w:rPr>
          <w:sz w:val="24"/>
          <w:szCs w:val="24"/>
        </w:rPr>
        <w:t>rechts</w:t>
      </w:r>
      <w:r w:rsidR="005A4444" w:rsidRPr="00121A6A">
        <w:rPr>
          <w:sz w:val="24"/>
          <w:szCs w:val="24"/>
        </w:rPr>
        <w:t>verhouding</w:t>
      </w:r>
      <w:r w:rsidR="0016178E">
        <w:rPr>
          <w:sz w:val="24"/>
          <w:szCs w:val="24"/>
        </w:rPr>
        <w:t>.</w:t>
      </w:r>
    </w:p>
    <w:p w14:paraId="1E5752AD" w14:textId="2DA541E3" w:rsidR="0007610C" w:rsidRPr="00121A6A" w:rsidRDefault="0007610C" w:rsidP="0007610C">
      <w:pPr>
        <w:spacing w:after="0"/>
        <w:ind w:firstLine="708"/>
        <w:jc w:val="both"/>
        <w:rPr>
          <w:sz w:val="24"/>
          <w:szCs w:val="24"/>
        </w:rPr>
      </w:pPr>
      <w:r w:rsidRPr="00121A6A">
        <w:rPr>
          <w:sz w:val="24"/>
          <w:szCs w:val="24"/>
        </w:rPr>
        <w:t xml:space="preserve">In het </w:t>
      </w:r>
      <w:proofErr w:type="spellStart"/>
      <w:r w:rsidRPr="00121A6A">
        <w:rPr>
          <w:i/>
          <w:iCs/>
          <w:sz w:val="24"/>
          <w:szCs w:val="24"/>
        </w:rPr>
        <w:t>Cresco</w:t>
      </w:r>
      <w:proofErr w:type="spellEnd"/>
      <w:r w:rsidRPr="00121A6A">
        <w:rPr>
          <w:sz w:val="24"/>
          <w:szCs w:val="24"/>
        </w:rPr>
        <w:t>-arrest ging het Hof nog een stapje verder.</w:t>
      </w:r>
      <w:r w:rsidRPr="00121A6A">
        <w:rPr>
          <w:rStyle w:val="FootnoteReference"/>
          <w:sz w:val="24"/>
          <w:szCs w:val="24"/>
        </w:rPr>
        <w:footnoteReference w:id="259"/>
      </w:r>
      <w:r w:rsidRPr="00121A6A">
        <w:rPr>
          <w:sz w:val="24"/>
          <w:szCs w:val="24"/>
        </w:rPr>
        <w:t xml:space="preserve"> In deze zaak draaide het om discriminatoire</w:t>
      </w:r>
      <w:r w:rsidR="00895E8C" w:rsidRPr="00121A6A">
        <w:rPr>
          <w:sz w:val="24"/>
          <w:szCs w:val="24"/>
        </w:rPr>
        <w:t>, met Richtlijn 2000/78/EG strijdige</w:t>
      </w:r>
      <w:r w:rsidRPr="00121A6A">
        <w:rPr>
          <w:sz w:val="24"/>
          <w:szCs w:val="24"/>
        </w:rPr>
        <w:t xml:space="preserve"> nationale wetgeving op grond waarvan enkel een bepaalde groep religieuzen aanspraak kon maken op een vrije dag op Goede Vrijdag. </w:t>
      </w:r>
      <w:r w:rsidR="00895E8C" w:rsidRPr="00121A6A">
        <w:rPr>
          <w:sz w:val="24"/>
          <w:szCs w:val="24"/>
        </w:rPr>
        <w:t xml:space="preserve">Met het </w:t>
      </w:r>
      <w:r w:rsidRPr="00121A6A">
        <w:rPr>
          <w:sz w:val="24"/>
          <w:szCs w:val="24"/>
        </w:rPr>
        <w:t>buiten toepassing laten van deze nationale wetgeving</w:t>
      </w:r>
      <w:r w:rsidR="00895E8C" w:rsidRPr="00121A6A">
        <w:rPr>
          <w:sz w:val="24"/>
          <w:szCs w:val="24"/>
        </w:rPr>
        <w:t xml:space="preserve"> via artikel 21 Hv kon evenwel </w:t>
      </w:r>
      <w:r w:rsidRPr="00121A6A">
        <w:rPr>
          <w:sz w:val="24"/>
          <w:szCs w:val="24"/>
        </w:rPr>
        <w:t xml:space="preserve">de discriminatie van de procederende werknemer niet </w:t>
      </w:r>
      <w:r w:rsidR="00895E8C" w:rsidRPr="00121A6A">
        <w:rPr>
          <w:sz w:val="24"/>
          <w:szCs w:val="24"/>
        </w:rPr>
        <w:t xml:space="preserve">worden </w:t>
      </w:r>
      <w:r w:rsidRPr="00121A6A">
        <w:rPr>
          <w:sz w:val="24"/>
          <w:szCs w:val="24"/>
        </w:rPr>
        <w:t xml:space="preserve">gerepareerd. De vraag was derhalve of de werknemer met een rechtstreeks beroep op artikel 21 Hv zijn private werkgever kon verplichten </w:t>
      </w:r>
      <w:r w:rsidR="00FC4325">
        <w:rPr>
          <w:sz w:val="24"/>
          <w:szCs w:val="24"/>
        </w:rPr>
        <w:t xml:space="preserve">om </w:t>
      </w:r>
      <w:r w:rsidRPr="00121A6A">
        <w:rPr>
          <w:sz w:val="24"/>
          <w:szCs w:val="24"/>
        </w:rPr>
        <w:t>een feestdagentoeslag uit te betalen voor verrichte arbeid op Goede Vrijdag. Het Hof beantwoordde deze vraag bevestigend en koos zodoende, conform vaste rechtspraak, voor ‘opwaartse gelijkschakeling’ van het nationale recht.</w:t>
      </w:r>
      <w:r w:rsidR="00D33E9F" w:rsidRPr="00121A6A">
        <w:rPr>
          <w:rStyle w:val="FootnoteReference"/>
          <w:sz w:val="24"/>
          <w:szCs w:val="24"/>
        </w:rPr>
        <w:footnoteReference w:id="260"/>
      </w:r>
      <w:r w:rsidRPr="00121A6A">
        <w:rPr>
          <w:sz w:val="24"/>
          <w:szCs w:val="24"/>
        </w:rPr>
        <w:t xml:space="preserve"> Dit had tot gevolg dat </w:t>
      </w:r>
      <w:r w:rsidR="0092057A" w:rsidRPr="00121A6A">
        <w:rPr>
          <w:sz w:val="24"/>
          <w:szCs w:val="24"/>
        </w:rPr>
        <w:t>direct</w:t>
      </w:r>
      <w:r w:rsidRPr="00121A6A">
        <w:rPr>
          <w:sz w:val="24"/>
          <w:szCs w:val="24"/>
        </w:rPr>
        <w:t xml:space="preserve"> op grond van artikel 21 Hv een verplichting werd opgelegd aan een particuliere partij. Eleveld schrijft hierover dat de werkgever feitelijk opdraaide voor de grondrechtenschending </w:t>
      </w:r>
      <w:r w:rsidRPr="00897EA3">
        <w:rPr>
          <w:i/>
          <w:iCs/>
          <w:sz w:val="24"/>
          <w:szCs w:val="24"/>
        </w:rPr>
        <w:t>alsof</w:t>
      </w:r>
      <w:r w:rsidRPr="00121A6A">
        <w:rPr>
          <w:sz w:val="24"/>
          <w:szCs w:val="24"/>
        </w:rPr>
        <w:t xml:space="preserve"> deze was veroorzaakt door zuiver </w:t>
      </w:r>
      <w:r w:rsidRPr="00D33E9F">
        <w:rPr>
          <w:i/>
          <w:iCs/>
          <w:sz w:val="24"/>
          <w:szCs w:val="24"/>
        </w:rPr>
        <w:t>particulier</w:t>
      </w:r>
      <w:r w:rsidRPr="00121A6A">
        <w:rPr>
          <w:sz w:val="24"/>
          <w:szCs w:val="24"/>
        </w:rPr>
        <w:t xml:space="preserve"> handelen in plaats van door </w:t>
      </w:r>
      <w:r w:rsidRPr="00D33E9F">
        <w:rPr>
          <w:i/>
          <w:iCs/>
          <w:sz w:val="24"/>
          <w:szCs w:val="24"/>
        </w:rPr>
        <w:t>overheids</w:t>
      </w:r>
      <w:r w:rsidRPr="00121A6A">
        <w:rPr>
          <w:sz w:val="24"/>
          <w:szCs w:val="24"/>
        </w:rPr>
        <w:t>handelen.</w:t>
      </w:r>
      <w:r w:rsidRPr="00121A6A">
        <w:rPr>
          <w:rStyle w:val="FootnoteReference"/>
          <w:sz w:val="24"/>
          <w:szCs w:val="24"/>
        </w:rPr>
        <w:footnoteReference w:id="261"/>
      </w:r>
      <w:r w:rsidRPr="00121A6A">
        <w:rPr>
          <w:sz w:val="24"/>
          <w:szCs w:val="24"/>
        </w:rPr>
        <w:t xml:space="preserve"> Volgens haar is dit opmerkelijk omdat het Hof – in lijn met de conclusie van A-G Bobek</w:t>
      </w:r>
      <w:r w:rsidR="0092057A" w:rsidRPr="00121A6A">
        <w:rPr>
          <w:rStyle w:val="FootnoteReference"/>
          <w:sz w:val="24"/>
          <w:szCs w:val="24"/>
        </w:rPr>
        <w:footnoteReference w:id="262"/>
      </w:r>
      <w:r w:rsidRPr="00121A6A">
        <w:rPr>
          <w:sz w:val="24"/>
          <w:szCs w:val="24"/>
        </w:rPr>
        <w:t xml:space="preserve"> –</w:t>
      </w:r>
      <w:r w:rsidR="0092057A" w:rsidRPr="00121A6A">
        <w:rPr>
          <w:sz w:val="24"/>
          <w:szCs w:val="24"/>
        </w:rPr>
        <w:t xml:space="preserve"> </w:t>
      </w:r>
      <w:r w:rsidRPr="00121A6A">
        <w:rPr>
          <w:sz w:val="24"/>
          <w:szCs w:val="24"/>
        </w:rPr>
        <w:t xml:space="preserve">ook ervoor had kunnen </w:t>
      </w:r>
      <w:r w:rsidRPr="00121A6A">
        <w:rPr>
          <w:sz w:val="24"/>
          <w:szCs w:val="24"/>
        </w:rPr>
        <w:lastRenderedPageBreak/>
        <w:t>kiezen om de</w:t>
      </w:r>
      <w:r w:rsidR="00D33E9F">
        <w:rPr>
          <w:sz w:val="24"/>
          <w:szCs w:val="24"/>
        </w:rPr>
        <w:t xml:space="preserve"> nationale</w:t>
      </w:r>
      <w:r w:rsidRPr="00121A6A">
        <w:rPr>
          <w:sz w:val="24"/>
          <w:szCs w:val="24"/>
        </w:rPr>
        <w:t xml:space="preserve"> wettelijke bepaling buiten toepassing te laten en de benadeelde werknemer te verwijzen naar een staatsaansprakelijkheidsprocedure conform de </w:t>
      </w:r>
      <w:proofErr w:type="spellStart"/>
      <w:r w:rsidRPr="00121A6A">
        <w:rPr>
          <w:i/>
          <w:iCs/>
          <w:sz w:val="24"/>
          <w:szCs w:val="24"/>
        </w:rPr>
        <w:t>Francovich</w:t>
      </w:r>
      <w:proofErr w:type="spellEnd"/>
      <w:r w:rsidRPr="00121A6A">
        <w:rPr>
          <w:sz w:val="24"/>
          <w:szCs w:val="24"/>
        </w:rPr>
        <w:t>-doctrine.</w:t>
      </w:r>
      <w:r w:rsidRPr="00121A6A">
        <w:rPr>
          <w:rStyle w:val="FootnoteReference"/>
          <w:sz w:val="24"/>
          <w:szCs w:val="24"/>
        </w:rPr>
        <w:footnoteReference w:id="263"/>
      </w:r>
    </w:p>
    <w:p w14:paraId="170B7762" w14:textId="77777777" w:rsidR="0007610C" w:rsidRPr="00121A6A" w:rsidRDefault="0007610C" w:rsidP="0007610C">
      <w:pPr>
        <w:spacing w:after="0"/>
        <w:jc w:val="both"/>
        <w:rPr>
          <w:sz w:val="24"/>
          <w:szCs w:val="24"/>
        </w:rPr>
      </w:pPr>
    </w:p>
    <w:p w14:paraId="2DEFA546" w14:textId="4B61F94D" w:rsidR="0007610C" w:rsidRPr="00121A6A" w:rsidRDefault="005662DE" w:rsidP="0007610C">
      <w:pPr>
        <w:pStyle w:val="Heading3"/>
        <w:jc w:val="both"/>
        <w:rPr>
          <w:sz w:val="24"/>
          <w:szCs w:val="24"/>
        </w:rPr>
      </w:pPr>
      <w:bookmarkStart w:id="90" w:name="_Toc169963080"/>
      <w:r>
        <w:rPr>
          <w:sz w:val="24"/>
          <w:szCs w:val="24"/>
        </w:rPr>
        <w:t>Zuiver h</w:t>
      </w:r>
      <w:r w:rsidR="0007610C" w:rsidRPr="00121A6A">
        <w:rPr>
          <w:sz w:val="24"/>
          <w:szCs w:val="24"/>
        </w:rPr>
        <w:t>orizontale</w:t>
      </w:r>
      <w:r w:rsidR="00D570CF" w:rsidRPr="00D570CF">
        <w:rPr>
          <w:sz w:val="24"/>
          <w:szCs w:val="24"/>
        </w:rPr>
        <w:t xml:space="preserve"> </w:t>
      </w:r>
      <w:r w:rsidR="00D570CF">
        <w:rPr>
          <w:sz w:val="24"/>
          <w:szCs w:val="24"/>
        </w:rPr>
        <w:t>directe</w:t>
      </w:r>
      <w:r w:rsidR="0007610C" w:rsidRPr="00121A6A">
        <w:rPr>
          <w:sz w:val="24"/>
          <w:szCs w:val="24"/>
        </w:rPr>
        <w:t xml:space="preserve"> werking </w:t>
      </w:r>
      <w:r w:rsidR="0038473D">
        <w:rPr>
          <w:sz w:val="24"/>
          <w:szCs w:val="24"/>
        </w:rPr>
        <w:t xml:space="preserve">van </w:t>
      </w:r>
      <w:r w:rsidR="0007610C" w:rsidRPr="00121A6A">
        <w:rPr>
          <w:sz w:val="24"/>
          <w:szCs w:val="24"/>
        </w:rPr>
        <w:t>artikel 28 Hv: toekomstmuziek?</w:t>
      </w:r>
      <w:bookmarkEnd w:id="90"/>
    </w:p>
    <w:p w14:paraId="5DA42A85" w14:textId="773444E5" w:rsidR="0007610C" w:rsidRPr="00121A6A" w:rsidRDefault="0007610C" w:rsidP="00FC0D86">
      <w:pPr>
        <w:spacing w:after="0"/>
        <w:jc w:val="both"/>
        <w:rPr>
          <w:sz w:val="24"/>
          <w:szCs w:val="24"/>
        </w:rPr>
      </w:pPr>
      <w:r w:rsidRPr="00121A6A">
        <w:rPr>
          <w:sz w:val="24"/>
          <w:szCs w:val="24"/>
        </w:rPr>
        <w:t xml:space="preserve">Het feit dat het Hof in </w:t>
      </w:r>
      <w:proofErr w:type="spellStart"/>
      <w:r w:rsidRPr="00121A6A">
        <w:rPr>
          <w:i/>
          <w:iCs/>
          <w:sz w:val="24"/>
          <w:szCs w:val="24"/>
        </w:rPr>
        <w:t>Cresco</w:t>
      </w:r>
      <w:proofErr w:type="spellEnd"/>
      <w:r w:rsidRPr="00121A6A">
        <w:rPr>
          <w:sz w:val="24"/>
          <w:szCs w:val="24"/>
        </w:rPr>
        <w:t xml:space="preserve"> koos voor een sterke vorm van ‘horizontale directe werking: toetsing van </w:t>
      </w:r>
      <w:r w:rsidRPr="005662DE">
        <w:rPr>
          <w:i/>
          <w:iCs/>
          <w:sz w:val="24"/>
          <w:szCs w:val="24"/>
        </w:rPr>
        <w:t>overheids</w:t>
      </w:r>
      <w:r w:rsidRPr="00121A6A">
        <w:rPr>
          <w:sz w:val="24"/>
          <w:szCs w:val="24"/>
        </w:rPr>
        <w:t>handelen’</w:t>
      </w:r>
      <w:r w:rsidR="00990FA1">
        <w:rPr>
          <w:sz w:val="24"/>
          <w:szCs w:val="24"/>
        </w:rPr>
        <w:t>,</w:t>
      </w:r>
      <w:r w:rsidRPr="00121A6A">
        <w:rPr>
          <w:sz w:val="24"/>
          <w:szCs w:val="24"/>
        </w:rPr>
        <w:t xml:space="preserve"> vormt volgens Eleveld een aanwijzing dat de variant ‘toetsing van </w:t>
      </w:r>
      <w:r w:rsidRPr="005662DE">
        <w:rPr>
          <w:i/>
          <w:iCs/>
          <w:sz w:val="24"/>
          <w:szCs w:val="24"/>
        </w:rPr>
        <w:t>particulier</w:t>
      </w:r>
      <w:r w:rsidRPr="00121A6A">
        <w:rPr>
          <w:sz w:val="24"/>
          <w:szCs w:val="24"/>
        </w:rPr>
        <w:t xml:space="preserve"> handelen’ wellicht (in de toekomst) tot de mogelijkheden zou kunnen behoren.</w:t>
      </w:r>
      <w:r w:rsidRPr="00121A6A">
        <w:rPr>
          <w:rStyle w:val="FootnoteReference"/>
          <w:sz w:val="24"/>
          <w:szCs w:val="24"/>
        </w:rPr>
        <w:footnoteReference w:id="264"/>
      </w:r>
      <w:r w:rsidRPr="00121A6A">
        <w:rPr>
          <w:sz w:val="24"/>
          <w:szCs w:val="24"/>
        </w:rPr>
        <w:t xml:space="preserve"> Net als De Mol redeneert </w:t>
      </w:r>
      <w:proofErr w:type="spellStart"/>
      <w:r w:rsidRPr="00121A6A">
        <w:rPr>
          <w:sz w:val="24"/>
          <w:szCs w:val="24"/>
        </w:rPr>
        <w:t>Haket</w:t>
      </w:r>
      <w:proofErr w:type="spellEnd"/>
      <w:r w:rsidRPr="00121A6A">
        <w:rPr>
          <w:sz w:val="24"/>
          <w:szCs w:val="24"/>
        </w:rPr>
        <w:t xml:space="preserve"> langs andere weg dat zuiver horizontale </w:t>
      </w:r>
      <w:r w:rsidR="00D570CF" w:rsidRPr="00121A6A">
        <w:rPr>
          <w:sz w:val="24"/>
          <w:szCs w:val="24"/>
        </w:rPr>
        <w:t xml:space="preserve">directe </w:t>
      </w:r>
      <w:r w:rsidRPr="00121A6A">
        <w:rPr>
          <w:sz w:val="24"/>
          <w:szCs w:val="24"/>
        </w:rPr>
        <w:t xml:space="preserve">werking </w:t>
      </w:r>
      <w:r w:rsidR="00D570CF">
        <w:rPr>
          <w:sz w:val="24"/>
          <w:szCs w:val="24"/>
        </w:rPr>
        <w:t xml:space="preserve">van het Handvest </w:t>
      </w:r>
      <w:r w:rsidRPr="00121A6A">
        <w:rPr>
          <w:sz w:val="24"/>
          <w:szCs w:val="24"/>
        </w:rPr>
        <w:t>niet (geheel) uitgesloten is</w:t>
      </w:r>
      <w:r w:rsidR="00136098" w:rsidRPr="00121A6A">
        <w:rPr>
          <w:sz w:val="24"/>
          <w:szCs w:val="24"/>
        </w:rPr>
        <w:t>.</w:t>
      </w:r>
      <w:r w:rsidRPr="00121A6A">
        <w:rPr>
          <w:rStyle w:val="FootnoteReference"/>
          <w:sz w:val="24"/>
          <w:szCs w:val="24"/>
        </w:rPr>
        <w:footnoteReference w:id="265"/>
      </w:r>
      <w:r w:rsidRPr="00121A6A">
        <w:rPr>
          <w:sz w:val="24"/>
          <w:szCs w:val="24"/>
        </w:rPr>
        <w:t xml:space="preserve"> </w:t>
      </w:r>
      <w:r w:rsidR="00136098" w:rsidRPr="00121A6A">
        <w:rPr>
          <w:sz w:val="24"/>
          <w:szCs w:val="24"/>
        </w:rPr>
        <w:t>O</w:t>
      </w:r>
      <w:r w:rsidRPr="00121A6A">
        <w:rPr>
          <w:sz w:val="24"/>
          <w:szCs w:val="24"/>
        </w:rPr>
        <w:t xml:space="preserve">p andere gronden </w:t>
      </w:r>
      <w:r w:rsidR="00136098" w:rsidRPr="00121A6A">
        <w:rPr>
          <w:sz w:val="24"/>
          <w:szCs w:val="24"/>
        </w:rPr>
        <w:t xml:space="preserve">wordt dit </w:t>
      </w:r>
      <w:r w:rsidRPr="00121A6A">
        <w:rPr>
          <w:sz w:val="24"/>
          <w:szCs w:val="24"/>
        </w:rPr>
        <w:t xml:space="preserve">eveneens geopperd door </w:t>
      </w:r>
      <w:proofErr w:type="spellStart"/>
      <w:r w:rsidRPr="00121A6A">
        <w:rPr>
          <w:sz w:val="24"/>
          <w:szCs w:val="24"/>
        </w:rPr>
        <w:t>Cecchetti</w:t>
      </w:r>
      <w:proofErr w:type="spellEnd"/>
      <w:r w:rsidRPr="00121A6A">
        <w:rPr>
          <w:sz w:val="24"/>
          <w:szCs w:val="24"/>
        </w:rPr>
        <w:t>.</w:t>
      </w:r>
      <w:r w:rsidRPr="00121A6A">
        <w:rPr>
          <w:rStyle w:val="FootnoteReference"/>
          <w:sz w:val="24"/>
          <w:szCs w:val="24"/>
        </w:rPr>
        <w:footnoteReference w:id="266"/>
      </w:r>
      <w:r w:rsidRPr="00121A6A">
        <w:rPr>
          <w:sz w:val="24"/>
          <w:szCs w:val="24"/>
        </w:rPr>
        <w:t xml:space="preserve"> Dat zou betekenen dat het Hof het impliciet uit artikel 51 lid 1 Hv voortvloeiende gegeven dat Handvestbepalingen niet gericht zijn tot particulieren geheel zou laten varen</w:t>
      </w:r>
      <w:r w:rsidR="002B6191">
        <w:rPr>
          <w:sz w:val="24"/>
          <w:szCs w:val="24"/>
        </w:rPr>
        <w:t>.</w:t>
      </w:r>
      <w:r w:rsidRPr="00121A6A">
        <w:rPr>
          <w:rStyle w:val="FootnoteReference"/>
          <w:sz w:val="24"/>
          <w:szCs w:val="24"/>
        </w:rPr>
        <w:footnoteReference w:id="267"/>
      </w:r>
      <w:r w:rsidRPr="00121A6A">
        <w:rPr>
          <w:sz w:val="24"/>
          <w:szCs w:val="24"/>
        </w:rPr>
        <w:t xml:space="preserve"> </w:t>
      </w:r>
      <w:r w:rsidR="002B6191">
        <w:rPr>
          <w:sz w:val="24"/>
          <w:szCs w:val="24"/>
        </w:rPr>
        <w:t>Z</w:t>
      </w:r>
      <w:r w:rsidRPr="00121A6A">
        <w:rPr>
          <w:sz w:val="24"/>
          <w:szCs w:val="24"/>
        </w:rPr>
        <w:t>odra particulier handelen valt binnen de werkingssfeer van het EU-recht</w:t>
      </w:r>
      <w:r w:rsidR="00057A19">
        <w:rPr>
          <w:sz w:val="24"/>
          <w:szCs w:val="24"/>
        </w:rPr>
        <w:t>,</w:t>
      </w:r>
      <w:r w:rsidRPr="00121A6A">
        <w:rPr>
          <w:sz w:val="24"/>
          <w:szCs w:val="24"/>
        </w:rPr>
        <w:t xml:space="preserve"> zou dit handelen kunnen worden getoetst aan rechtstreeks werkende Uniegrondrechten. </w:t>
      </w:r>
      <w:r w:rsidR="00FC0D86">
        <w:rPr>
          <w:sz w:val="24"/>
          <w:szCs w:val="24"/>
        </w:rPr>
        <w:t xml:space="preserve">Toch trekt </w:t>
      </w:r>
      <w:r w:rsidRPr="00121A6A">
        <w:rPr>
          <w:sz w:val="24"/>
          <w:szCs w:val="24"/>
        </w:rPr>
        <w:t>Ter Haar</w:t>
      </w:r>
      <w:r w:rsidR="00057A19">
        <w:rPr>
          <w:sz w:val="24"/>
          <w:szCs w:val="24"/>
        </w:rPr>
        <w:t xml:space="preserve"> </w:t>
      </w:r>
      <w:r w:rsidRPr="00121A6A">
        <w:rPr>
          <w:sz w:val="24"/>
          <w:szCs w:val="24"/>
        </w:rPr>
        <w:t xml:space="preserve">deze vorm van horizontale </w:t>
      </w:r>
      <w:r w:rsidR="00236DA8">
        <w:rPr>
          <w:sz w:val="24"/>
          <w:szCs w:val="24"/>
        </w:rPr>
        <w:t>directe</w:t>
      </w:r>
      <w:r w:rsidRPr="00121A6A">
        <w:rPr>
          <w:sz w:val="24"/>
          <w:szCs w:val="24"/>
        </w:rPr>
        <w:t xml:space="preserve"> werking onder verwijzing naar het eerdergenoemde </w:t>
      </w:r>
      <w:r w:rsidRPr="00121A6A">
        <w:rPr>
          <w:i/>
          <w:iCs/>
          <w:sz w:val="24"/>
          <w:szCs w:val="24"/>
        </w:rPr>
        <w:t>TSN</w:t>
      </w:r>
      <w:r w:rsidRPr="00121A6A">
        <w:rPr>
          <w:sz w:val="24"/>
          <w:szCs w:val="24"/>
        </w:rPr>
        <w:t>-arrest (par. 4.2) in twijfel.</w:t>
      </w:r>
      <w:r w:rsidRPr="00121A6A">
        <w:rPr>
          <w:rStyle w:val="FootnoteReference"/>
          <w:sz w:val="24"/>
          <w:szCs w:val="24"/>
        </w:rPr>
        <w:footnoteReference w:id="268"/>
      </w:r>
      <w:r w:rsidRPr="00121A6A">
        <w:rPr>
          <w:sz w:val="24"/>
          <w:szCs w:val="24"/>
        </w:rPr>
        <w:t xml:space="preserve"> </w:t>
      </w:r>
      <w:r w:rsidR="00E61033">
        <w:rPr>
          <w:sz w:val="24"/>
          <w:szCs w:val="24"/>
        </w:rPr>
        <w:t>Zij</w:t>
      </w:r>
      <w:r w:rsidRPr="00121A6A">
        <w:rPr>
          <w:sz w:val="24"/>
          <w:szCs w:val="24"/>
        </w:rPr>
        <w:t xml:space="preserve"> werpt in feite de vraag op in hoeverre Handvestbepalingen</w:t>
      </w:r>
      <w:r w:rsidR="00136098" w:rsidRPr="00121A6A">
        <w:rPr>
          <w:sz w:val="24"/>
          <w:szCs w:val="24"/>
        </w:rPr>
        <w:t>,</w:t>
      </w:r>
      <w:r w:rsidRPr="00121A6A">
        <w:rPr>
          <w:sz w:val="24"/>
          <w:szCs w:val="24"/>
        </w:rPr>
        <w:t xml:space="preserve"> gelet op </w:t>
      </w:r>
      <w:r w:rsidR="00136098" w:rsidRPr="00121A6A">
        <w:rPr>
          <w:sz w:val="24"/>
          <w:szCs w:val="24"/>
        </w:rPr>
        <w:t>de</w:t>
      </w:r>
      <w:r w:rsidRPr="00121A6A">
        <w:rPr>
          <w:sz w:val="24"/>
          <w:szCs w:val="24"/>
        </w:rPr>
        <w:t xml:space="preserve"> beperkte </w:t>
      </w:r>
      <w:r w:rsidR="00136098" w:rsidRPr="00121A6A">
        <w:rPr>
          <w:sz w:val="24"/>
          <w:szCs w:val="24"/>
        </w:rPr>
        <w:t>reikwijdte</w:t>
      </w:r>
      <w:r w:rsidRPr="00121A6A">
        <w:rPr>
          <w:sz w:val="24"/>
          <w:szCs w:val="24"/>
        </w:rPr>
        <w:t xml:space="preserve"> van het Handvest</w:t>
      </w:r>
      <w:r w:rsidR="00136098" w:rsidRPr="00121A6A">
        <w:rPr>
          <w:sz w:val="24"/>
          <w:szCs w:val="24"/>
        </w:rPr>
        <w:t>,</w:t>
      </w:r>
      <w:r w:rsidRPr="00121A6A">
        <w:rPr>
          <w:sz w:val="24"/>
          <w:szCs w:val="24"/>
        </w:rPr>
        <w:t xml:space="preserve"> nu daadwerkelijk autonoom kunnen doorwerken </w:t>
      </w:r>
      <w:r w:rsidR="00236DA8">
        <w:rPr>
          <w:sz w:val="24"/>
          <w:szCs w:val="24"/>
        </w:rPr>
        <w:t>in</w:t>
      </w:r>
      <w:r w:rsidRPr="00121A6A">
        <w:rPr>
          <w:sz w:val="24"/>
          <w:szCs w:val="24"/>
        </w:rPr>
        <w:t xml:space="preserve"> privaatrechtelijke verhoudingen. </w:t>
      </w:r>
      <w:r w:rsidR="00E61033">
        <w:rPr>
          <w:sz w:val="24"/>
          <w:szCs w:val="24"/>
        </w:rPr>
        <w:t>Haars</w:t>
      </w:r>
      <w:r w:rsidRPr="00121A6A">
        <w:rPr>
          <w:sz w:val="24"/>
          <w:szCs w:val="24"/>
        </w:rPr>
        <w:t xml:space="preserve"> inziens kan zuiver horizontale </w:t>
      </w:r>
      <w:r w:rsidR="00D570CF" w:rsidRPr="00121A6A">
        <w:rPr>
          <w:sz w:val="24"/>
          <w:szCs w:val="24"/>
        </w:rPr>
        <w:t xml:space="preserve">directe </w:t>
      </w:r>
      <w:r w:rsidRPr="00121A6A">
        <w:rPr>
          <w:sz w:val="24"/>
          <w:szCs w:val="24"/>
        </w:rPr>
        <w:t xml:space="preserve">werking van </w:t>
      </w:r>
      <w:r w:rsidR="00236DA8">
        <w:rPr>
          <w:sz w:val="24"/>
          <w:szCs w:val="24"/>
        </w:rPr>
        <w:t>Unie</w:t>
      </w:r>
      <w:r w:rsidRPr="00121A6A">
        <w:rPr>
          <w:sz w:val="24"/>
          <w:szCs w:val="24"/>
        </w:rPr>
        <w:t xml:space="preserve">grondrechten in het </w:t>
      </w:r>
      <w:r w:rsidR="00236DA8">
        <w:rPr>
          <w:sz w:val="24"/>
          <w:szCs w:val="24"/>
        </w:rPr>
        <w:t>huidige</w:t>
      </w:r>
      <w:r w:rsidRPr="00121A6A">
        <w:rPr>
          <w:sz w:val="24"/>
          <w:szCs w:val="24"/>
        </w:rPr>
        <w:t xml:space="preserve"> systeem </w:t>
      </w:r>
      <w:r w:rsidR="0069189F">
        <w:rPr>
          <w:sz w:val="24"/>
          <w:szCs w:val="24"/>
        </w:rPr>
        <w:t xml:space="preserve">van het Handvest </w:t>
      </w:r>
      <w:r w:rsidRPr="00121A6A">
        <w:rPr>
          <w:sz w:val="24"/>
          <w:szCs w:val="24"/>
        </w:rPr>
        <w:t xml:space="preserve">gewoonweg niet bestaan. De harde beperking van artikel 51 lid 1 Hv dat het moet gaan om een onderwerp waarmee de lidstaat uitvoering geeft aan </w:t>
      </w:r>
      <w:r w:rsidR="00236DA8">
        <w:rPr>
          <w:sz w:val="24"/>
          <w:szCs w:val="24"/>
        </w:rPr>
        <w:t xml:space="preserve">het </w:t>
      </w:r>
      <w:r w:rsidRPr="00121A6A">
        <w:rPr>
          <w:sz w:val="24"/>
          <w:szCs w:val="24"/>
        </w:rPr>
        <w:t>Unierecht, dwingt immers ertoe dat</w:t>
      </w:r>
      <w:r w:rsidR="00236DA8">
        <w:rPr>
          <w:sz w:val="24"/>
          <w:szCs w:val="24"/>
        </w:rPr>
        <w:t xml:space="preserve"> de</w:t>
      </w:r>
      <w:r w:rsidRPr="00121A6A">
        <w:rPr>
          <w:sz w:val="24"/>
          <w:szCs w:val="24"/>
        </w:rPr>
        <w:t xml:space="preserve"> toetsing aan het Handvest in horizontale geschillen getrapt plaatsvindt</w:t>
      </w:r>
      <w:r w:rsidR="00FB0C6B" w:rsidRPr="00121A6A">
        <w:rPr>
          <w:sz w:val="24"/>
          <w:szCs w:val="24"/>
        </w:rPr>
        <w:t>:</w:t>
      </w:r>
      <w:r w:rsidRPr="00121A6A">
        <w:rPr>
          <w:sz w:val="24"/>
          <w:szCs w:val="24"/>
        </w:rPr>
        <w:t xml:space="preserve"> beginnend bij het nationale recht (de litigieuze overheidshandeling), via een bepaling van (secundair) Unierecht naar </w:t>
      </w:r>
      <w:r w:rsidR="00FB0C6B" w:rsidRPr="00121A6A">
        <w:rPr>
          <w:sz w:val="24"/>
          <w:szCs w:val="24"/>
        </w:rPr>
        <w:t>een</w:t>
      </w:r>
      <w:r w:rsidRPr="00121A6A">
        <w:rPr>
          <w:sz w:val="24"/>
          <w:szCs w:val="24"/>
        </w:rPr>
        <w:t xml:space="preserve"> grondrecht uit het Handvest.</w:t>
      </w:r>
    </w:p>
    <w:p w14:paraId="7E002414" w14:textId="592A52DC" w:rsidR="0007610C" w:rsidRPr="00121A6A" w:rsidRDefault="0007610C" w:rsidP="0007610C">
      <w:pPr>
        <w:spacing w:after="0"/>
        <w:ind w:firstLine="708"/>
        <w:jc w:val="both"/>
        <w:rPr>
          <w:sz w:val="24"/>
          <w:szCs w:val="24"/>
        </w:rPr>
      </w:pPr>
      <w:r w:rsidRPr="00121A6A">
        <w:rPr>
          <w:sz w:val="24"/>
          <w:szCs w:val="24"/>
        </w:rPr>
        <w:t>In dit ‘getrapte systeem’ krijgt bovendien de betreffende Handvestbepaling geen substantiële, autonome, normatieve invulling,</w:t>
      </w:r>
      <w:r w:rsidRPr="00121A6A">
        <w:rPr>
          <w:rStyle w:val="FootnoteReference"/>
          <w:sz w:val="24"/>
          <w:szCs w:val="24"/>
        </w:rPr>
        <w:footnoteReference w:id="269"/>
      </w:r>
      <w:r w:rsidRPr="00121A6A">
        <w:rPr>
          <w:sz w:val="24"/>
          <w:szCs w:val="24"/>
        </w:rPr>
        <w:t xml:space="preserve"> maar wordt de materiële inhoud en reikwijdte van het Uniegrondrecht </w:t>
      </w:r>
      <w:r w:rsidRPr="00121A6A">
        <w:rPr>
          <w:i/>
          <w:iCs/>
          <w:sz w:val="24"/>
          <w:szCs w:val="24"/>
        </w:rPr>
        <w:t xml:space="preserve">de facto </w:t>
      </w:r>
      <w:r w:rsidRPr="00121A6A">
        <w:rPr>
          <w:sz w:val="24"/>
          <w:szCs w:val="24"/>
        </w:rPr>
        <w:t xml:space="preserve">steeds bepaald door </w:t>
      </w:r>
      <w:r w:rsidR="00BE2FD0">
        <w:rPr>
          <w:sz w:val="24"/>
          <w:szCs w:val="24"/>
        </w:rPr>
        <w:t>een</w:t>
      </w:r>
      <w:r w:rsidRPr="00121A6A">
        <w:rPr>
          <w:sz w:val="24"/>
          <w:szCs w:val="24"/>
        </w:rPr>
        <w:t xml:space="preserve"> richtlijn die daaraan concreet gestalte geeft.</w:t>
      </w:r>
      <w:r w:rsidRPr="00121A6A">
        <w:rPr>
          <w:rStyle w:val="FootnoteReference"/>
          <w:sz w:val="24"/>
          <w:szCs w:val="24"/>
        </w:rPr>
        <w:footnoteReference w:id="270"/>
      </w:r>
      <w:r w:rsidRPr="00121A6A">
        <w:rPr>
          <w:sz w:val="24"/>
          <w:szCs w:val="24"/>
        </w:rPr>
        <w:t xml:space="preserve"> Dit punt sluit aan op hetgeen De Mol zich afvraagt, namelijk in hoeverre het samenspel tussen een richtlijn waarin </w:t>
      </w:r>
      <w:r w:rsidR="00236DA8">
        <w:rPr>
          <w:sz w:val="24"/>
          <w:szCs w:val="24"/>
        </w:rPr>
        <w:t>het</w:t>
      </w:r>
      <w:r w:rsidRPr="00121A6A">
        <w:rPr>
          <w:sz w:val="24"/>
          <w:szCs w:val="24"/>
        </w:rPr>
        <w:t xml:space="preserve"> </w:t>
      </w:r>
      <w:r w:rsidR="00236DA8">
        <w:rPr>
          <w:sz w:val="24"/>
          <w:szCs w:val="24"/>
        </w:rPr>
        <w:t>Unie</w:t>
      </w:r>
      <w:r w:rsidRPr="00121A6A">
        <w:rPr>
          <w:sz w:val="24"/>
          <w:szCs w:val="24"/>
        </w:rPr>
        <w:t xml:space="preserve">grondrecht (mede) voor de private sector is uitgewerkt en het Uniegrondrecht zelf een constitutief vereiste </w:t>
      </w:r>
      <w:r w:rsidR="00E42B9D">
        <w:rPr>
          <w:sz w:val="24"/>
          <w:szCs w:val="24"/>
        </w:rPr>
        <w:t>is</w:t>
      </w:r>
      <w:r w:rsidRPr="00121A6A">
        <w:rPr>
          <w:sz w:val="24"/>
          <w:szCs w:val="24"/>
        </w:rPr>
        <w:t xml:space="preserve"> voor het bestaan van (een vorm van) horizontale directe werking.</w:t>
      </w:r>
      <w:r w:rsidRPr="00121A6A">
        <w:rPr>
          <w:rStyle w:val="FootnoteReference"/>
          <w:sz w:val="24"/>
          <w:szCs w:val="24"/>
        </w:rPr>
        <w:footnoteReference w:id="271"/>
      </w:r>
      <w:r w:rsidRPr="00121A6A">
        <w:rPr>
          <w:sz w:val="24"/>
          <w:szCs w:val="24"/>
        </w:rPr>
        <w:t xml:space="preserve"> </w:t>
      </w:r>
      <w:r w:rsidR="00911C53">
        <w:rPr>
          <w:sz w:val="24"/>
          <w:szCs w:val="24"/>
        </w:rPr>
        <w:t>I</w:t>
      </w:r>
      <w:r w:rsidRPr="00121A6A">
        <w:rPr>
          <w:sz w:val="24"/>
          <w:szCs w:val="24"/>
        </w:rPr>
        <w:t xml:space="preserve">n het kader van ‘toetsing van </w:t>
      </w:r>
      <w:r w:rsidRPr="00236DA8">
        <w:rPr>
          <w:i/>
          <w:iCs/>
          <w:sz w:val="24"/>
          <w:szCs w:val="24"/>
        </w:rPr>
        <w:t>overheids</w:t>
      </w:r>
      <w:r w:rsidRPr="00121A6A">
        <w:rPr>
          <w:sz w:val="24"/>
          <w:szCs w:val="24"/>
        </w:rPr>
        <w:t xml:space="preserve">handelen’ </w:t>
      </w:r>
      <w:r w:rsidR="00911C53">
        <w:rPr>
          <w:sz w:val="24"/>
          <w:szCs w:val="24"/>
        </w:rPr>
        <w:t xml:space="preserve">heeft het Hof </w:t>
      </w:r>
      <w:r w:rsidRPr="00121A6A">
        <w:rPr>
          <w:sz w:val="24"/>
          <w:szCs w:val="24"/>
        </w:rPr>
        <w:t xml:space="preserve">meermaals uitdrukkelijk overwogen dat </w:t>
      </w:r>
      <w:r w:rsidR="008A72B0">
        <w:rPr>
          <w:sz w:val="24"/>
          <w:szCs w:val="24"/>
        </w:rPr>
        <w:t xml:space="preserve">voor horizontale directe werking </w:t>
      </w:r>
      <w:r w:rsidRPr="00121A6A">
        <w:rPr>
          <w:sz w:val="24"/>
          <w:szCs w:val="24"/>
        </w:rPr>
        <w:t xml:space="preserve">niet nodig is dat het Uniegrondrecht </w:t>
      </w:r>
      <w:r w:rsidRPr="00121A6A">
        <w:rPr>
          <w:sz w:val="24"/>
          <w:szCs w:val="24"/>
        </w:rPr>
        <w:lastRenderedPageBreak/>
        <w:t xml:space="preserve">nader is </w:t>
      </w:r>
      <w:r w:rsidR="00995E23" w:rsidRPr="00121A6A">
        <w:rPr>
          <w:sz w:val="24"/>
          <w:szCs w:val="24"/>
        </w:rPr>
        <w:t>vormgegeven</w:t>
      </w:r>
      <w:r w:rsidRPr="00121A6A">
        <w:rPr>
          <w:sz w:val="24"/>
          <w:szCs w:val="24"/>
        </w:rPr>
        <w:t xml:space="preserve"> in een richtlijn</w:t>
      </w:r>
      <w:r w:rsidR="00911C53">
        <w:rPr>
          <w:sz w:val="24"/>
          <w:szCs w:val="24"/>
        </w:rPr>
        <w:t>.</w:t>
      </w:r>
      <w:r w:rsidRPr="00121A6A">
        <w:rPr>
          <w:rStyle w:val="FootnoteReference"/>
          <w:sz w:val="24"/>
          <w:szCs w:val="24"/>
        </w:rPr>
        <w:footnoteReference w:id="272"/>
      </w:r>
      <w:r w:rsidRPr="00121A6A">
        <w:rPr>
          <w:sz w:val="24"/>
          <w:szCs w:val="24"/>
        </w:rPr>
        <w:t xml:space="preserve"> </w:t>
      </w:r>
      <w:r w:rsidR="00BD532B">
        <w:rPr>
          <w:sz w:val="24"/>
          <w:szCs w:val="24"/>
        </w:rPr>
        <w:t>Het arrest</w:t>
      </w:r>
      <w:r w:rsidR="00911C53">
        <w:rPr>
          <w:sz w:val="24"/>
          <w:szCs w:val="24"/>
        </w:rPr>
        <w:t xml:space="preserve"> </w:t>
      </w:r>
      <w:r w:rsidR="00911C53">
        <w:rPr>
          <w:i/>
          <w:iCs/>
          <w:sz w:val="24"/>
          <w:szCs w:val="24"/>
        </w:rPr>
        <w:t>KL/X</w:t>
      </w:r>
      <w:r w:rsidR="00911C53">
        <w:rPr>
          <w:sz w:val="24"/>
          <w:szCs w:val="24"/>
        </w:rPr>
        <w:t xml:space="preserve"> </w:t>
      </w:r>
      <w:r w:rsidR="00753018">
        <w:rPr>
          <w:sz w:val="24"/>
          <w:szCs w:val="24"/>
        </w:rPr>
        <w:t>sluit</w:t>
      </w:r>
      <w:r w:rsidR="00BD532B">
        <w:rPr>
          <w:sz w:val="24"/>
          <w:szCs w:val="24"/>
        </w:rPr>
        <w:t xml:space="preserve"> bij dit standpunt aan.</w:t>
      </w:r>
      <w:r w:rsidR="008653F9">
        <w:rPr>
          <w:rStyle w:val="FootnoteReference"/>
          <w:sz w:val="24"/>
          <w:szCs w:val="24"/>
        </w:rPr>
        <w:footnoteReference w:id="273"/>
      </w:r>
      <w:r w:rsidR="00BD532B">
        <w:rPr>
          <w:sz w:val="24"/>
          <w:szCs w:val="24"/>
        </w:rPr>
        <w:t xml:space="preserve"> In </w:t>
      </w:r>
      <w:r w:rsidR="00480574">
        <w:rPr>
          <w:sz w:val="24"/>
          <w:szCs w:val="24"/>
        </w:rPr>
        <w:t>deze zaak</w:t>
      </w:r>
      <w:r w:rsidR="00BD532B">
        <w:rPr>
          <w:sz w:val="24"/>
          <w:szCs w:val="24"/>
        </w:rPr>
        <w:t xml:space="preserve"> aanvaardde het Hof </w:t>
      </w:r>
      <w:r w:rsidR="00911C53" w:rsidRPr="00911C53">
        <w:rPr>
          <w:sz w:val="24"/>
          <w:szCs w:val="24"/>
        </w:rPr>
        <w:t>horizontale directe werking van artikel 47 Hv via een</w:t>
      </w:r>
      <w:r w:rsidR="00BD532B">
        <w:rPr>
          <w:sz w:val="24"/>
          <w:szCs w:val="24"/>
        </w:rPr>
        <w:t xml:space="preserve"> zeer</w:t>
      </w:r>
      <w:r w:rsidR="00911C53" w:rsidRPr="00911C53">
        <w:rPr>
          <w:sz w:val="24"/>
          <w:szCs w:val="24"/>
        </w:rPr>
        <w:t xml:space="preserve"> indirecte link met </w:t>
      </w:r>
      <w:r w:rsidR="00F9223E">
        <w:rPr>
          <w:sz w:val="24"/>
          <w:szCs w:val="24"/>
        </w:rPr>
        <w:t xml:space="preserve">het </w:t>
      </w:r>
      <w:r w:rsidR="00911C53" w:rsidRPr="00911C53">
        <w:rPr>
          <w:sz w:val="24"/>
          <w:szCs w:val="24"/>
        </w:rPr>
        <w:t>Unierecht</w:t>
      </w:r>
      <w:r w:rsidR="00911C53">
        <w:rPr>
          <w:sz w:val="24"/>
          <w:szCs w:val="24"/>
        </w:rPr>
        <w:t xml:space="preserve">, </w:t>
      </w:r>
      <w:r w:rsidR="00911C53" w:rsidRPr="00911C53">
        <w:rPr>
          <w:sz w:val="24"/>
          <w:szCs w:val="24"/>
        </w:rPr>
        <w:t xml:space="preserve">namelijk via </w:t>
      </w:r>
      <w:r w:rsidR="00480574">
        <w:rPr>
          <w:sz w:val="24"/>
          <w:szCs w:val="24"/>
        </w:rPr>
        <w:t>clausule</w:t>
      </w:r>
      <w:r w:rsidR="00911C53" w:rsidRPr="00911C53">
        <w:rPr>
          <w:sz w:val="24"/>
          <w:szCs w:val="24"/>
        </w:rPr>
        <w:t xml:space="preserve"> 4 van de Raamovereenkomst die als bijlage is opgenomen bij Richtlijn 1999/70</w:t>
      </w:r>
      <w:r w:rsidR="00BD532B">
        <w:rPr>
          <w:sz w:val="24"/>
          <w:szCs w:val="24"/>
        </w:rPr>
        <w:t>.</w:t>
      </w:r>
      <w:r w:rsidR="00911C53">
        <w:rPr>
          <w:rStyle w:val="FootnoteReference"/>
          <w:sz w:val="24"/>
          <w:szCs w:val="24"/>
        </w:rPr>
        <w:footnoteReference w:id="274"/>
      </w:r>
      <w:r w:rsidR="00911C53" w:rsidRPr="00911C53">
        <w:rPr>
          <w:sz w:val="24"/>
          <w:szCs w:val="24"/>
        </w:rPr>
        <w:t xml:space="preserve"> </w:t>
      </w:r>
      <w:r w:rsidR="00480574">
        <w:rPr>
          <w:sz w:val="24"/>
          <w:szCs w:val="24"/>
        </w:rPr>
        <w:t xml:space="preserve">Hoewel </w:t>
      </w:r>
      <w:r w:rsidR="008653F9">
        <w:rPr>
          <w:sz w:val="24"/>
          <w:szCs w:val="24"/>
        </w:rPr>
        <w:t>deze richtlijn</w:t>
      </w:r>
      <w:r w:rsidR="00604BC4">
        <w:rPr>
          <w:sz w:val="24"/>
          <w:szCs w:val="24"/>
        </w:rPr>
        <w:t xml:space="preserve"> </w:t>
      </w:r>
      <w:r w:rsidR="00480574">
        <w:rPr>
          <w:sz w:val="24"/>
          <w:szCs w:val="24"/>
        </w:rPr>
        <w:t xml:space="preserve">geenszins een concrete uitwerking vormt van </w:t>
      </w:r>
      <w:r w:rsidR="00604BC4">
        <w:rPr>
          <w:sz w:val="24"/>
          <w:szCs w:val="24"/>
        </w:rPr>
        <w:t xml:space="preserve">artikel 47 Hv, moest </w:t>
      </w:r>
      <w:r w:rsidR="00911C53" w:rsidRPr="00911C53">
        <w:rPr>
          <w:sz w:val="24"/>
          <w:szCs w:val="24"/>
        </w:rPr>
        <w:t>nationaal implementatierecht dat</w:t>
      </w:r>
      <w:r w:rsidR="00BD532B">
        <w:rPr>
          <w:sz w:val="24"/>
          <w:szCs w:val="24"/>
        </w:rPr>
        <w:t xml:space="preserve">, gelet op het in </w:t>
      </w:r>
      <w:r w:rsidR="00604BC4">
        <w:rPr>
          <w:sz w:val="24"/>
          <w:szCs w:val="24"/>
        </w:rPr>
        <w:t xml:space="preserve">clausule </w:t>
      </w:r>
      <w:r w:rsidR="00BD532B">
        <w:rPr>
          <w:sz w:val="24"/>
          <w:szCs w:val="24"/>
        </w:rPr>
        <w:t>4 neergelegde non-discriminatiebeginsel,</w:t>
      </w:r>
      <w:r w:rsidR="00911C53" w:rsidRPr="00911C53">
        <w:rPr>
          <w:sz w:val="24"/>
          <w:szCs w:val="24"/>
        </w:rPr>
        <w:t xml:space="preserve"> ten onrechte onderscheid maakte tussen </w:t>
      </w:r>
      <w:r w:rsidR="00BD532B">
        <w:rPr>
          <w:sz w:val="24"/>
          <w:szCs w:val="24"/>
        </w:rPr>
        <w:t>arbeidsovereenkomsten</w:t>
      </w:r>
      <w:r w:rsidR="00911C53" w:rsidRPr="00911C53">
        <w:rPr>
          <w:sz w:val="24"/>
          <w:szCs w:val="24"/>
        </w:rPr>
        <w:t xml:space="preserve"> voor bepaalde </w:t>
      </w:r>
      <w:r w:rsidR="00BD532B">
        <w:rPr>
          <w:sz w:val="24"/>
          <w:szCs w:val="24"/>
        </w:rPr>
        <w:t xml:space="preserve">tijd </w:t>
      </w:r>
      <w:r w:rsidR="00911C53" w:rsidRPr="00911C53">
        <w:rPr>
          <w:sz w:val="24"/>
          <w:szCs w:val="24"/>
        </w:rPr>
        <w:t xml:space="preserve">en </w:t>
      </w:r>
      <w:r w:rsidR="00BD532B">
        <w:rPr>
          <w:sz w:val="24"/>
          <w:szCs w:val="24"/>
        </w:rPr>
        <w:t xml:space="preserve">voor </w:t>
      </w:r>
      <w:r w:rsidR="00911C53" w:rsidRPr="00911C53">
        <w:rPr>
          <w:sz w:val="24"/>
          <w:szCs w:val="24"/>
        </w:rPr>
        <w:t>onbepaalde tijd</w:t>
      </w:r>
      <w:r w:rsidR="00BD532B">
        <w:rPr>
          <w:sz w:val="24"/>
          <w:szCs w:val="24"/>
        </w:rPr>
        <w:t>,</w:t>
      </w:r>
      <w:r w:rsidR="00911C53" w:rsidRPr="00911C53">
        <w:rPr>
          <w:sz w:val="24"/>
          <w:szCs w:val="24"/>
        </w:rPr>
        <w:t xml:space="preserve"> </w:t>
      </w:r>
      <w:r w:rsidR="00604BC4">
        <w:rPr>
          <w:sz w:val="24"/>
          <w:szCs w:val="24"/>
        </w:rPr>
        <w:t xml:space="preserve">niettemin op grond van artikel 47 Hv </w:t>
      </w:r>
      <w:r w:rsidR="00911C53" w:rsidRPr="00911C53">
        <w:rPr>
          <w:sz w:val="24"/>
          <w:szCs w:val="24"/>
        </w:rPr>
        <w:t>buiten toepassing blijven.</w:t>
      </w:r>
      <w:r w:rsidR="00BD532B">
        <w:rPr>
          <w:sz w:val="24"/>
          <w:szCs w:val="24"/>
        </w:rPr>
        <w:t xml:space="preserve"> </w:t>
      </w:r>
      <w:r w:rsidR="00604BC4">
        <w:rPr>
          <w:sz w:val="24"/>
          <w:szCs w:val="24"/>
        </w:rPr>
        <w:t>D</w:t>
      </w:r>
      <w:r w:rsidR="00F9223E">
        <w:rPr>
          <w:sz w:val="24"/>
          <w:szCs w:val="24"/>
        </w:rPr>
        <w:t>at</w:t>
      </w:r>
      <w:r w:rsidR="00604BC4">
        <w:rPr>
          <w:sz w:val="24"/>
          <w:szCs w:val="24"/>
        </w:rPr>
        <w:t xml:space="preserve"> neemt </w:t>
      </w:r>
      <w:r w:rsidR="00F9223E">
        <w:rPr>
          <w:sz w:val="24"/>
          <w:szCs w:val="24"/>
        </w:rPr>
        <w:t xml:space="preserve">echter </w:t>
      </w:r>
      <w:r w:rsidR="00604BC4">
        <w:rPr>
          <w:sz w:val="24"/>
          <w:szCs w:val="24"/>
        </w:rPr>
        <w:t>niet weg dat</w:t>
      </w:r>
      <w:r w:rsidR="008653F9">
        <w:rPr>
          <w:sz w:val="24"/>
          <w:szCs w:val="24"/>
        </w:rPr>
        <w:t xml:space="preserve"> ook hier</w:t>
      </w:r>
      <w:r w:rsidR="00FC0D86">
        <w:rPr>
          <w:sz w:val="24"/>
          <w:szCs w:val="24"/>
        </w:rPr>
        <w:t xml:space="preserve"> </w:t>
      </w:r>
      <w:r w:rsidR="008653F9">
        <w:rPr>
          <w:sz w:val="24"/>
          <w:szCs w:val="24"/>
        </w:rPr>
        <w:t>de normatieve inhoud van de relevante Handvestbepaling</w:t>
      </w:r>
      <w:r w:rsidR="00604BC4">
        <w:rPr>
          <w:sz w:val="24"/>
          <w:szCs w:val="24"/>
        </w:rPr>
        <w:t xml:space="preserve"> </w:t>
      </w:r>
      <w:r w:rsidR="005C5ADE">
        <w:rPr>
          <w:sz w:val="24"/>
          <w:szCs w:val="24"/>
        </w:rPr>
        <w:t>volledig</w:t>
      </w:r>
      <w:r w:rsidR="00604BC4">
        <w:rPr>
          <w:sz w:val="24"/>
          <w:szCs w:val="24"/>
        </w:rPr>
        <w:t xml:space="preserve"> </w:t>
      </w:r>
      <w:r w:rsidR="008653F9">
        <w:rPr>
          <w:sz w:val="24"/>
          <w:szCs w:val="24"/>
        </w:rPr>
        <w:t>werd</w:t>
      </w:r>
      <w:r w:rsidR="00604BC4">
        <w:rPr>
          <w:sz w:val="24"/>
          <w:szCs w:val="24"/>
        </w:rPr>
        <w:t xml:space="preserve"> </w:t>
      </w:r>
      <w:r w:rsidR="008653F9">
        <w:rPr>
          <w:sz w:val="24"/>
          <w:szCs w:val="24"/>
        </w:rPr>
        <w:t>ingekleurd</w:t>
      </w:r>
      <w:r w:rsidR="00604BC4">
        <w:rPr>
          <w:sz w:val="24"/>
          <w:szCs w:val="24"/>
        </w:rPr>
        <w:t xml:space="preserve"> door </w:t>
      </w:r>
      <w:r w:rsidR="008653F9">
        <w:rPr>
          <w:sz w:val="24"/>
          <w:szCs w:val="24"/>
        </w:rPr>
        <w:t>een materiële Unierichtlijn</w:t>
      </w:r>
      <w:r w:rsidR="00E32B48">
        <w:rPr>
          <w:sz w:val="24"/>
          <w:szCs w:val="24"/>
        </w:rPr>
        <w:t xml:space="preserve"> </w:t>
      </w:r>
      <w:r w:rsidR="00F9223E">
        <w:rPr>
          <w:sz w:val="24"/>
          <w:szCs w:val="24"/>
        </w:rPr>
        <w:t>waarin mede</w:t>
      </w:r>
      <w:r w:rsidR="00E32B48">
        <w:rPr>
          <w:sz w:val="24"/>
          <w:szCs w:val="24"/>
        </w:rPr>
        <w:t xml:space="preserve"> </w:t>
      </w:r>
      <w:r w:rsidR="00F9223E">
        <w:rPr>
          <w:sz w:val="24"/>
          <w:szCs w:val="24"/>
        </w:rPr>
        <w:t>voor de private sector</w:t>
      </w:r>
      <w:r w:rsidR="00E32B48">
        <w:rPr>
          <w:sz w:val="24"/>
          <w:szCs w:val="24"/>
        </w:rPr>
        <w:t xml:space="preserve"> regels</w:t>
      </w:r>
      <w:r w:rsidR="00F9223E">
        <w:rPr>
          <w:sz w:val="24"/>
          <w:szCs w:val="24"/>
        </w:rPr>
        <w:t xml:space="preserve"> zijn geformuleerd</w:t>
      </w:r>
      <w:r w:rsidR="00FC0D86">
        <w:rPr>
          <w:sz w:val="24"/>
          <w:szCs w:val="24"/>
        </w:rPr>
        <w:t>.</w:t>
      </w:r>
      <w:r w:rsidR="00CC1FD0">
        <w:rPr>
          <w:sz w:val="24"/>
          <w:szCs w:val="24"/>
        </w:rPr>
        <w:t xml:space="preserve"> </w:t>
      </w:r>
      <w:r w:rsidRPr="00121A6A">
        <w:rPr>
          <w:sz w:val="24"/>
          <w:szCs w:val="24"/>
        </w:rPr>
        <w:t>Niet uitgesloten is dus dat het Hof het bestaan van (een vorm van) horizontale directe werking</w:t>
      </w:r>
      <w:r w:rsidR="00F9223E">
        <w:rPr>
          <w:sz w:val="24"/>
          <w:szCs w:val="24"/>
        </w:rPr>
        <w:t xml:space="preserve"> </w:t>
      </w:r>
      <w:r w:rsidR="005C5ADE">
        <w:rPr>
          <w:sz w:val="24"/>
          <w:szCs w:val="24"/>
        </w:rPr>
        <w:t xml:space="preserve">rechtstreeks </w:t>
      </w:r>
      <w:r w:rsidRPr="00121A6A">
        <w:rPr>
          <w:sz w:val="24"/>
          <w:szCs w:val="24"/>
        </w:rPr>
        <w:t xml:space="preserve">koppelt aan de toepasselijkheid van secundair </w:t>
      </w:r>
      <w:r w:rsidR="00D3712D" w:rsidRPr="00121A6A">
        <w:rPr>
          <w:sz w:val="24"/>
          <w:szCs w:val="24"/>
        </w:rPr>
        <w:t>Unie</w:t>
      </w:r>
      <w:r w:rsidRPr="00121A6A">
        <w:rPr>
          <w:sz w:val="24"/>
          <w:szCs w:val="24"/>
        </w:rPr>
        <w:t>recht</w:t>
      </w:r>
      <w:r w:rsidR="00FF06DA">
        <w:rPr>
          <w:sz w:val="24"/>
          <w:szCs w:val="24"/>
        </w:rPr>
        <w:t xml:space="preserve"> dat</w:t>
      </w:r>
      <w:r w:rsidR="00D70833">
        <w:rPr>
          <w:sz w:val="24"/>
          <w:szCs w:val="24"/>
        </w:rPr>
        <w:t xml:space="preserve"> gericht is op regulering van</w:t>
      </w:r>
      <w:r w:rsidR="00FF06DA">
        <w:rPr>
          <w:sz w:val="24"/>
          <w:szCs w:val="24"/>
        </w:rPr>
        <w:t xml:space="preserve"> de </w:t>
      </w:r>
      <w:r w:rsidR="00F9223E">
        <w:rPr>
          <w:sz w:val="24"/>
          <w:szCs w:val="24"/>
        </w:rPr>
        <w:t>particuliere</w:t>
      </w:r>
      <w:r w:rsidR="00FF06DA">
        <w:rPr>
          <w:sz w:val="24"/>
          <w:szCs w:val="24"/>
        </w:rPr>
        <w:t xml:space="preserve"> sector</w:t>
      </w:r>
      <w:r w:rsidRPr="00121A6A">
        <w:rPr>
          <w:sz w:val="24"/>
          <w:szCs w:val="24"/>
        </w:rPr>
        <w:t xml:space="preserve">. </w:t>
      </w:r>
      <w:r w:rsidR="00E32B48">
        <w:rPr>
          <w:sz w:val="24"/>
          <w:szCs w:val="24"/>
        </w:rPr>
        <w:t xml:space="preserve">Zo wordt </w:t>
      </w:r>
      <w:r w:rsidR="00F9223E">
        <w:rPr>
          <w:sz w:val="24"/>
          <w:szCs w:val="24"/>
        </w:rPr>
        <w:t xml:space="preserve">namelijk </w:t>
      </w:r>
      <w:r w:rsidRPr="00121A6A">
        <w:rPr>
          <w:sz w:val="24"/>
          <w:szCs w:val="24"/>
        </w:rPr>
        <w:t xml:space="preserve">voorkomen dat het Hof </w:t>
      </w:r>
      <w:r w:rsidR="00B73776">
        <w:rPr>
          <w:sz w:val="24"/>
          <w:szCs w:val="24"/>
        </w:rPr>
        <w:t>het terrein van de politiek betreedt</w:t>
      </w:r>
      <w:r w:rsidRPr="00121A6A">
        <w:rPr>
          <w:sz w:val="24"/>
          <w:szCs w:val="24"/>
        </w:rPr>
        <w:t xml:space="preserve"> door uit een open norm in het Handvest allerlei concrete rechten en plichten af te leiden.</w:t>
      </w:r>
      <w:r w:rsidRPr="00121A6A">
        <w:rPr>
          <w:rStyle w:val="FootnoteReference"/>
          <w:sz w:val="24"/>
          <w:szCs w:val="24"/>
        </w:rPr>
        <w:footnoteReference w:id="275"/>
      </w:r>
      <w:r w:rsidRPr="00121A6A">
        <w:rPr>
          <w:sz w:val="24"/>
          <w:szCs w:val="24"/>
        </w:rPr>
        <w:t xml:space="preserve"> Met name in horizontale verhoudingen </w:t>
      </w:r>
      <w:r w:rsidR="00E32B48">
        <w:rPr>
          <w:sz w:val="24"/>
          <w:szCs w:val="24"/>
        </w:rPr>
        <w:t>moet dit in het belang van</w:t>
      </w:r>
      <w:r w:rsidRPr="00121A6A">
        <w:rPr>
          <w:sz w:val="24"/>
          <w:szCs w:val="24"/>
        </w:rPr>
        <w:t xml:space="preserve"> </w:t>
      </w:r>
      <w:r w:rsidR="00B73776">
        <w:rPr>
          <w:sz w:val="24"/>
          <w:szCs w:val="24"/>
        </w:rPr>
        <w:t xml:space="preserve">de </w:t>
      </w:r>
      <w:r w:rsidRPr="00121A6A">
        <w:rPr>
          <w:sz w:val="24"/>
          <w:szCs w:val="24"/>
        </w:rPr>
        <w:t>rechtszekerheid zoveel</w:t>
      </w:r>
      <w:r w:rsidR="00E801E1">
        <w:rPr>
          <w:sz w:val="24"/>
          <w:szCs w:val="24"/>
        </w:rPr>
        <w:t xml:space="preserve"> </w:t>
      </w:r>
      <w:r w:rsidRPr="00121A6A">
        <w:rPr>
          <w:sz w:val="24"/>
          <w:szCs w:val="24"/>
        </w:rPr>
        <w:t>mogelijk worden vermeden.</w:t>
      </w:r>
      <w:r w:rsidRPr="00121A6A">
        <w:rPr>
          <w:rStyle w:val="FootnoteReference"/>
          <w:sz w:val="24"/>
          <w:szCs w:val="24"/>
        </w:rPr>
        <w:footnoteReference w:id="276"/>
      </w:r>
    </w:p>
    <w:p w14:paraId="6F339D58" w14:textId="662D813B" w:rsidR="00BA6D2E" w:rsidRPr="00121A6A" w:rsidRDefault="0007610C" w:rsidP="00AE22EF">
      <w:pPr>
        <w:spacing w:after="0"/>
        <w:ind w:firstLine="708"/>
        <w:jc w:val="both"/>
        <w:rPr>
          <w:sz w:val="24"/>
          <w:szCs w:val="24"/>
        </w:rPr>
      </w:pPr>
      <w:r w:rsidRPr="00121A6A">
        <w:rPr>
          <w:sz w:val="24"/>
          <w:szCs w:val="24"/>
        </w:rPr>
        <w:t xml:space="preserve">Wil een vakbond zich in een casus als </w:t>
      </w:r>
      <w:r w:rsidRPr="00121A6A">
        <w:rPr>
          <w:i/>
          <w:iCs/>
          <w:sz w:val="24"/>
          <w:szCs w:val="24"/>
        </w:rPr>
        <w:t xml:space="preserve">Viking </w:t>
      </w:r>
      <w:r w:rsidR="00557DAE" w:rsidRPr="00121A6A">
        <w:rPr>
          <w:sz w:val="24"/>
          <w:szCs w:val="24"/>
        </w:rPr>
        <w:t>rechtstreeks</w:t>
      </w:r>
      <w:r w:rsidRPr="00121A6A">
        <w:rPr>
          <w:sz w:val="24"/>
          <w:szCs w:val="24"/>
        </w:rPr>
        <w:t xml:space="preserve"> op artikel 28 Hv kunnen beroepen ter autonome toetsing van een door een private werkgever </w:t>
      </w:r>
      <w:r w:rsidR="00AA5B6A" w:rsidRPr="00121A6A">
        <w:rPr>
          <w:sz w:val="24"/>
          <w:szCs w:val="24"/>
        </w:rPr>
        <w:t>gevorderd</w:t>
      </w:r>
      <w:r w:rsidRPr="00121A6A">
        <w:rPr>
          <w:sz w:val="24"/>
          <w:szCs w:val="24"/>
        </w:rPr>
        <w:t xml:space="preserve"> stakingsverbod (particulier handelen), dan is nodig dat het Hof zuiver horizontale </w:t>
      </w:r>
      <w:r w:rsidR="00D570CF" w:rsidRPr="00121A6A">
        <w:rPr>
          <w:sz w:val="24"/>
          <w:szCs w:val="24"/>
        </w:rPr>
        <w:t xml:space="preserve">directe </w:t>
      </w:r>
      <w:r w:rsidRPr="00121A6A">
        <w:rPr>
          <w:sz w:val="24"/>
          <w:szCs w:val="24"/>
        </w:rPr>
        <w:t>werking van artikel 28 Hv aanvaardt. Daarvoor is in ieder geval vereist</w:t>
      </w:r>
      <w:r w:rsidR="00AE22EF" w:rsidRPr="00121A6A">
        <w:rPr>
          <w:sz w:val="24"/>
          <w:szCs w:val="24"/>
        </w:rPr>
        <w:t>:</w:t>
      </w:r>
      <w:r w:rsidRPr="00121A6A">
        <w:rPr>
          <w:sz w:val="24"/>
          <w:szCs w:val="24"/>
        </w:rPr>
        <w:t xml:space="preserve"> (</w:t>
      </w:r>
      <w:r w:rsidR="00DC4775" w:rsidRPr="00121A6A">
        <w:rPr>
          <w:sz w:val="24"/>
          <w:szCs w:val="24"/>
        </w:rPr>
        <w:t>1</w:t>
      </w:r>
      <w:r w:rsidRPr="00121A6A">
        <w:rPr>
          <w:sz w:val="24"/>
          <w:szCs w:val="24"/>
        </w:rPr>
        <w:t xml:space="preserve">) dat </w:t>
      </w:r>
      <w:r w:rsidR="008540A1">
        <w:rPr>
          <w:sz w:val="24"/>
          <w:szCs w:val="24"/>
        </w:rPr>
        <w:t xml:space="preserve">de casus </w:t>
      </w:r>
      <w:r w:rsidR="00C03AF7">
        <w:rPr>
          <w:sz w:val="24"/>
          <w:szCs w:val="24"/>
        </w:rPr>
        <w:t>voldoende verband houdt</w:t>
      </w:r>
      <w:r w:rsidRPr="00121A6A">
        <w:rPr>
          <w:sz w:val="24"/>
          <w:szCs w:val="24"/>
        </w:rPr>
        <w:t xml:space="preserve"> met </w:t>
      </w:r>
      <w:r w:rsidR="00D509B1">
        <w:rPr>
          <w:sz w:val="24"/>
          <w:szCs w:val="24"/>
        </w:rPr>
        <w:t xml:space="preserve">het </w:t>
      </w:r>
      <w:r w:rsidRPr="00121A6A">
        <w:rPr>
          <w:sz w:val="24"/>
          <w:szCs w:val="24"/>
        </w:rPr>
        <w:t>Unierecht</w:t>
      </w:r>
      <w:r w:rsidR="00AE22EF" w:rsidRPr="00121A6A">
        <w:rPr>
          <w:sz w:val="24"/>
          <w:szCs w:val="24"/>
        </w:rPr>
        <w:t>;</w:t>
      </w:r>
      <w:r w:rsidR="00704890" w:rsidRPr="00121A6A">
        <w:rPr>
          <w:sz w:val="24"/>
          <w:szCs w:val="24"/>
        </w:rPr>
        <w:t xml:space="preserve"> </w:t>
      </w:r>
      <w:r w:rsidRPr="00121A6A">
        <w:rPr>
          <w:sz w:val="24"/>
          <w:szCs w:val="24"/>
        </w:rPr>
        <w:t>en (</w:t>
      </w:r>
      <w:r w:rsidR="00DC4775" w:rsidRPr="00121A6A">
        <w:rPr>
          <w:sz w:val="24"/>
          <w:szCs w:val="24"/>
        </w:rPr>
        <w:t>2</w:t>
      </w:r>
      <w:r w:rsidRPr="00121A6A">
        <w:rPr>
          <w:sz w:val="24"/>
          <w:szCs w:val="24"/>
        </w:rPr>
        <w:t xml:space="preserve">) niet zou moeten uitmaken </w:t>
      </w:r>
      <w:r w:rsidR="00704890" w:rsidRPr="00121A6A">
        <w:rPr>
          <w:sz w:val="24"/>
          <w:szCs w:val="24"/>
        </w:rPr>
        <w:t>dat</w:t>
      </w:r>
      <w:r w:rsidRPr="00121A6A">
        <w:rPr>
          <w:sz w:val="24"/>
          <w:szCs w:val="24"/>
        </w:rPr>
        <w:t xml:space="preserve"> een </w:t>
      </w:r>
      <w:r w:rsidR="00704890" w:rsidRPr="00121A6A">
        <w:rPr>
          <w:sz w:val="24"/>
          <w:szCs w:val="24"/>
        </w:rPr>
        <w:t>stakings</w:t>
      </w:r>
      <w:r w:rsidRPr="00121A6A">
        <w:rPr>
          <w:sz w:val="24"/>
          <w:szCs w:val="24"/>
        </w:rPr>
        <w:t>richtlijn</w:t>
      </w:r>
      <w:r w:rsidR="00704890" w:rsidRPr="00121A6A">
        <w:rPr>
          <w:sz w:val="24"/>
          <w:szCs w:val="24"/>
        </w:rPr>
        <w:t xml:space="preserve"> die artikel 28 Hv</w:t>
      </w:r>
      <w:r w:rsidRPr="00121A6A">
        <w:rPr>
          <w:sz w:val="24"/>
          <w:szCs w:val="24"/>
        </w:rPr>
        <w:t xml:space="preserve"> mede voor de private sector vorm en inhoud </w:t>
      </w:r>
      <w:r w:rsidR="00704890" w:rsidRPr="00121A6A">
        <w:rPr>
          <w:sz w:val="24"/>
          <w:szCs w:val="24"/>
        </w:rPr>
        <w:t>geeft, ontbreekt</w:t>
      </w:r>
      <w:r w:rsidRPr="00121A6A">
        <w:rPr>
          <w:sz w:val="24"/>
          <w:szCs w:val="24"/>
        </w:rPr>
        <w:t xml:space="preserve">. Afgezien van dit tweede punt draait het uiteindelijk om de vraag hoe het entreeticket van artikel 51 lid 1 Hv in horizontale verhoudingen – behalve via het </w:t>
      </w:r>
      <w:r w:rsidR="00AE22EF" w:rsidRPr="00121A6A">
        <w:rPr>
          <w:sz w:val="24"/>
          <w:szCs w:val="24"/>
        </w:rPr>
        <w:t>‘</w:t>
      </w:r>
      <w:r w:rsidRPr="00121A6A">
        <w:rPr>
          <w:sz w:val="24"/>
          <w:szCs w:val="24"/>
        </w:rPr>
        <w:t>getrapte systeem</w:t>
      </w:r>
      <w:r w:rsidR="00AE22EF" w:rsidRPr="00121A6A">
        <w:rPr>
          <w:sz w:val="24"/>
          <w:szCs w:val="24"/>
        </w:rPr>
        <w:t>’</w:t>
      </w:r>
      <w:r w:rsidRPr="00121A6A">
        <w:rPr>
          <w:sz w:val="24"/>
          <w:szCs w:val="24"/>
        </w:rPr>
        <w:t xml:space="preserve"> – invulling zou kunnen krijgen. </w:t>
      </w:r>
      <w:r w:rsidR="00AD353A" w:rsidRPr="00121A6A">
        <w:rPr>
          <w:sz w:val="24"/>
          <w:szCs w:val="24"/>
        </w:rPr>
        <w:t>Het gaat anders gezegd erom</w:t>
      </w:r>
      <w:r w:rsidRPr="00121A6A">
        <w:rPr>
          <w:sz w:val="24"/>
          <w:szCs w:val="24"/>
        </w:rPr>
        <w:t xml:space="preserve"> of, en zo ja</w:t>
      </w:r>
      <w:r w:rsidR="00704890" w:rsidRPr="00121A6A">
        <w:rPr>
          <w:sz w:val="24"/>
          <w:szCs w:val="24"/>
        </w:rPr>
        <w:t>,</w:t>
      </w:r>
      <w:r w:rsidRPr="00121A6A">
        <w:rPr>
          <w:sz w:val="24"/>
          <w:szCs w:val="24"/>
        </w:rPr>
        <w:t xml:space="preserve"> op welke wijze, zuiver private handelingen kunnen kwalificeren als ‘uitvoering van Unierecht’ in de zin van artikel 51 lid 1 Hv.</w:t>
      </w:r>
    </w:p>
    <w:p w14:paraId="0839148B" w14:textId="12E5F7DE" w:rsidR="0007610C" w:rsidRPr="00121A6A" w:rsidRDefault="0007610C" w:rsidP="00AE22EF">
      <w:pPr>
        <w:spacing w:after="0"/>
        <w:ind w:firstLine="708"/>
        <w:jc w:val="both"/>
        <w:rPr>
          <w:sz w:val="24"/>
          <w:szCs w:val="24"/>
        </w:rPr>
      </w:pPr>
      <w:r w:rsidRPr="00121A6A">
        <w:rPr>
          <w:sz w:val="24"/>
          <w:szCs w:val="24"/>
        </w:rPr>
        <w:t xml:space="preserve">Volgens De Mol </w:t>
      </w:r>
      <w:r w:rsidR="00B974B0" w:rsidRPr="00121A6A">
        <w:rPr>
          <w:sz w:val="24"/>
          <w:szCs w:val="24"/>
        </w:rPr>
        <w:t>kan</w:t>
      </w:r>
      <w:r w:rsidRPr="00121A6A">
        <w:rPr>
          <w:sz w:val="24"/>
          <w:szCs w:val="24"/>
        </w:rPr>
        <w:t xml:space="preserve"> de</w:t>
      </w:r>
      <w:r w:rsidR="004A09A7" w:rsidRPr="00121A6A">
        <w:rPr>
          <w:sz w:val="24"/>
          <w:szCs w:val="24"/>
        </w:rPr>
        <w:t xml:space="preserve"> zuiver</w:t>
      </w:r>
      <w:r w:rsidRPr="00121A6A">
        <w:rPr>
          <w:sz w:val="24"/>
          <w:szCs w:val="24"/>
        </w:rPr>
        <w:t xml:space="preserve"> </w:t>
      </w:r>
      <w:r w:rsidR="004A09A7" w:rsidRPr="00121A6A">
        <w:rPr>
          <w:sz w:val="24"/>
          <w:szCs w:val="24"/>
        </w:rPr>
        <w:t xml:space="preserve">horizontale </w:t>
      </w:r>
      <w:r w:rsidR="00D570CF" w:rsidRPr="00121A6A">
        <w:rPr>
          <w:sz w:val="24"/>
          <w:szCs w:val="24"/>
        </w:rPr>
        <w:t xml:space="preserve">directe </w:t>
      </w:r>
      <w:r w:rsidRPr="00121A6A">
        <w:rPr>
          <w:sz w:val="24"/>
          <w:szCs w:val="24"/>
        </w:rPr>
        <w:t xml:space="preserve">werking van </w:t>
      </w:r>
      <w:r w:rsidR="00AE22EF" w:rsidRPr="00121A6A">
        <w:rPr>
          <w:sz w:val="24"/>
          <w:szCs w:val="24"/>
        </w:rPr>
        <w:t>de</w:t>
      </w:r>
      <w:r w:rsidRPr="00121A6A">
        <w:rPr>
          <w:sz w:val="24"/>
          <w:szCs w:val="24"/>
        </w:rPr>
        <w:t xml:space="preserve"> </w:t>
      </w:r>
      <w:r w:rsidR="00AE22EF" w:rsidRPr="00121A6A">
        <w:rPr>
          <w:sz w:val="24"/>
          <w:szCs w:val="24"/>
        </w:rPr>
        <w:t xml:space="preserve">verkeersvrijheden </w:t>
      </w:r>
      <w:r w:rsidRPr="00121A6A">
        <w:rPr>
          <w:sz w:val="24"/>
          <w:szCs w:val="24"/>
        </w:rPr>
        <w:t xml:space="preserve">een </w:t>
      </w:r>
      <w:r w:rsidR="00B974B0" w:rsidRPr="00121A6A">
        <w:rPr>
          <w:sz w:val="24"/>
          <w:szCs w:val="24"/>
        </w:rPr>
        <w:t xml:space="preserve">particulier </w:t>
      </w:r>
      <w:r w:rsidRPr="00121A6A">
        <w:rPr>
          <w:sz w:val="24"/>
          <w:szCs w:val="24"/>
        </w:rPr>
        <w:t xml:space="preserve">geschil mogelijk binnen de reikwijdte van </w:t>
      </w:r>
      <w:r w:rsidR="00704890" w:rsidRPr="00121A6A">
        <w:rPr>
          <w:sz w:val="24"/>
          <w:szCs w:val="24"/>
        </w:rPr>
        <w:t>het EU-recht</w:t>
      </w:r>
      <w:r w:rsidRPr="00121A6A">
        <w:rPr>
          <w:sz w:val="24"/>
          <w:szCs w:val="24"/>
        </w:rPr>
        <w:t xml:space="preserve"> (en daarmee het Handvest) </w:t>
      </w:r>
      <w:r w:rsidR="00AE22EF" w:rsidRPr="00121A6A">
        <w:rPr>
          <w:sz w:val="24"/>
          <w:szCs w:val="24"/>
        </w:rPr>
        <w:t>trekken</w:t>
      </w:r>
      <w:r w:rsidRPr="00121A6A">
        <w:rPr>
          <w:sz w:val="24"/>
          <w:szCs w:val="24"/>
        </w:rPr>
        <w:t>.</w:t>
      </w:r>
      <w:r w:rsidR="004228F1" w:rsidRPr="00121A6A">
        <w:rPr>
          <w:rStyle w:val="FootnoteReference"/>
          <w:sz w:val="24"/>
          <w:szCs w:val="24"/>
        </w:rPr>
        <w:footnoteReference w:id="277"/>
      </w:r>
      <w:r w:rsidR="004228F1" w:rsidRPr="00121A6A">
        <w:rPr>
          <w:sz w:val="24"/>
          <w:szCs w:val="24"/>
        </w:rPr>
        <w:t xml:space="preserve"> </w:t>
      </w:r>
      <w:r w:rsidRPr="00121A6A">
        <w:rPr>
          <w:sz w:val="24"/>
          <w:szCs w:val="24"/>
        </w:rPr>
        <w:t xml:space="preserve">In dit verband is relevant dat in verticale verhoudingen op grond van de </w:t>
      </w:r>
      <w:r w:rsidRPr="00121A6A">
        <w:rPr>
          <w:i/>
          <w:iCs/>
          <w:sz w:val="24"/>
          <w:szCs w:val="24"/>
        </w:rPr>
        <w:t>ERT</w:t>
      </w:r>
      <w:r w:rsidRPr="00121A6A">
        <w:rPr>
          <w:sz w:val="24"/>
          <w:szCs w:val="24"/>
        </w:rPr>
        <w:t xml:space="preserve">-doctrine </w:t>
      </w:r>
      <w:r w:rsidR="004A09A7" w:rsidRPr="00121A6A">
        <w:rPr>
          <w:sz w:val="24"/>
          <w:szCs w:val="24"/>
        </w:rPr>
        <w:t xml:space="preserve">een </w:t>
      </w:r>
      <w:r w:rsidR="00704890" w:rsidRPr="00121A6A">
        <w:rPr>
          <w:sz w:val="24"/>
          <w:szCs w:val="24"/>
        </w:rPr>
        <w:t>voldoende</w:t>
      </w:r>
      <w:r w:rsidRPr="00121A6A">
        <w:rPr>
          <w:sz w:val="24"/>
          <w:szCs w:val="24"/>
        </w:rPr>
        <w:t xml:space="preserve"> </w:t>
      </w:r>
      <w:r w:rsidR="004A09A7" w:rsidRPr="00121A6A">
        <w:rPr>
          <w:sz w:val="24"/>
          <w:szCs w:val="24"/>
        </w:rPr>
        <w:t xml:space="preserve">link </w:t>
      </w:r>
      <w:r w:rsidRPr="00121A6A">
        <w:rPr>
          <w:sz w:val="24"/>
          <w:szCs w:val="24"/>
        </w:rPr>
        <w:t>met</w:t>
      </w:r>
      <w:r w:rsidR="00D509B1">
        <w:rPr>
          <w:sz w:val="24"/>
          <w:szCs w:val="24"/>
        </w:rPr>
        <w:t xml:space="preserve"> het</w:t>
      </w:r>
      <w:r w:rsidRPr="00121A6A">
        <w:rPr>
          <w:sz w:val="24"/>
          <w:szCs w:val="24"/>
        </w:rPr>
        <w:t xml:space="preserve"> Unierecht </w:t>
      </w:r>
      <w:r w:rsidR="00704890" w:rsidRPr="00121A6A">
        <w:rPr>
          <w:sz w:val="24"/>
          <w:szCs w:val="24"/>
        </w:rPr>
        <w:t>bestaat</w:t>
      </w:r>
      <w:r w:rsidRPr="00121A6A">
        <w:rPr>
          <w:sz w:val="24"/>
          <w:szCs w:val="24"/>
        </w:rPr>
        <w:t xml:space="preserve"> indien </w:t>
      </w:r>
      <w:r w:rsidR="005A6253">
        <w:rPr>
          <w:sz w:val="24"/>
          <w:szCs w:val="24"/>
        </w:rPr>
        <w:t>een</w:t>
      </w:r>
      <w:r w:rsidRPr="00121A6A">
        <w:rPr>
          <w:sz w:val="24"/>
          <w:szCs w:val="24"/>
        </w:rPr>
        <w:t xml:space="preserve"> nationale overheidshandeling valt onder een Unierechtelijke verbodsbepaling </w:t>
      </w:r>
      <w:r w:rsidR="00AE22EF" w:rsidRPr="00121A6A">
        <w:rPr>
          <w:sz w:val="24"/>
          <w:szCs w:val="24"/>
        </w:rPr>
        <w:t>–</w:t>
      </w:r>
      <w:r w:rsidRPr="00121A6A">
        <w:rPr>
          <w:sz w:val="24"/>
          <w:szCs w:val="24"/>
        </w:rPr>
        <w:t xml:space="preserve"> </w:t>
      </w:r>
      <w:r w:rsidR="00AE22EF" w:rsidRPr="00121A6A">
        <w:rPr>
          <w:sz w:val="24"/>
          <w:szCs w:val="24"/>
        </w:rPr>
        <w:t xml:space="preserve">zoals die omtrent belemmeringen van </w:t>
      </w:r>
      <w:r w:rsidRPr="00121A6A">
        <w:rPr>
          <w:sz w:val="24"/>
          <w:szCs w:val="24"/>
        </w:rPr>
        <w:t xml:space="preserve">het vrij verkeer </w:t>
      </w:r>
      <w:r w:rsidR="00AE22EF" w:rsidRPr="00121A6A">
        <w:rPr>
          <w:sz w:val="24"/>
          <w:szCs w:val="24"/>
        </w:rPr>
        <w:t xml:space="preserve">– </w:t>
      </w:r>
      <w:r w:rsidRPr="00121A6A">
        <w:rPr>
          <w:sz w:val="24"/>
          <w:szCs w:val="24"/>
        </w:rPr>
        <w:t>en derhalve objectieve rechtvaardiging behoeft.</w:t>
      </w:r>
      <w:r w:rsidRPr="00121A6A">
        <w:rPr>
          <w:rStyle w:val="FootnoteReference"/>
          <w:sz w:val="24"/>
          <w:szCs w:val="24"/>
        </w:rPr>
        <w:footnoteReference w:id="278"/>
      </w:r>
      <w:r w:rsidRPr="00121A6A">
        <w:rPr>
          <w:sz w:val="24"/>
          <w:szCs w:val="24"/>
        </w:rPr>
        <w:t xml:space="preserve"> </w:t>
      </w:r>
      <w:r w:rsidR="00D509B1">
        <w:rPr>
          <w:sz w:val="24"/>
          <w:szCs w:val="24"/>
        </w:rPr>
        <w:t>De t</w:t>
      </w:r>
      <w:r w:rsidR="004228F1" w:rsidRPr="00121A6A">
        <w:rPr>
          <w:sz w:val="24"/>
          <w:szCs w:val="24"/>
        </w:rPr>
        <w:t xml:space="preserve">oepassing van Uniegrondrechten vindt dan plaats in het onderzoek naar de vraag of de </w:t>
      </w:r>
      <w:r w:rsidR="005A6253">
        <w:rPr>
          <w:sz w:val="24"/>
          <w:szCs w:val="24"/>
        </w:rPr>
        <w:t>nationale</w:t>
      </w:r>
      <w:r w:rsidR="004228F1" w:rsidRPr="00121A6A">
        <w:rPr>
          <w:sz w:val="24"/>
          <w:szCs w:val="24"/>
        </w:rPr>
        <w:t xml:space="preserve"> maatregel kan worden gerechtvaardigd. </w:t>
      </w:r>
      <w:r w:rsidRPr="00121A6A">
        <w:rPr>
          <w:sz w:val="24"/>
          <w:szCs w:val="24"/>
        </w:rPr>
        <w:t xml:space="preserve">De Mol wijst erop dat de </w:t>
      </w:r>
      <w:r w:rsidRPr="00121A6A">
        <w:rPr>
          <w:i/>
          <w:iCs/>
          <w:sz w:val="24"/>
          <w:szCs w:val="24"/>
        </w:rPr>
        <w:t>ERT</w:t>
      </w:r>
      <w:r w:rsidRPr="00121A6A">
        <w:rPr>
          <w:sz w:val="24"/>
          <w:szCs w:val="24"/>
        </w:rPr>
        <w:t xml:space="preserve">-route mogelijk </w:t>
      </w:r>
      <w:r w:rsidR="004A09A7" w:rsidRPr="00121A6A">
        <w:rPr>
          <w:sz w:val="24"/>
          <w:szCs w:val="24"/>
        </w:rPr>
        <w:t>analoog</w:t>
      </w:r>
      <w:r w:rsidRPr="00121A6A">
        <w:rPr>
          <w:sz w:val="24"/>
          <w:szCs w:val="24"/>
        </w:rPr>
        <w:t xml:space="preserve"> </w:t>
      </w:r>
      <w:r w:rsidR="00BA6D2E" w:rsidRPr="00121A6A">
        <w:rPr>
          <w:sz w:val="24"/>
          <w:szCs w:val="24"/>
        </w:rPr>
        <w:t>kan</w:t>
      </w:r>
      <w:r w:rsidRPr="00121A6A">
        <w:rPr>
          <w:sz w:val="24"/>
          <w:szCs w:val="24"/>
        </w:rPr>
        <w:t xml:space="preserve"> </w:t>
      </w:r>
      <w:r w:rsidR="00BA6D2E" w:rsidRPr="00121A6A">
        <w:rPr>
          <w:sz w:val="24"/>
          <w:szCs w:val="24"/>
        </w:rPr>
        <w:t xml:space="preserve">worden toegepast </w:t>
      </w:r>
      <w:r w:rsidRPr="00121A6A">
        <w:rPr>
          <w:sz w:val="24"/>
          <w:szCs w:val="24"/>
        </w:rPr>
        <w:t xml:space="preserve">als het Hof zuiver horizontale </w:t>
      </w:r>
      <w:r w:rsidR="00D570CF" w:rsidRPr="00121A6A">
        <w:rPr>
          <w:sz w:val="24"/>
          <w:szCs w:val="24"/>
        </w:rPr>
        <w:t xml:space="preserve">directe </w:t>
      </w:r>
      <w:r w:rsidRPr="00121A6A">
        <w:rPr>
          <w:sz w:val="24"/>
          <w:szCs w:val="24"/>
        </w:rPr>
        <w:t>werking van Uniegrondrechten</w:t>
      </w:r>
      <w:r w:rsidR="002B6191">
        <w:rPr>
          <w:sz w:val="24"/>
          <w:szCs w:val="24"/>
        </w:rPr>
        <w:t xml:space="preserve"> zou erkennen</w:t>
      </w:r>
      <w:r w:rsidRPr="00121A6A">
        <w:rPr>
          <w:sz w:val="24"/>
          <w:szCs w:val="24"/>
        </w:rPr>
        <w:t xml:space="preserve">. </w:t>
      </w:r>
      <w:r w:rsidR="004A09A7" w:rsidRPr="00121A6A">
        <w:rPr>
          <w:sz w:val="24"/>
          <w:szCs w:val="24"/>
        </w:rPr>
        <w:t xml:space="preserve">Dit </w:t>
      </w:r>
      <w:r w:rsidRPr="00121A6A">
        <w:rPr>
          <w:sz w:val="24"/>
          <w:szCs w:val="24"/>
        </w:rPr>
        <w:t xml:space="preserve">zou betekenen dat </w:t>
      </w:r>
      <w:r w:rsidR="004A09A7" w:rsidRPr="00121A6A">
        <w:rPr>
          <w:sz w:val="24"/>
          <w:szCs w:val="24"/>
        </w:rPr>
        <w:t xml:space="preserve">private </w:t>
      </w:r>
      <w:r w:rsidR="004A09A7" w:rsidRPr="00121A6A">
        <w:rPr>
          <w:sz w:val="24"/>
          <w:szCs w:val="24"/>
        </w:rPr>
        <w:lastRenderedPageBreak/>
        <w:t xml:space="preserve">partij A </w:t>
      </w:r>
      <w:r w:rsidR="0001369B" w:rsidRPr="00121A6A">
        <w:rPr>
          <w:sz w:val="24"/>
          <w:szCs w:val="24"/>
        </w:rPr>
        <w:t>zou</w:t>
      </w:r>
      <w:r w:rsidRPr="00121A6A">
        <w:rPr>
          <w:sz w:val="24"/>
          <w:szCs w:val="24"/>
        </w:rPr>
        <w:t xml:space="preserve"> </w:t>
      </w:r>
      <w:r w:rsidR="0001369B" w:rsidRPr="00121A6A">
        <w:rPr>
          <w:sz w:val="24"/>
          <w:szCs w:val="24"/>
        </w:rPr>
        <w:t xml:space="preserve">kunnen </w:t>
      </w:r>
      <w:r w:rsidRPr="00121A6A">
        <w:rPr>
          <w:sz w:val="24"/>
          <w:szCs w:val="24"/>
        </w:rPr>
        <w:t>aanvoeren dat p</w:t>
      </w:r>
      <w:r w:rsidR="004A09A7" w:rsidRPr="00121A6A">
        <w:rPr>
          <w:sz w:val="24"/>
          <w:szCs w:val="24"/>
        </w:rPr>
        <w:t>rivate p</w:t>
      </w:r>
      <w:r w:rsidRPr="00121A6A">
        <w:rPr>
          <w:sz w:val="24"/>
          <w:szCs w:val="24"/>
        </w:rPr>
        <w:t xml:space="preserve">artij </w:t>
      </w:r>
      <w:r w:rsidR="004A09A7" w:rsidRPr="00121A6A">
        <w:rPr>
          <w:sz w:val="24"/>
          <w:szCs w:val="24"/>
        </w:rPr>
        <w:t>B</w:t>
      </w:r>
      <w:r w:rsidRPr="00121A6A">
        <w:rPr>
          <w:sz w:val="24"/>
          <w:szCs w:val="24"/>
        </w:rPr>
        <w:t xml:space="preserve"> niet alleen </w:t>
      </w:r>
      <w:r w:rsidR="004A09A7" w:rsidRPr="00121A6A">
        <w:rPr>
          <w:sz w:val="24"/>
          <w:szCs w:val="24"/>
        </w:rPr>
        <w:t xml:space="preserve">inbreuk maakt op </w:t>
      </w:r>
      <w:r w:rsidRPr="00121A6A">
        <w:rPr>
          <w:sz w:val="24"/>
          <w:szCs w:val="24"/>
        </w:rPr>
        <w:t>zijn vrij verkeer</w:t>
      </w:r>
      <w:r w:rsidR="00BA6D2E" w:rsidRPr="00121A6A">
        <w:rPr>
          <w:sz w:val="24"/>
          <w:szCs w:val="24"/>
        </w:rPr>
        <w:t>srecht</w:t>
      </w:r>
      <w:r w:rsidRPr="00121A6A">
        <w:rPr>
          <w:sz w:val="24"/>
          <w:szCs w:val="24"/>
        </w:rPr>
        <w:t xml:space="preserve">, maar ook op </w:t>
      </w:r>
      <w:r w:rsidR="004A09A7" w:rsidRPr="00121A6A">
        <w:rPr>
          <w:sz w:val="24"/>
          <w:szCs w:val="24"/>
        </w:rPr>
        <w:t>zijn</w:t>
      </w:r>
      <w:r w:rsidRPr="00121A6A">
        <w:rPr>
          <w:sz w:val="24"/>
          <w:szCs w:val="24"/>
        </w:rPr>
        <w:t xml:space="preserve"> grondrecht</w:t>
      </w:r>
      <w:r w:rsidR="00511038">
        <w:rPr>
          <w:sz w:val="24"/>
          <w:szCs w:val="24"/>
        </w:rPr>
        <w:t>(en)</w:t>
      </w:r>
      <w:r w:rsidRPr="00121A6A">
        <w:rPr>
          <w:sz w:val="24"/>
          <w:szCs w:val="24"/>
        </w:rPr>
        <w:t xml:space="preserve">. </w:t>
      </w:r>
      <w:r w:rsidR="009373D5" w:rsidRPr="00121A6A">
        <w:rPr>
          <w:sz w:val="24"/>
          <w:szCs w:val="24"/>
        </w:rPr>
        <w:t xml:space="preserve">Behalve dat natuurlijk gedacht kan worden aan </w:t>
      </w:r>
      <w:r w:rsidR="00035174" w:rsidRPr="00121A6A">
        <w:rPr>
          <w:sz w:val="24"/>
          <w:szCs w:val="24"/>
        </w:rPr>
        <w:t xml:space="preserve">de </w:t>
      </w:r>
      <w:r w:rsidR="008E0EFF">
        <w:rPr>
          <w:sz w:val="24"/>
          <w:szCs w:val="24"/>
        </w:rPr>
        <w:t>verkeers</w:t>
      </w:r>
      <w:r w:rsidR="00035174" w:rsidRPr="00121A6A">
        <w:rPr>
          <w:sz w:val="24"/>
          <w:szCs w:val="24"/>
        </w:rPr>
        <w:t xml:space="preserve">vrijheden </w:t>
      </w:r>
      <w:r w:rsidR="00511038">
        <w:rPr>
          <w:sz w:val="24"/>
          <w:szCs w:val="24"/>
        </w:rPr>
        <w:t xml:space="preserve">van </w:t>
      </w:r>
      <w:r w:rsidR="00035174" w:rsidRPr="00121A6A">
        <w:rPr>
          <w:sz w:val="24"/>
          <w:szCs w:val="24"/>
        </w:rPr>
        <w:t>artikel 15 Hv</w:t>
      </w:r>
      <w:r w:rsidR="009373D5" w:rsidRPr="00121A6A">
        <w:rPr>
          <w:sz w:val="24"/>
          <w:szCs w:val="24"/>
        </w:rPr>
        <w:t>, kom</w:t>
      </w:r>
      <w:r w:rsidR="00BA6D2E" w:rsidRPr="00121A6A">
        <w:rPr>
          <w:sz w:val="24"/>
          <w:szCs w:val="24"/>
        </w:rPr>
        <w:t>en</w:t>
      </w:r>
      <w:r w:rsidR="009373D5" w:rsidRPr="00121A6A">
        <w:rPr>
          <w:sz w:val="24"/>
          <w:szCs w:val="24"/>
        </w:rPr>
        <w:t xml:space="preserve"> ook de </w:t>
      </w:r>
      <w:r w:rsidR="00511038">
        <w:rPr>
          <w:sz w:val="24"/>
          <w:szCs w:val="24"/>
        </w:rPr>
        <w:t>collectieve onderhandelingsvrijheid</w:t>
      </w:r>
      <w:r w:rsidR="009373D5" w:rsidRPr="00121A6A">
        <w:rPr>
          <w:sz w:val="24"/>
          <w:szCs w:val="24"/>
        </w:rPr>
        <w:t xml:space="preserve"> van de werkgever (artikel 28 Hv) en zijn </w:t>
      </w:r>
      <w:r w:rsidR="00BA6D2E" w:rsidRPr="00121A6A">
        <w:rPr>
          <w:sz w:val="24"/>
          <w:szCs w:val="24"/>
        </w:rPr>
        <w:t>vrijheid</w:t>
      </w:r>
      <w:r w:rsidR="009373D5" w:rsidRPr="00121A6A">
        <w:rPr>
          <w:sz w:val="24"/>
          <w:szCs w:val="24"/>
        </w:rPr>
        <w:t xml:space="preserve"> </w:t>
      </w:r>
      <w:r w:rsidR="00BA6D2E" w:rsidRPr="00121A6A">
        <w:rPr>
          <w:sz w:val="24"/>
          <w:szCs w:val="24"/>
        </w:rPr>
        <w:t xml:space="preserve">van ondernemerschap </w:t>
      </w:r>
      <w:r w:rsidR="009373D5" w:rsidRPr="00121A6A">
        <w:rPr>
          <w:sz w:val="24"/>
          <w:szCs w:val="24"/>
        </w:rPr>
        <w:t xml:space="preserve">(artikel 16 Hv) – voor zover zij technisch geschikt zijn voor directe werking – in aanmerking. </w:t>
      </w:r>
      <w:r w:rsidR="00511038">
        <w:rPr>
          <w:sz w:val="24"/>
          <w:szCs w:val="24"/>
        </w:rPr>
        <w:t>Bijgevolg</w:t>
      </w:r>
      <w:r w:rsidRPr="00121A6A">
        <w:rPr>
          <w:sz w:val="24"/>
          <w:szCs w:val="24"/>
        </w:rPr>
        <w:t xml:space="preserve"> </w:t>
      </w:r>
      <w:r w:rsidR="0001369B" w:rsidRPr="00121A6A">
        <w:rPr>
          <w:sz w:val="24"/>
          <w:szCs w:val="24"/>
        </w:rPr>
        <w:t>zou</w:t>
      </w:r>
      <w:r w:rsidRPr="00121A6A">
        <w:rPr>
          <w:sz w:val="24"/>
          <w:szCs w:val="24"/>
        </w:rPr>
        <w:t xml:space="preserve"> het handelen van</w:t>
      </w:r>
      <w:r w:rsidR="009373D5" w:rsidRPr="00121A6A">
        <w:rPr>
          <w:sz w:val="24"/>
          <w:szCs w:val="24"/>
        </w:rPr>
        <w:t xml:space="preserve"> partij B</w:t>
      </w:r>
      <w:r w:rsidRPr="00121A6A">
        <w:rPr>
          <w:sz w:val="24"/>
          <w:szCs w:val="24"/>
        </w:rPr>
        <w:t xml:space="preserve"> tevens aan </w:t>
      </w:r>
      <w:r w:rsidR="005A6253">
        <w:rPr>
          <w:sz w:val="24"/>
          <w:szCs w:val="24"/>
        </w:rPr>
        <w:t xml:space="preserve">(een van) </w:t>
      </w:r>
      <w:r w:rsidR="009C6050" w:rsidRPr="00121A6A">
        <w:rPr>
          <w:sz w:val="24"/>
          <w:szCs w:val="24"/>
        </w:rPr>
        <w:t>deze grondrechten</w:t>
      </w:r>
      <w:r w:rsidRPr="00121A6A">
        <w:rPr>
          <w:sz w:val="24"/>
          <w:szCs w:val="24"/>
        </w:rPr>
        <w:t xml:space="preserve"> </w:t>
      </w:r>
      <w:r w:rsidR="0001369B" w:rsidRPr="00121A6A">
        <w:rPr>
          <w:sz w:val="24"/>
          <w:szCs w:val="24"/>
        </w:rPr>
        <w:t xml:space="preserve">moeten </w:t>
      </w:r>
      <w:r w:rsidRPr="00121A6A">
        <w:rPr>
          <w:sz w:val="24"/>
          <w:szCs w:val="24"/>
        </w:rPr>
        <w:t>worden</w:t>
      </w:r>
      <w:r w:rsidR="0024194F" w:rsidRPr="00121A6A">
        <w:rPr>
          <w:sz w:val="24"/>
          <w:szCs w:val="24"/>
        </w:rPr>
        <w:t xml:space="preserve"> getoetst</w:t>
      </w:r>
      <w:r w:rsidRPr="00121A6A">
        <w:rPr>
          <w:sz w:val="24"/>
          <w:szCs w:val="24"/>
        </w:rPr>
        <w:t xml:space="preserve">. </w:t>
      </w:r>
    </w:p>
    <w:p w14:paraId="10D5C708" w14:textId="70F95C4A" w:rsidR="0007610C" w:rsidRPr="00121A6A" w:rsidRDefault="0007610C" w:rsidP="0007610C">
      <w:pPr>
        <w:spacing w:after="0"/>
        <w:ind w:firstLine="708"/>
        <w:jc w:val="both"/>
        <w:rPr>
          <w:sz w:val="24"/>
          <w:szCs w:val="24"/>
        </w:rPr>
      </w:pPr>
      <w:r w:rsidRPr="00121A6A">
        <w:rPr>
          <w:sz w:val="24"/>
          <w:szCs w:val="24"/>
        </w:rPr>
        <w:t>Het moge duidelijk zijn dat een dergelijke constructie niet bevorderlijk is voor de rechtspositie van de vakbond en daarmee evenmin voor het creëren van een uniform toetsingskader in de verschillende rechtsordes</w:t>
      </w:r>
      <w:r w:rsidR="000864FD">
        <w:rPr>
          <w:sz w:val="24"/>
          <w:szCs w:val="24"/>
        </w:rPr>
        <w:t>.</w:t>
      </w:r>
      <w:r w:rsidRPr="00121A6A">
        <w:rPr>
          <w:sz w:val="24"/>
          <w:szCs w:val="24"/>
        </w:rPr>
        <w:t xml:space="preserve"> </w:t>
      </w:r>
      <w:r w:rsidR="000864FD">
        <w:rPr>
          <w:sz w:val="24"/>
          <w:szCs w:val="24"/>
        </w:rPr>
        <w:t>D</w:t>
      </w:r>
      <w:r w:rsidRPr="00121A6A">
        <w:rPr>
          <w:sz w:val="24"/>
          <w:szCs w:val="24"/>
        </w:rPr>
        <w:t xml:space="preserve">e bestaakte werkgever </w:t>
      </w:r>
      <w:r w:rsidR="000864FD">
        <w:rPr>
          <w:sz w:val="24"/>
          <w:szCs w:val="24"/>
        </w:rPr>
        <w:t>zou immers</w:t>
      </w:r>
      <w:r w:rsidRPr="00121A6A">
        <w:rPr>
          <w:sz w:val="24"/>
          <w:szCs w:val="24"/>
        </w:rPr>
        <w:t xml:space="preserve"> alleen </w:t>
      </w:r>
      <w:r w:rsidR="001D2FA6" w:rsidRPr="00121A6A">
        <w:rPr>
          <w:sz w:val="24"/>
          <w:szCs w:val="24"/>
        </w:rPr>
        <w:t xml:space="preserve">nog </w:t>
      </w:r>
      <w:r w:rsidRPr="00121A6A">
        <w:rPr>
          <w:sz w:val="24"/>
          <w:szCs w:val="24"/>
        </w:rPr>
        <w:t xml:space="preserve">maar sterker </w:t>
      </w:r>
      <w:r w:rsidR="000864FD">
        <w:rPr>
          <w:sz w:val="24"/>
          <w:szCs w:val="24"/>
        </w:rPr>
        <w:t xml:space="preserve">komen </w:t>
      </w:r>
      <w:r w:rsidRPr="00121A6A">
        <w:rPr>
          <w:sz w:val="24"/>
          <w:szCs w:val="24"/>
        </w:rPr>
        <w:t>te staan. De keerzijde is echter dat, nu in casu materieel Unierecht (het vrij verkeer) in het geding is en dit een relevant aanknopingspunt met het EU-recht</w:t>
      </w:r>
      <w:r w:rsidR="00B439E0" w:rsidRPr="00B439E0">
        <w:rPr>
          <w:sz w:val="24"/>
          <w:szCs w:val="24"/>
        </w:rPr>
        <w:t xml:space="preserve"> </w:t>
      </w:r>
      <w:r w:rsidR="00B439E0" w:rsidRPr="00121A6A">
        <w:rPr>
          <w:sz w:val="24"/>
          <w:szCs w:val="24"/>
        </w:rPr>
        <w:t>vormt</w:t>
      </w:r>
      <w:r w:rsidRPr="00121A6A">
        <w:rPr>
          <w:sz w:val="24"/>
          <w:szCs w:val="24"/>
        </w:rPr>
        <w:t xml:space="preserve">, </w:t>
      </w:r>
      <w:r w:rsidR="00D56858" w:rsidRPr="00121A6A">
        <w:rPr>
          <w:sz w:val="24"/>
          <w:szCs w:val="24"/>
        </w:rPr>
        <w:t>naar mijn idee</w:t>
      </w:r>
      <w:r w:rsidR="007639E9" w:rsidRPr="00121A6A">
        <w:rPr>
          <w:sz w:val="24"/>
          <w:szCs w:val="24"/>
        </w:rPr>
        <w:t xml:space="preserve"> het gehele</w:t>
      </w:r>
      <w:r w:rsidRPr="00121A6A">
        <w:rPr>
          <w:sz w:val="24"/>
          <w:szCs w:val="24"/>
        </w:rPr>
        <w:t xml:space="preserve"> </w:t>
      </w:r>
      <w:r w:rsidR="007639E9" w:rsidRPr="00121A6A">
        <w:rPr>
          <w:sz w:val="24"/>
          <w:szCs w:val="24"/>
        </w:rPr>
        <w:t>rechts</w:t>
      </w:r>
      <w:r w:rsidRPr="00121A6A">
        <w:rPr>
          <w:sz w:val="24"/>
          <w:szCs w:val="24"/>
        </w:rPr>
        <w:t>geschil binnen de werkingssfeer van het Handvest valt.</w:t>
      </w:r>
      <w:r w:rsidR="007639E9" w:rsidRPr="00121A6A">
        <w:rPr>
          <w:sz w:val="24"/>
          <w:szCs w:val="24"/>
        </w:rPr>
        <w:t xml:space="preserve"> </w:t>
      </w:r>
      <w:r w:rsidR="0086189A" w:rsidRPr="00121A6A">
        <w:rPr>
          <w:sz w:val="24"/>
          <w:szCs w:val="24"/>
        </w:rPr>
        <w:t>Dat maakt het standpunt</w:t>
      </w:r>
      <w:r w:rsidRPr="00121A6A">
        <w:rPr>
          <w:sz w:val="24"/>
          <w:szCs w:val="24"/>
        </w:rPr>
        <w:t xml:space="preserve"> dat ook de vakbond zich nu</w:t>
      </w:r>
      <w:r w:rsidR="007639E9" w:rsidRPr="00121A6A">
        <w:rPr>
          <w:sz w:val="24"/>
          <w:szCs w:val="24"/>
        </w:rPr>
        <w:t xml:space="preserve"> rechtstreeks</w:t>
      </w:r>
      <w:r w:rsidRPr="00121A6A">
        <w:rPr>
          <w:sz w:val="24"/>
          <w:szCs w:val="24"/>
        </w:rPr>
        <w:t xml:space="preserve"> op het Handvest </w:t>
      </w:r>
      <w:r w:rsidR="0001369B" w:rsidRPr="00121A6A">
        <w:rPr>
          <w:sz w:val="24"/>
          <w:szCs w:val="24"/>
        </w:rPr>
        <w:t>zou</w:t>
      </w:r>
      <w:r w:rsidR="00E51CA0" w:rsidRPr="00121A6A">
        <w:rPr>
          <w:sz w:val="24"/>
          <w:szCs w:val="24"/>
        </w:rPr>
        <w:t xml:space="preserve"> </w:t>
      </w:r>
      <w:r w:rsidR="0001369B" w:rsidRPr="00121A6A">
        <w:rPr>
          <w:sz w:val="24"/>
          <w:szCs w:val="24"/>
        </w:rPr>
        <w:t xml:space="preserve">(moeten) kunnen </w:t>
      </w:r>
      <w:r w:rsidRPr="00121A6A">
        <w:rPr>
          <w:sz w:val="24"/>
          <w:szCs w:val="24"/>
        </w:rPr>
        <w:t>beroepen</w:t>
      </w:r>
      <w:r w:rsidR="0086189A" w:rsidRPr="00121A6A">
        <w:rPr>
          <w:sz w:val="24"/>
          <w:szCs w:val="24"/>
        </w:rPr>
        <w:t xml:space="preserve"> goed verdedigbaar</w:t>
      </w:r>
      <w:r w:rsidRPr="00121A6A">
        <w:rPr>
          <w:sz w:val="24"/>
          <w:szCs w:val="24"/>
        </w:rPr>
        <w:t xml:space="preserve">. </w:t>
      </w:r>
      <w:r w:rsidR="0086189A" w:rsidRPr="00121A6A">
        <w:rPr>
          <w:sz w:val="24"/>
          <w:szCs w:val="24"/>
        </w:rPr>
        <w:t>Daarmee zou</w:t>
      </w:r>
      <w:r w:rsidRPr="00121A6A">
        <w:rPr>
          <w:sz w:val="24"/>
          <w:szCs w:val="24"/>
        </w:rPr>
        <w:t xml:space="preserve"> artikel 28 Hv</w:t>
      </w:r>
      <w:r w:rsidR="007639E9" w:rsidRPr="00121A6A">
        <w:rPr>
          <w:sz w:val="24"/>
          <w:szCs w:val="24"/>
        </w:rPr>
        <w:t xml:space="preserve"> </w:t>
      </w:r>
      <w:r w:rsidRPr="00121A6A">
        <w:rPr>
          <w:sz w:val="24"/>
          <w:szCs w:val="24"/>
        </w:rPr>
        <w:t xml:space="preserve">op autonome wijze effect </w:t>
      </w:r>
      <w:r w:rsidR="0086189A" w:rsidRPr="00121A6A">
        <w:rPr>
          <w:sz w:val="24"/>
          <w:szCs w:val="24"/>
        </w:rPr>
        <w:t>kunnen</w:t>
      </w:r>
      <w:r w:rsidRPr="00121A6A">
        <w:rPr>
          <w:sz w:val="24"/>
          <w:szCs w:val="24"/>
        </w:rPr>
        <w:t xml:space="preserve"> sorteren op de privaatrechtelijke verhouding. Hoewel de werkgever kwantitatief gezien in het voordeel is </w:t>
      </w:r>
      <w:r w:rsidR="009373D5" w:rsidRPr="00121A6A">
        <w:rPr>
          <w:sz w:val="24"/>
          <w:szCs w:val="24"/>
        </w:rPr>
        <w:t xml:space="preserve">– </w:t>
      </w:r>
      <w:r w:rsidRPr="00121A6A">
        <w:rPr>
          <w:sz w:val="24"/>
          <w:szCs w:val="24"/>
        </w:rPr>
        <w:t xml:space="preserve">hij kan </w:t>
      </w:r>
      <w:r w:rsidR="009373D5" w:rsidRPr="00121A6A">
        <w:rPr>
          <w:sz w:val="24"/>
          <w:szCs w:val="24"/>
        </w:rPr>
        <w:t xml:space="preserve">immers </w:t>
      </w:r>
      <w:r w:rsidRPr="00121A6A">
        <w:rPr>
          <w:sz w:val="24"/>
          <w:szCs w:val="24"/>
        </w:rPr>
        <w:t>méér grondrechten tegelijkertijd inroepen</w:t>
      </w:r>
      <w:r w:rsidR="009373D5" w:rsidRPr="00121A6A">
        <w:rPr>
          <w:sz w:val="24"/>
          <w:szCs w:val="24"/>
        </w:rPr>
        <w:t xml:space="preserve"> –</w:t>
      </w:r>
      <w:r w:rsidRPr="00121A6A">
        <w:rPr>
          <w:sz w:val="24"/>
          <w:szCs w:val="24"/>
        </w:rPr>
        <w:t xml:space="preserve"> geeft een volwaardig beroep van de vakbond op artikel 28 Hv deze net zo goed slagkracht. Eén van de voorwaarden </w:t>
      </w:r>
      <w:r w:rsidR="0086189A" w:rsidRPr="00121A6A">
        <w:rPr>
          <w:sz w:val="24"/>
          <w:szCs w:val="24"/>
        </w:rPr>
        <w:t>om een grondrecht te kunnen beperken</w:t>
      </w:r>
      <w:r w:rsidR="002626C3" w:rsidRPr="00121A6A">
        <w:rPr>
          <w:sz w:val="24"/>
          <w:szCs w:val="24"/>
        </w:rPr>
        <w:t>,</w:t>
      </w:r>
      <w:r w:rsidRPr="00121A6A">
        <w:rPr>
          <w:sz w:val="24"/>
          <w:szCs w:val="24"/>
        </w:rPr>
        <w:t xml:space="preserve"> </w:t>
      </w:r>
      <w:r w:rsidR="002626C3" w:rsidRPr="00121A6A">
        <w:rPr>
          <w:sz w:val="24"/>
          <w:szCs w:val="24"/>
        </w:rPr>
        <w:t>is</w:t>
      </w:r>
      <w:r w:rsidRPr="00121A6A">
        <w:rPr>
          <w:sz w:val="24"/>
          <w:szCs w:val="24"/>
        </w:rPr>
        <w:t xml:space="preserve"> immers dat de wezenlijke inhoud van het grondrecht moet worden geëerbiedigd</w:t>
      </w:r>
      <w:r w:rsidR="0086189A" w:rsidRPr="00121A6A">
        <w:rPr>
          <w:sz w:val="24"/>
          <w:szCs w:val="24"/>
        </w:rPr>
        <w:t xml:space="preserve"> (artikel 52 lid 1 Hv)</w:t>
      </w:r>
      <w:r w:rsidRPr="00121A6A">
        <w:rPr>
          <w:sz w:val="24"/>
          <w:szCs w:val="24"/>
        </w:rPr>
        <w:t xml:space="preserve">. </w:t>
      </w:r>
      <w:r w:rsidR="001E3DB6" w:rsidRPr="00121A6A">
        <w:rPr>
          <w:sz w:val="24"/>
          <w:szCs w:val="24"/>
        </w:rPr>
        <w:t>N</w:t>
      </w:r>
      <w:r w:rsidRPr="00121A6A">
        <w:rPr>
          <w:sz w:val="24"/>
          <w:szCs w:val="24"/>
        </w:rPr>
        <w:t xml:space="preserve">iet alleen een absoluut stakingsverbod, maar </w:t>
      </w:r>
      <w:r w:rsidR="0052231F" w:rsidRPr="00121A6A">
        <w:rPr>
          <w:sz w:val="24"/>
          <w:szCs w:val="24"/>
        </w:rPr>
        <w:t xml:space="preserve">bijvoorbeeld </w:t>
      </w:r>
      <w:r w:rsidRPr="00121A6A">
        <w:rPr>
          <w:sz w:val="24"/>
          <w:szCs w:val="24"/>
        </w:rPr>
        <w:t xml:space="preserve">ook de strenge </w:t>
      </w:r>
      <w:r w:rsidRPr="00121A6A">
        <w:rPr>
          <w:i/>
          <w:iCs/>
          <w:sz w:val="24"/>
          <w:szCs w:val="24"/>
        </w:rPr>
        <w:t>ultimum remedium</w:t>
      </w:r>
      <w:r w:rsidRPr="00121A6A">
        <w:rPr>
          <w:sz w:val="24"/>
          <w:szCs w:val="24"/>
        </w:rPr>
        <w:t xml:space="preserve">-eis uit </w:t>
      </w:r>
      <w:r w:rsidRPr="00121A6A">
        <w:rPr>
          <w:i/>
          <w:iCs/>
          <w:sz w:val="24"/>
          <w:szCs w:val="24"/>
        </w:rPr>
        <w:t>Viking</w:t>
      </w:r>
      <w:r w:rsidRPr="00121A6A">
        <w:rPr>
          <w:sz w:val="24"/>
          <w:szCs w:val="24"/>
        </w:rPr>
        <w:t xml:space="preserve"> </w:t>
      </w:r>
      <w:r w:rsidR="007E67C8" w:rsidRPr="00121A6A">
        <w:rPr>
          <w:sz w:val="24"/>
          <w:szCs w:val="24"/>
        </w:rPr>
        <w:t>zou</w:t>
      </w:r>
      <w:r w:rsidR="001E3DB6" w:rsidRPr="00121A6A">
        <w:rPr>
          <w:sz w:val="24"/>
          <w:szCs w:val="24"/>
        </w:rPr>
        <w:t xml:space="preserve"> </w:t>
      </w:r>
      <w:r w:rsidR="009C6050" w:rsidRPr="00121A6A">
        <w:rPr>
          <w:sz w:val="24"/>
          <w:szCs w:val="24"/>
        </w:rPr>
        <w:t xml:space="preserve">onder omstandigheden </w:t>
      </w:r>
      <w:r w:rsidRPr="00121A6A">
        <w:rPr>
          <w:sz w:val="24"/>
          <w:szCs w:val="24"/>
        </w:rPr>
        <w:t xml:space="preserve">in strijd </w:t>
      </w:r>
      <w:r w:rsidR="007E67C8" w:rsidRPr="00121A6A">
        <w:rPr>
          <w:sz w:val="24"/>
          <w:szCs w:val="24"/>
        </w:rPr>
        <w:t xml:space="preserve">kunnen </w:t>
      </w:r>
      <w:r w:rsidRPr="00121A6A">
        <w:rPr>
          <w:sz w:val="24"/>
          <w:szCs w:val="24"/>
        </w:rPr>
        <w:t>kom</w:t>
      </w:r>
      <w:r w:rsidR="001E3DB6" w:rsidRPr="00121A6A">
        <w:rPr>
          <w:sz w:val="24"/>
          <w:szCs w:val="24"/>
        </w:rPr>
        <w:t>en</w:t>
      </w:r>
      <w:r w:rsidRPr="00121A6A">
        <w:rPr>
          <w:sz w:val="24"/>
          <w:szCs w:val="24"/>
        </w:rPr>
        <w:t xml:space="preserve"> met deze norm.</w:t>
      </w:r>
      <w:r w:rsidRPr="00121A6A">
        <w:rPr>
          <w:rStyle w:val="FootnoteReference"/>
          <w:sz w:val="24"/>
          <w:szCs w:val="24"/>
        </w:rPr>
        <w:footnoteReference w:id="279"/>
      </w:r>
    </w:p>
    <w:p w14:paraId="744129A9" w14:textId="5BCCBCE4" w:rsidR="0007610C" w:rsidRPr="00121A6A" w:rsidRDefault="0007610C" w:rsidP="0007610C">
      <w:pPr>
        <w:spacing w:after="0"/>
        <w:ind w:firstLine="708"/>
        <w:jc w:val="both"/>
        <w:rPr>
          <w:sz w:val="24"/>
          <w:szCs w:val="24"/>
        </w:rPr>
      </w:pPr>
      <w:r w:rsidRPr="00121A6A">
        <w:rPr>
          <w:sz w:val="24"/>
          <w:szCs w:val="24"/>
        </w:rPr>
        <w:t xml:space="preserve">Men kan zich </w:t>
      </w:r>
      <w:r w:rsidR="002626C3" w:rsidRPr="00121A6A">
        <w:rPr>
          <w:sz w:val="24"/>
          <w:szCs w:val="24"/>
        </w:rPr>
        <w:t>e</w:t>
      </w:r>
      <w:r w:rsidR="004722A0" w:rsidRPr="00121A6A">
        <w:rPr>
          <w:sz w:val="24"/>
          <w:szCs w:val="24"/>
        </w:rPr>
        <w:t>venwel</w:t>
      </w:r>
      <w:r w:rsidR="00C25F51" w:rsidRPr="00121A6A">
        <w:rPr>
          <w:sz w:val="24"/>
          <w:szCs w:val="24"/>
        </w:rPr>
        <w:t xml:space="preserve"> </w:t>
      </w:r>
      <w:r w:rsidRPr="00121A6A">
        <w:rPr>
          <w:sz w:val="24"/>
          <w:szCs w:val="24"/>
        </w:rPr>
        <w:t xml:space="preserve">afvragen of een dergelijke autonome invulling van artikel 28 </w:t>
      </w:r>
      <w:r w:rsidR="002626C3" w:rsidRPr="00121A6A">
        <w:rPr>
          <w:sz w:val="24"/>
          <w:szCs w:val="24"/>
        </w:rPr>
        <w:t xml:space="preserve">Hv </w:t>
      </w:r>
      <w:r w:rsidRPr="00121A6A">
        <w:rPr>
          <w:sz w:val="24"/>
          <w:szCs w:val="24"/>
        </w:rPr>
        <w:t xml:space="preserve">door het Hof, zonder nadere wetgevende concretisering in secundair Unierecht, toelaatbaar is in het licht van de machtenscheiding. </w:t>
      </w:r>
      <w:r w:rsidR="00BA0EA7" w:rsidRPr="00121A6A">
        <w:rPr>
          <w:sz w:val="24"/>
          <w:szCs w:val="24"/>
        </w:rPr>
        <w:t>H</w:t>
      </w:r>
      <w:r w:rsidRPr="00121A6A">
        <w:rPr>
          <w:sz w:val="24"/>
          <w:szCs w:val="24"/>
        </w:rPr>
        <w:t xml:space="preserve">et gebrek aan wetgevende competentie van de Unie op het gebied van het stakingsrecht </w:t>
      </w:r>
      <w:r w:rsidR="00BA0EA7" w:rsidRPr="00121A6A">
        <w:rPr>
          <w:sz w:val="24"/>
          <w:szCs w:val="24"/>
        </w:rPr>
        <w:t xml:space="preserve">blijft </w:t>
      </w:r>
      <w:r w:rsidRPr="00121A6A">
        <w:rPr>
          <w:sz w:val="24"/>
          <w:szCs w:val="24"/>
        </w:rPr>
        <w:t xml:space="preserve">een punt van aandacht. Echter, </w:t>
      </w:r>
      <w:r w:rsidR="00393BED">
        <w:rPr>
          <w:sz w:val="24"/>
          <w:szCs w:val="24"/>
        </w:rPr>
        <w:t xml:space="preserve">door </w:t>
      </w:r>
      <w:r w:rsidR="00D570CF">
        <w:rPr>
          <w:sz w:val="24"/>
          <w:szCs w:val="24"/>
        </w:rPr>
        <w:t xml:space="preserve">de </w:t>
      </w:r>
      <w:r w:rsidRPr="00121A6A">
        <w:rPr>
          <w:sz w:val="24"/>
          <w:szCs w:val="24"/>
        </w:rPr>
        <w:t xml:space="preserve">aanvaarding van zuiver horizontale </w:t>
      </w:r>
      <w:r w:rsidR="00D570CF" w:rsidRPr="00121A6A">
        <w:rPr>
          <w:sz w:val="24"/>
          <w:szCs w:val="24"/>
        </w:rPr>
        <w:t xml:space="preserve">directe </w:t>
      </w:r>
      <w:r w:rsidRPr="00121A6A">
        <w:rPr>
          <w:sz w:val="24"/>
          <w:szCs w:val="24"/>
        </w:rPr>
        <w:t xml:space="preserve">werking van de </w:t>
      </w:r>
      <w:r w:rsidR="00D509B1">
        <w:rPr>
          <w:sz w:val="24"/>
          <w:szCs w:val="24"/>
        </w:rPr>
        <w:t>verkeersvrijheden</w:t>
      </w:r>
      <w:r w:rsidR="00393BED">
        <w:rPr>
          <w:sz w:val="24"/>
          <w:szCs w:val="24"/>
        </w:rPr>
        <w:t xml:space="preserve"> </w:t>
      </w:r>
      <w:r w:rsidR="00311B28">
        <w:rPr>
          <w:sz w:val="24"/>
          <w:szCs w:val="24"/>
        </w:rPr>
        <w:t>is</w:t>
      </w:r>
      <w:r w:rsidRPr="00121A6A">
        <w:rPr>
          <w:sz w:val="24"/>
          <w:szCs w:val="24"/>
        </w:rPr>
        <w:t xml:space="preserve"> het Hof </w:t>
      </w:r>
      <w:r w:rsidR="00311B28">
        <w:rPr>
          <w:sz w:val="24"/>
          <w:szCs w:val="24"/>
        </w:rPr>
        <w:t xml:space="preserve">bevoegd (geworden) om </w:t>
      </w:r>
      <w:r w:rsidRPr="00121A6A">
        <w:rPr>
          <w:sz w:val="24"/>
          <w:szCs w:val="24"/>
        </w:rPr>
        <w:t xml:space="preserve">zich </w:t>
      </w:r>
      <w:r w:rsidR="00D509B1">
        <w:rPr>
          <w:sz w:val="24"/>
          <w:szCs w:val="24"/>
        </w:rPr>
        <w:t xml:space="preserve">in </w:t>
      </w:r>
      <w:r w:rsidRPr="00121A6A">
        <w:rPr>
          <w:sz w:val="24"/>
          <w:szCs w:val="24"/>
        </w:rPr>
        <w:t xml:space="preserve">laatste instantie </w:t>
      </w:r>
      <w:r w:rsidR="00393BED">
        <w:rPr>
          <w:sz w:val="24"/>
          <w:szCs w:val="24"/>
        </w:rPr>
        <w:t xml:space="preserve">uit te spreken over </w:t>
      </w:r>
      <w:r w:rsidRPr="00121A6A">
        <w:rPr>
          <w:sz w:val="24"/>
          <w:szCs w:val="24"/>
        </w:rPr>
        <w:t xml:space="preserve">de (on)rechtmatigheid van </w:t>
      </w:r>
      <w:r w:rsidR="00980396">
        <w:rPr>
          <w:sz w:val="24"/>
          <w:szCs w:val="24"/>
        </w:rPr>
        <w:t>een staking met een grensoverschrijdend effect</w:t>
      </w:r>
      <w:r w:rsidRPr="00121A6A">
        <w:rPr>
          <w:sz w:val="24"/>
          <w:szCs w:val="24"/>
        </w:rPr>
        <w:t xml:space="preserve">. </w:t>
      </w:r>
      <w:r w:rsidR="00DD0141" w:rsidRPr="00121A6A">
        <w:rPr>
          <w:sz w:val="24"/>
          <w:szCs w:val="24"/>
        </w:rPr>
        <w:t>In mijn optiek</w:t>
      </w:r>
      <w:r w:rsidR="001E3DB6" w:rsidRPr="00121A6A">
        <w:rPr>
          <w:sz w:val="24"/>
          <w:szCs w:val="24"/>
        </w:rPr>
        <w:t xml:space="preserve"> zou </w:t>
      </w:r>
      <w:r w:rsidRPr="00121A6A">
        <w:rPr>
          <w:sz w:val="24"/>
          <w:szCs w:val="24"/>
        </w:rPr>
        <w:t>het Hof in zo’n (</w:t>
      </w:r>
      <w:proofErr w:type="spellStart"/>
      <w:r w:rsidRPr="00121A6A">
        <w:rPr>
          <w:sz w:val="24"/>
          <w:szCs w:val="24"/>
        </w:rPr>
        <w:t>uitzonderings</w:t>
      </w:r>
      <w:proofErr w:type="spellEnd"/>
      <w:r w:rsidRPr="00121A6A">
        <w:rPr>
          <w:sz w:val="24"/>
          <w:szCs w:val="24"/>
        </w:rPr>
        <w:t xml:space="preserve">)geval het onderwerp ‘stakingsrecht’ dan ook geheel naar zich toe </w:t>
      </w:r>
      <w:r w:rsidR="002626C3" w:rsidRPr="00121A6A">
        <w:rPr>
          <w:sz w:val="24"/>
          <w:szCs w:val="24"/>
        </w:rPr>
        <w:t>moet</w:t>
      </w:r>
      <w:r w:rsidR="001E3DB6" w:rsidRPr="00121A6A">
        <w:rPr>
          <w:sz w:val="24"/>
          <w:szCs w:val="24"/>
        </w:rPr>
        <w:t>en</w:t>
      </w:r>
      <w:r w:rsidR="002626C3" w:rsidRPr="00121A6A">
        <w:rPr>
          <w:sz w:val="24"/>
          <w:szCs w:val="24"/>
        </w:rPr>
        <w:t xml:space="preserve"> </w:t>
      </w:r>
      <w:r w:rsidRPr="00121A6A">
        <w:rPr>
          <w:sz w:val="24"/>
          <w:szCs w:val="24"/>
        </w:rPr>
        <w:t>trekken teneinde te waarborgen dat dit recht afdoende wordt geëerbiedigd.</w:t>
      </w:r>
      <w:r w:rsidR="000746F4" w:rsidRPr="00121A6A">
        <w:rPr>
          <w:rStyle w:val="FootnoteReference"/>
          <w:sz w:val="24"/>
          <w:szCs w:val="24"/>
        </w:rPr>
        <w:footnoteReference w:id="280"/>
      </w:r>
      <w:r w:rsidRPr="00121A6A">
        <w:rPr>
          <w:sz w:val="24"/>
          <w:szCs w:val="24"/>
        </w:rPr>
        <w:t xml:space="preserve"> </w:t>
      </w:r>
      <w:r w:rsidR="00E51CA0" w:rsidRPr="00121A6A">
        <w:rPr>
          <w:sz w:val="24"/>
          <w:szCs w:val="24"/>
        </w:rPr>
        <w:t xml:space="preserve">Dat geldt </w:t>
      </w:r>
      <w:r w:rsidR="00FF6E19">
        <w:rPr>
          <w:sz w:val="24"/>
          <w:szCs w:val="24"/>
        </w:rPr>
        <w:t xml:space="preserve">des </w:t>
      </w:r>
      <w:r w:rsidR="00E51CA0" w:rsidRPr="00121A6A">
        <w:rPr>
          <w:sz w:val="24"/>
          <w:szCs w:val="24"/>
        </w:rPr>
        <w:t>te meer nu</w:t>
      </w:r>
      <w:r w:rsidRPr="00121A6A">
        <w:rPr>
          <w:sz w:val="24"/>
          <w:szCs w:val="24"/>
        </w:rPr>
        <w:t xml:space="preserve"> artikel 28 Hv technisch geschikt is voor </w:t>
      </w:r>
      <w:r w:rsidR="00BA0EA7" w:rsidRPr="00121A6A">
        <w:rPr>
          <w:sz w:val="24"/>
          <w:szCs w:val="24"/>
        </w:rPr>
        <w:t>rechtstreekse</w:t>
      </w:r>
      <w:r w:rsidRPr="00121A6A">
        <w:rPr>
          <w:sz w:val="24"/>
          <w:szCs w:val="24"/>
        </w:rPr>
        <w:t xml:space="preserve"> werking en uit deze bepaling</w:t>
      </w:r>
      <w:r w:rsidR="00BA0EA7" w:rsidRPr="00121A6A">
        <w:rPr>
          <w:sz w:val="24"/>
          <w:szCs w:val="24"/>
        </w:rPr>
        <w:t xml:space="preserve"> direct</w:t>
      </w:r>
      <w:r w:rsidRPr="00121A6A">
        <w:rPr>
          <w:sz w:val="24"/>
          <w:szCs w:val="24"/>
        </w:rPr>
        <w:t xml:space="preserve"> een subjectief recht voor </w:t>
      </w:r>
      <w:r w:rsidR="00BA0EA7" w:rsidRPr="00121A6A">
        <w:rPr>
          <w:sz w:val="24"/>
          <w:szCs w:val="24"/>
        </w:rPr>
        <w:t xml:space="preserve">alle </w:t>
      </w:r>
      <w:r w:rsidRPr="00121A6A">
        <w:rPr>
          <w:sz w:val="24"/>
          <w:szCs w:val="24"/>
        </w:rPr>
        <w:t>werknemers</w:t>
      </w:r>
      <w:r w:rsidR="00BA0EA7" w:rsidRPr="00121A6A">
        <w:rPr>
          <w:sz w:val="24"/>
          <w:szCs w:val="24"/>
        </w:rPr>
        <w:t>(organisaties)</w:t>
      </w:r>
      <w:r w:rsidRPr="00121A6A">
        <w:rPr>
          <w:sz w:val="24"/>
          <w:szCs w:val="24"/>
        </w:rPr>
        <w:t xml:space="preserve"> (de vrijheid om te staken) kan worden afgeleid</w:t>
      </w:r>
      <w:r w:rsidR="00B769C4" w:rsidRPr="00121A6A">
        <w:rPr>
          <w:sz w:val="24"/>
          <w:szCs w:val="24"/>
        </w:rPr>
        <w:t>. Daarmee hangt een overeenkomstige (negatieve) verplichting voor alle – publieke én private – werkgevers samen.</w:t>
      </w:r>
    </w:p>
    <w:p w14:paraId="02E83B99" w14:textId="77777777" w:rsidR="0007610C" w:rsidRPr="00121A6A" w:rsidRDefault="0007610C" w:rsidP="0007610C">
      <w:pPr>
        <w:spacing w:after="0"/>
        <w:jc w:val="both"/>
        <w:rPr>
          <w:sz w:val="24"/>
          <w:szCs w:val="24"/>
        </w:rPr>
      </w:pPr>
    </w:p>
    <w:p w14:paraId="22431228" w14:textId="5B28E8A1" w:rsidR="0007610C" w:rsidRPr="00121A6A" w:rsidRDefault="0007610C" w:rsidP="0007610C">
      <w:pPr>
        <w:pStyle w:val="Heading2"/>
        <w:rPr>
          <w:sz w:val="24"/>
          <w:szCs w:val="24"/>
        </w:rPr>
      </w:pPr>
      <w:bookmarkStart w:id="91" w:name="_Toc169963081"/>
      <w:r w:rsidRPr="00121A6A">
        <w:rPr>
          <w:sz w:val="24"/>
          <w:szCs w:val="24"/>
        </w:rPr>
        <w:t>4.</w:t>
      </w:r>
      <w:r w:rsidR="00361796" w:rsidRPr="00121A6A">
        <w:rPr>
          <w:sz w:val="24"/>
          <w:szCs w:val="24"/>
        </w:rPr>
        <w:t>4</w:t>
      </w:r>
      <w:r w:rsidRPr="00121A6A">
        <w:rPr>
          <w:sz w:val="24"/>
          <w:szCs w:val="24"/>
        </w:rPr>
        <w:t xml:space="preserve"> Afronding</w:t>
      </w:r>
      <w:bookmarkEnd w:id="91"/>
    </w:p>
    <w:p w14:paraId="021C5D82" w14:textId="192A3F23" w:rsidR="0007610C" w:rsidRPr="00121A6A" w:rsidRDefault="0007610C" w:rsidP="0007610C">
      <w:pPr>
        <w:spacing w:after="0"/>
        <w:jc w:val="both"/>
        <w:rPr>
          <w:rFonts w:cstheme="minorHAnsi"/>
          <w:sz w:val="24"/>
          <w:szCs w:val="24"/>
        </w:rPr>
      </w:pPr>
      <w:r w:rsidRPr="00121A6A">
        <w:rPr>
          <w:rFonts w:cstheme="minorHAnsi"/>
          <w:sz w:val="24"/>
          <w:szCs w:val="24"/>
        </w:rPr>
        <w:t xml:space="preserve">Uit </w:t>
      </w:r>
      <w:r w:rsidR="00DE5F5D">
        <w:rPr>
          <w:rFonts w:cstheme="minorHAnsi"/>
          <w:sz w:val="24"/>
          <w:szCs w:val="24"/>
        </w:rPr>
        <w:t xml:space="preserve">de </w:t>
      </w:r>
      <w:r w:rsidRPr="00121A6A">
        <w:rPr>
          <w:rFonts w:cstheme="minorHAnsi"/>
          <w:sz w:val="24"/>
          <w:szCs w:val="24"/>
        </w:rPr>
        <w:t xml:space="preserve">voorgaande analyse blijkt dat een sterke werking van artikel 28 Hv, in die zin dat </w:t>
      </w:r>
      <w:r w:rsidR="00674A29" w:rsidRPr="00121A6A">
        <w:rPr>
          <w:rFonts w:cstheme="minorHAnsi"/>
          <w:sz w:val="24"/>
          <w:szCs w:val="24"/>
        </w:rPr>
        <w:t>het stakingsrecht</w:t>
      </w:r>
      <w:r w:rsidR="001E3DB6" w:rsidRPr="00121A6A">
        <w:rPr>
          <w:rFonts w:cstheme="minorHAnsi"/>
          <w:sz w:val="24"/>
          <w:szCs w:val="24"/>
        </w:rPr>
        <w:t>,</w:t>
      </w:r>
      <w:r w:rsidRPr="00121A6A">
        <w:rPr>
          <w:rFonts w:cstheme="minorHAnsi"/>
          <w:sz w:val="24"/>
          <w:szCs w:val="24"/>
        </w:rPr>
        <w:t xml:space="preserve"> net als onder artikel 11 EVRM, ILO-Verdrag 87 en artikel 6 lid 4 ESH</w:t>
      </w:r>
      <w:r w:rsidR="001E3DB6" w:rsidRPr="00121A6A">
        <w:rPr>
          <w:rFonts w:cstheme="minorHAnsi"/>
          <w:sz w:val="24"/>
          <w:szCs w:val="24"/>
        </w:rPr>
        <w:t>,</w:t>
      </w:r>
      <w:r w:rsidRPr="00121A6A">
        <w:rPr>
          <w:rFonts w:cstheme="minorHAnsi"/>
          <w:sz w:val="24"/>
          <w:szCs w:val="24"/>
        </w:rPr>
        <w:t xml:space="preserve"> </w:t>
      </w:r>
      <w:r w:rsidR="00423437" w:rsidRPr="00121A6A">
        <w:rPr>
          <w:rFonts w:cstheme="minorHAnsi"/>
          <w:sz w:val="24"/>
          <w:szCs w:val="24"/>
        </w:rPr>
        <w:t xml:space="preserve">(mede) </w:t>
      </w:r>
      <w:r w:rsidRPr="00121A6A">
        <w:rPr>
          <w:rFonts w:cstheme="minorHAnsi"/>
          <w:sz w:val="24"/>
          <w:szCs w:val="24"/>
        </w:rPr>
        <w:t xml:space="preserve">het uitgangspunt van toetsing vormt en beperkingen van dit recht moeten voldoen aan </w:t>
      </w:r>
      <w:r w:rsidR="004979EC" w:rsidRPr="00121A6A">
        <w:rPr>
          <w:rFonts w:cstheme="minorHAnsi"/>
          <w:sz w:val="24"/>
          <w:szCs w:val="24"/>
        </w:rPr>
        <w:t>de</w:t>
      </w:r>
      <w:r w:rsidRPr="00121A6A">
        <w:rPr>
          <w:rFonts w:cstheme="minorHAnsi"/>
          <w:sz w:val="24"/>
          <w:szCs w:val="24"/>
        </w:rPr>
        <w:t xml:space="preserve"> </w:t>
      </w:r>
      <w:r w:rsidR="004979EC" w:rsidRPr="00121A6A">
        <w:rPr>
          <w:rFonts w:cstheme="minorHAnsi"/>
          <w:sz w:val="24"/>
          <w:szCs w:val="24"/>
        </w:rPr>
        <w:t>(</w:t>
      </w:r>
      <w:r w:rsidRPr="00121A6A">
        <w:rPr>
          <w:rFonts w:cstheme="minorHAnsi"/>
          <w:sz w:val="24"/>
          <w:szCs w:val="24"/>
        </w:rPr>
        <w:t>strikte</w:t>
      </w:r>
      <w:r w:rsidR="004979EC" w:rsidRPr="00121A6A">
        <w:rPr>
          <w:rFonts w:cstheme="minorHAnsi"/>
          <w:sz w:val="24"/>
          <w:szCs w:val="24"/>
        </w:rPr>
        <w:t>)</w:t>
      </w:r>
      <w:r w:rsidRPr="00121A6A">
        <w:rPr>
          <w:rFonts w:cstheme="minorHAnsi"/>
          <w:sz w:val="24"/>
          <w:szCs w:val="24"/>
        </w:rPr>
        <w:t xml:space="preserve"> beperkingsclausule</w:t>
      </w:r>
      <w:r w:rsidR="004979EC" w:rsidRPr="00121A6A">
        <w:rPr>
          <w:rFonts w:cstheme="minorHAnsi"/>
          <w:sz w:val="24"/>
          <w:szCs w:val="24"/>
        </w:rPr>
        <w:t xml:space="preserve"> van artikel 52 lid 1 Hv</w:t>
      </w:r>
      <w:r w:rsidRPr="00121A6A">
        <w:rPr>
          <w:rFonts w:cstheme="minorHAnsi"/>
          <w:sz w:val="24"/>
          <w:szCs w:val="24"/>
        </w:rPr>
        <w:t xml:space="preserve">, in het huidige Unierechtelijke systeem </w:t>
      </w:r>
      <w:r w:rsidR="001D3B43" w:rsidRPr="00121A6A">
        <w:rPr>
          <w:rFonts w:cstheme="minorHAnsi"/>
          <w:sz w:val="24"/>
          <w:szCs w:val="24"/>
        </w:rPr>
        <w:t>niet</w:t>
      </w:r>
      <w:r w:rsidR="00FA3B99" w:rsidRPr="00121A6A">
        <w:rPr>
          <w:rFonts w:cstheme="minorHAnsi"/>
          <w:sz w:val="24"/>
          <w:szCs w:val="24"/>
        </w:rPr>
        <w:t xml:space="preserve"> </w:t>
      </w:r>
      <w:r w:rsidR="001E3DB6" w:rsidRPr="00121A6A">
        <w:rPr>
          <w:rFonts w:cstheme="minorHAnsi"/>
          <w:sz w:val="24"/>
          <w:szCs w:val="24"/>
        </w:rPr>
        <w:t>voor</w:t>
      </w:r>
      <w:r w:rsidR="00FA3B99" w:rsidRPr="00121A6A">
        <w:rPr>
          <w:rFonts w:cstheme="minorHAnsi"/>
          <w:sz w:val="24"/>
          <w:szCs w:val="24"/>
        </w:rPr>
        <w:t xml:space="preserve"> </w:t>
      </w:r>
      <w:r w:rsidR="001E3DB6" w:rsidRPr="00121A6A">
        <w:rPr>
          <w:rFonts w:cstheme="minorHAnsi"/>
          <w:sz w:val="24"/>
          <w:szCs w:val="24"/>
        </w:rPr>
        <w:t>de</w:t>
      </w:r>
      <w:r w:rsidR="001E3DB6" w:rsidRPr="00121A6A">
        <w:rPr>
          <w:sz w:val="24"/>
          <w:szCs w:val="24"/>
        </w:rPr>
        <w:t xml:space="preserve"> </w:t>
      </w:r>
      <w:r w:rsidR="001E3DB6" w:rsidRPr="00121A6A">
        <w:rPr>
          <w:sz w:val="24"/>
          <w:szCs w:val="24"/>
        </w:rPr>
        <w:lastRenderedPageBreak/>
        <w:t xml:space="preserve">hand </w:t>
      </w:r>
      <w:r w:rsidR="00FA3B99" w:rsidRPr="00121A6A">
        <w:rPr>
          <w:rFonts w:cstheme="minorHAnsi"/>
          <w:sz w:val="24"/>
          <w:szCs w:val="24"/>
        </w:rPr>
        <w:t>ligt</w:t>
      </w:r>
      <w:r w:rsidRPr="00121A6A">
        <w:rPr>
          <w:rFonts w:cstheme="minorHAnsi"/>
          <w:sz w:val="24"/>
          <w:szCs w:val="24"/>
        </w:rPr>
        <w:t xml:space="preserve">. </w:t>
      </w:r>
      <w:r w:rsidR="00731B5D" w:rsidRPr="00121A6A">
        <w:rPr>
          <w:rFonts w:cstheme="minorHAnsi"/>
          <w:sz w:val="24"/>
          <w:szCs w:val="24"/>
        </w:rPr>
        <w:t>Middels</w:t>
      </w:r>
      <w:r w:rsidRPr="00121A6A">
        <w:rPr>
          <w:rFonts w:cstheme="minorHAnsi"/>
          <w:sz w:val="24"/>
          <w:szCs w:val="24"/>
        </w:rPr>
        <w:t xml:space="preserve"> een theoretische exercitie die geenszins geldend recht vertegenwoordigt, is inzichtelijk gemaakt dat de beperkte reikwijdte van het Handvest</w:t>
      </w:r>
      <w:r w:rsidR="001B3D15" w:rsidRPr="00121A6A">
        <w:rPr>
          <w:rFonts w:cstheme="minorHAnsi"/>
          <w:sz w:val="24"/>
          <w:szCs w:val="24"/>
        </w:rPr>
        <w:t xml:space="preserve"> </w:t>
      </w:r>
      <w:r w:rsidR="001E3DB6" w:rsidRPr="00121A6A">
        <w:rPr>
          <w:rFonts w:cstheme="minorHAnsi"/>
          <w:sz w:val="24"/>
          <w:szCs w:val="24"/>
        </w:rPr>
        <w:t>en</w:t>
      </w:r>
      <w:r w:rsidR="001E3DB6" w:rsidRPr="00121A6A">
        <w:rPr>
          <w:sz w:val="24"/>
          <w:szCs w:val="24"/>
        </w:rPr>
        <w:t xml:space="preserve"> het gebrek aan </w:t>
      </w:r>
      <w:r w:rsidR="0036355B" w:rsidRPr="00121A6A">
        <w:rPr>
          <w:sz w:val="24"/>
          <w:szCs w:val="24"/>
        </w:rPr>
        <w:t>Unie</w:t>
      </w:r>
      <w:r w:rsidR="001E3DB6" w:rsidRPr="00121A6A">
        <w:rPr>
          <w:sz w:val="24"/>
          <w:szCs w:val="24"/>
        </w:rPr>
        <w:t xml:space="preserve">bevoegdheid op het gebied van het stakingsrecht </w:t>
      </w:r>
      <w:r w:rsidR="00855026" w:rsidRPr="00121A6A">
        <w:rPr>
          <w:rFonts w:cstheme="minorHAnsi"/>
          <w:sz w:val="24"/>
          <w:szCs w:val="24"/>
        </w:rPr>
        <w:t>ernstige belemmeringen opwerp</w:t>
      </w:r>
      <w:r w:rsidR="0036355B" w:rsidRPr="00121A6A">
        <w:rPr>
          <w:rFonts w:cstheme="minorHAnsi"/>
          <w:sz w:val="24"/>
          <w:szCs w:val="24"/>
        </w:rPr>
        <w:t>en</w:t>
      </w:r>
      <w:r w:rsidR="00855026" w:rsidRPr="00121A6A">
        <w:rPr>
          <w:rFonts w:cstheme="minorHAnsi"/>
          <w:sz w:val="24"/>
          <w:szCs w:val="24"/>
        </w:rPr>
        <w:t xml:space="preserve"> voor </w:t>
      </w:r>
      <w:r w:rsidR="00674A29" w:rsidRPr="00121A6A">
        <w:rPr>
          <w:rFonts w:cstheme="minorHAnsi"/>
          <w:sz w:val="24"/>
          <w:szCs w:val="24"/>
        </w:rPr>
        <w:t xml:space="preserve">zowel verticale als horizontale </w:t>
      </w:r>
      <w:r w:rsidRPr="00121A6A">
        <w:rPr>
          <w:rFonts w:cstheme="minorHAnsi"/>
          <w:sz w:val="24"/>
          <w:szCs w:val="24"/>
        </w:rPr>
        <w:t>directe werking</w:t>
      </w:r>
      <w:r w:rsidR="00855026" w:rsidRPr="00121A6A">
        <w:rPr>
          <w:rFonts w:cstheme="minorHAnsi"/>
          <w:sz w:val="24"/>
          <w:szCs w:val="24"/>
        </w:rPr>
        <w:t xml:space="preserve"> van artikel 28 Hv</w:t>
      </w:r>
      <w:r w:rsidRPr="00121A6A">
        <w:rPr>
          <w:rFonts w:cstheme="minorHAnsi"/>
          <w:sz w:val="24"/>
          <w:szCs w:val="24"/>
        </w:rPr>
        <w:t>.</w:t>
      </w:r>
    </w:p>
    <w:p w14:paraId="153BE798" w14:textId="28C0E723" w:rsidR="0007610C" w:rsidRPr="00121A6A" w:rsidRDefault="0007610C" w:rsidP="0007610C">
      <w:pPr>
        <w:spacing w:after="0"/>
        <w:ind w:firstLine="709"/>
        <w:jc w:val="both"/>
        <w:rPr>
          <w:rFonts w:cstheme="minorHAnsi"/>
          <w:sz w:val="24"/>
          <w:szCs w:val="24"/>
        </w:rPr>
      </w:pPr>
      <w:r w:rsidRPr="00121A6A">
        <w:rPr>
          <w:rFonts w:cstheme="minorHAnsi"/>
          <w:sz w:val="24"/>
          <w:szCs w:val="24"/>
        </w:rPr>
        <w:t xml:space="preserve">In de context van het vrij verkeer zou de onmogelijkheid van zuiver horizontale </w:t>
      </w:r>
      <w:r w:rsidR="00D570CF" w:rsidRPr="00121A6A">
        <w:rPr>
          <w:rFonts w:cstheme="minorHAnsi"/>
          <w:sz w:val="24"/>
          <w:szCs w:val="24"/>
        </w:rPr>
        <w:t xml:space="preserve">directe </w:t>
      </w:r>
      <w:r w:rsidRPr="00121A6A">
        <w:rPr>
          <w:rFonts w:cstheme="minorHAnsi"/>
          <w:sz w:val="24"/>
          <w:szCs w:val="24"/>
        </w:rPr>
        <w:t xml:space="preserve">werking van artikel 28 Hv funest zijn voor meer harmonie </w:t>
      </w:r>
      <w:r w:rsidR="00DD5C50" w:rsidRPr="00121A6A">
        <w:rPr>
          <w:rFonts w:cstheme="minorHAnsi"/>
          <w:sz w:val="24"/>
          <w:szCs w:val="24"/>
        </w:rPr>
        <w:t>tussen de verschillende rechtsordes</w:t>
      </w:r>
      <w:r w:rsidRPr="00121A6A">
        <w:rPr>
          <w:rFonts w:cstheme="minorHAnsi"/>
          <w:sz w:val="24"/>
          <w:szCs w:val="24"/>
        </w:rPr>
        <w:t>.</w:t>
      </w:r>
      <w:r w:rsidR="00F708B4">
        <w:rPr>
          <w:rStyle w:val="FootnoteReference"/>
          <w:rFonts w:cstheme="minorHAnsi"/>
          <w:sz w:val="24"/>
          <w:szCs w:val="24"/>
        </w:rPr>
        <w:footnoteReference w:id="281"/>
      </w:r>
      <w:r w:rsidRPr="00121A6A">
        <w:rPr>
          <w:rFonts w:cstheme="minorHAnsi"/>
          <w:sz w:val="24"/>
          <w:szCs w:val="24"/>
        </w:rPr>
        <w:t xml:space="preserve"> </w:t>
      </w:r>
      <w:r w:rsidR="000D29B1" w:rsidRPr="00121A6A">
        <w:rPr>
          <w:rFonts w:cstheme="minorHAnsi"/>
          <w:sz w:val="24"/>
          <w:szCs w:val="24"/>
        </w:rPr>
        <w:t xml:space="preserve">Artikel 28 Hv </w:t>
      </w:r>
      <w:r w:rsidR="000B39D4" w:rsidRPr="00121A6A">
        <w:rPr>
          <w:rFonts w:cstheme="minorHAnsi"/>
          <w:sz w:val="24"/>
          <w:szCs w:val="24"/>
        </w:rPr>
        <w:t xml:space="preserve">zou in dat geval </w:t>
      </w:r>
      <w:r w:rsidR="00060E75" w:rsidRPr="00121A6A">
        <w:rPr>
          <w:rFonts w:cstheme="minorHAnsi"/>
          <w:sz w:val="24"/>
          <w:szCs w:val="24"/>
        </w:rPr>
        <w:t xml:space="preserve">immers </w:t>
      </w:r>
      <w:r w:rsidR="00285C37">
        <w:rPr>
          <w:rFonts w:cstheme="minorHAnsi"/>
          <w:sz w:val="24"/>
          <w:szCs w:val="24"/>
        </w:rPr>
        <w:t xml:space="preserve">hooguit als uitzondering op de marktvrijheden ten tonele kunnen verschijnen </w:t>
      </w:r>
      <w:r w:rsidR="000D29B1" w:rsidRPr="00121A6A">
        <w:rPr>
          <w:rFonts w:cstheme="minorHAnsi"/>
          <w:sz w:val="24"/>
          <w:szCs w:val="24"/>
        </w:rPr>
        <w:t xml:space="preserve">en </w:t>
      </w:r>
      <w:r w:rsidR="009F5F08">
        <w:rPr>
          <w:rFonts w:cstheme="minorHAnsi"/>
          <w:sz w:val="24"/>
          <w:szCs w:val="24"/>
        </w:rPr>
        <w:t xml:space="preserve">zou </w:t>
      </w:r>
      <w:r w:rsidR="000D29B1" w:rsidRPr="00121A6A">
        <w:rPr>
          <w:rFonts w:cstheme="minorHAnsi"/>
          <w:sz w:val="24"/>
          <w:szCs w:val="24"/>
        </w:rPr>
        <w:t>daardoor naar de achtergrond</w:t>
      </w:r>
      <w:r w:rsidR="0036355B" w:rsidRPr="00121A6A">
        <w:rPr>
          <w:sz w:val="24"/>
          <w:szCs w:val="24"/>
        </w:rPr>
        <w:t xml:space="preserve"> </w:t>
      </w:r>
      <w:r w:rsidR="0036355B" w:rsidRPr="00121A6A">
        <w:rPr>
          <w:rFonts w:cstheme="minorHAnsi"/>
          <w:sz w:val="24"/>
          <w:szCs w:val="24"/>
        </w:rPr>
        <w:t>verdwijnen</w:t>
      </w:r>
      <w:r w:rsidR="000D29B1" w:rsidRPr="00121A6A">
        <w:rPr>
          <w:rFonts w:cstheme="minorHAnsi"/>
          <w:sz w:val="24"/>
          <w:szCs w:val="24"/>
        </w:rPr>
        <w:t xml:space="preserve">. </w:t>
      </w:r>
      <w:r w:rsidRPr="00121A6A">
        <w:rPr>
          <w:rFonts w:cstheme="minorHAnsi"/>
          <w:sz w:val="24"/>
          <w:szCs w:val="24"/>
        </w:rPr>
        <w:t xml:space="preserve">Echter, ook al zou </w:t>
      </w:r>
      <w:r w:rsidR="00DD5C50" w:rsidRPr="00121A6A">
        <w:rPr>
          <w:rFonts w:cstheme="minorHAnsi"/>
          <w:sz w:val="24"/>
          <w:szCs w:val="24"/>
        </w:rPr>
        <w:t xml:space="preserve">het </w:t>
      </w:r>
      <w:r w:rsidR="005534BE">
        <w:rPr>
          <w:rFonts w:cstheme="minorHAnsi"/>
          <w:sz w:val="24"/>
          <w:szCs w:val="24"/>
        </w:rPr>
        <w:t>Hof</w:t>
      </w:r>
      <w:r w:rsidR="00DD5C50" w:rsidRPr="00121A6A">
        <w:rPr>
          <w:rFonts w:cstheme="minorHAnsi"/>
          <w:sz w:val="24"/>
          <w:szCs w:val="24"/>
        </w:rPr>
        <w:t xml:space="preserve"> </w:t>
      </w:r>
      <w:r w:rsidR="00130B2F" w:rsidRPr="00121A6A">
        <w:rPr>
          <w:rFonts w:cstheme="minorHAnsi"/>
          <w:sz w:val="24"/>
          <w:szCs w:val="24"/>
        </w:rPr>
        <w:t xml:space="preserve">in deze context </w:t>
      </w:r>
      <w:r w:rsidRPr="00121A6A">
        <w:rPr>
          <w:rFonts w:cstheme="minorHAnsi"/>
          <w:sz w:val="24"/>
          <w:szCs w:val="24"/>
        </w:rPr>
        <w:t xml:space="preserve">zuiver horizontale </w:t>
      </w:r>
      <w:r w:rsidR="00D570CF" w:rsidRPr="00121A6A">
        <w:rPr>
          <w:rFonts w:cstheme="minorHAnsi"/>
          <w:sz w:val="24"/>
          <w:szCs w:val="24"/>
        </w:rPr>
        <w:t xml:space="preserve">directe </w:t>
      </w:r>
      <w:r w:rsidRPr="00121A6A">
        <w:rPr>
          <w:rFonts w:cstheme="minorHAnsi"/>
          <w:sz w:val="24"/>
          <w:szCs w:val="24"/>
        </w:rPr>
        <w:t>werking van artikel 28 Hv</w:t>
      </w:r>
      <w:r w:rsidR="005534BE">
        <w:rPr>
          <w:rFonts w:cstheme="minorHAnsi"/>
          <w:sz w:val="24"/>
          <w:szCs w:val="24"/>
        </w:rPr>
        <w:t xml:space="preserve"> aanvaarden</w:t>
      </w:r>
      <w:r w:rsidR="001D3B43" w:rsidRPr="00121A6A">
        <w:rPr>
          <w:rFonts w:cstheme="minorHAnsi"/>
          <w:sz w:val="24"/>
          <w:szCs w:val="24"/>
        </w:rPr>
        <w:t>,</w:t>
      </w:r>
      <w:r w:rsidRPr="00121A6A">
        <w:rPr>
          <w:rFonts w:cstheme="minorHAnsi"/>
          <w:sz w:val="24"/>
          <w:szCs w:val="24"/>
        </w:rPr>
        <w:t xml:space="preserve"> dan nog </w:t>
      </w:r>
      <w:r w:rsidR="00603B06" w:rsidRPr="00121A6A">
        <w:rPr>
          <w:rFonts w:cstheme="minorHAnsi"/>
          <w:sz w:val="24"/>
          <w:szCs w:val="24"/>
        </w:rPr>
        <w:t>is</w:t>
      </w:r>
      <w:r w:rsidRPr="00121A6A">
        <w:rPr>
          <w:rFonts w:cstheme="minorHAnsi"/>
          <w:sz w:val="24"/>
          <w:szCs w:val="24"/>
        </w:rPr>
        <w:t xml:space="preserve"> een compleet ‘omgekeerd toetsingskader’</w:t>
      </w:r>
      <w:r w:rsidR="0036355B" w:rsidRPr="00121A6A">
        <w:rPr>
          <w:rFonts w:cstheme="minorHAnsi"/>
          <w:sz w:val="24"/>
          <w:szCs w:val="24"/>
        </w:rPr>
        <w:t>,</w:t>
      </w:r>
      <w:r w:rsidR="000B39D4" w:rsidRPr="00121A6A">
        <w:rPr>
          <w:rFonts w:cstheme="minorHAnsi"/>
          <w:sz w:val="24"/>
          <w:szCs w:val="24"/>
        </w:rPr>
        <w:t xml:space="preserve"> zoals vereist door het EHRM, de </w:t>
      </w:r>
      <w:proofErr w:type="spellStart"/>
      <w:r w:rsidR="000B39D4" w:rsidRPr="00121A6A">
        <w:rPr>
          <w:rFonts w:cstheme="minorHAnsi"/>
          <w:sz w:val="24"/>
          <w:szCs w:val="24"/>
        </w:rPr>
        <w:t>CoE</w:t>
      </w:r>
      <w:proofErr w:type="spellEnd"/>
      <w:r w:rsidR="000B39D4" w:rsidRPr="00121A6A">
        <w:rPr>
          <w:rFonts w:cstheme="minorHAnsi"/>
          <w:sz w:val="24"/>
          <w:szCs w:val="24"/>
        </w:rPr>
        <w:t>/CFA en het ECSR</w:t>
      </w:r>
      <w:r w:rsidR="0036355B" w:rsidRPr="00121A6A">
        <w:rPr>
          <w:rFonts w:cstheme="minorHAnsi"/>
          <w:sz w:val="24"/>
          <w:szCs w:val="24"/>
        </w:rPr>
        <w:t>,</w:t>
      </w:r>
      <w:r w:rsidRPr="00121A6A">
        <w:rPr>
          <w:rFonts w:cstheme="minorHAnsi"/>
          <w:sz w:val="24"/>
          <w:szCs w:val="24"/>
        </w:rPr>
        <w:t xml:space="preserve"> uitgesloten. Een </w:t>
      </w:r>
      <w:r w:rsidR="00B826A2" w:rsidRPr="00121A6A">
        <w:rPr>
          <w:rFonts w:cstheme="minorHAnsi"/>
          <w:sz w:val="24"/>
          <w:szCs w:val="24"/>
        </w:rPr>
        <w:t>volledig</w:t>
      </w:r>
      <w:r w:rsidR="00B826A2" w:rsidRPr="00121A6A">
        <w:rPr>
          <w:sz w:val="24"/>
          <w:szCs w:val="24"/>
        </w:rPr>
        <w:t xml:space="preserve"> gelijkwaardige </w:t>
      </w:r>
      <w:r w:rsidRPr="00121A6A">
        <w:rPr>
          <w:rFonts w:cstheme="minorHAnsi"/>
          <w:sz w:val="24"/>
          <w:szCs w:val="24"/>
        </w:rPr>
        <w:t xml:space="preserve">‘dubbele proportionaliteitstoets’ </w:t>
      </w:r>
      <w:r w:rsidR="00603B06" w:rsidRPr="00121A6A">
        <w:rPr>
          <w:rFonts w:cstheme="minorHAnsi"/>
          <w:sz w:val="24"/>
          <w:szCs w:val="24"/>
        </w:rPr>
        <w:t>is</w:t>
      </w:r>
      <w:r w:rsidRPr="00121A6A">
        <w:rPr>
          <w:rFonts w:cstheme="minorHAnsi"/>
          <w:sz w:val="24"/>
          <w:szCs w:val="24"/>
        </w:rPr>
        <w:t xml:space="preserve"> in dat geval het hoogst haalbare, aangezien zowel de werkgever </w:t>
      </w:r>
      <w:r w:rsidR="004D7551" w:rsidRPr="00121A6A">
        <w:rPr>
          <w:rFonts w:cstheme="minorHAnsi"/>
          <w:sz w:val="24"/>
          <w:szCs w:val="24"/>
        </w:rPr>
        <w:t xml:space="preserve">(in conventie) </w:t>
      </w:r>
      <w:r w:rsidRPr="00121A6A">
        <w:rPr>
          <w:rFonts w:cstheme="minorHAnsi"/>
          <w:sz w:val="24"/>
          <w:szCs w:val="24"/>
        </w:rPr>
        <w:t xml:space="preserve">als </w:t>
      </w:r>
      <w:r w:rsidR="00130B2F" w:rsidRPr="00121A6A">
        <w:rPr>
          <w:rFonts w:cstheme="minorHAnsi"/>
          <w:sz w:val="24"/>
          <w:szCs w:val="24"/>
        </w:rPr>
        <w:t xml:space="preserve">de </w:t>
      </w:r>
      <w:r w:rsidRPr="00121A6A">
        <w:rPr>
          <w:rFonts w:cstheme="minorHAnsi"/>
          <w:sz w:val="24"/>
          <w:szCs w:val="24"/>
        </w:rPr>
        <w:t>werknemer</w:t>
      </w:r>
      <w:r w:rsidR="00DD5C50" w:rsidRPr="00121A6A">
        <w:rPr>
          <w:rFonts w:cstheme="minorHAnsi"/>
          <w:sz w:val="24"/>
          <w:szCs w:val="24"/>
        </w:rPr>
        <w:t>s</w:t>
      </w:r>
      <w:r w:rsidRPr="00121A6A">
        <w:rPr>
          <w:rFonts w:cstheme="minorHAnsi"/>
          <w:sz w:val="24"/>
          <w:szCs w:val="24"/>
        </w:rPr>
        <w:t>(organisatie</w:t>
      </w:r>
      <w:r w:rsidR="00DD5C50" w:rsidRPr="00121A6A">
        <w:rPr>
          <w:rFonts w:cstheme="minorHAnsi"/>
          <w:sz w:val="24"/>
          <w:szCs w:val="24"/>
        </w:rPr>
        <w:t>s</w:t>
      </w:r>
      <w:r w:rsidRPr="00121A6A">
        <w:rPr>
          <w:rFonts w:cstheme="minorHAnsi"/>
          <w:sz w:val="24"/>
          <w:szCs w:val="24"/>
        </w:rPr>
        <w:t xml:space="preserve">) </w:t>
      </w:r>
      <w:r w:rsidR="004D7551" w:rsidRPr="00121A6A">
        <w:rPr>
          <w:rFonts w:cstheme="minorHAnsi"/>
          <w:sz w:val="24"/>
          <w:szCs w:val="24"/>
        </w:rPr>
        <w:t xml:space="preserve">(in reconventie) </w:t>
      </w:r>
      <w:r w:rsidRPr="00121A6A">
        <w:rPr>
          <w:rFonts w:cstheme="minorHAnsi"/>
          <w:sz w:val="24"/>
          <w:szCs w:val="24"/>
        </w:rPr>
        <w:t xml:space="preserve">zich dan op een </w:t>
      </w:r>
      <w:r w:rsidR="003B6B9F">
        <w:rPr>
          <w:rFonts w:cstheme="minorHAnsi"/>
          <w:sz w:val="24"/>
          <w:szCs w:val="24"/>
        </w:rPr>
        <w:t>(</w:t>
      </w:r>
      <w:r w:rsidRPr="00121A6A">
        <w:rPr>
          <w:rFonts w:cstheme="minorHAnsi"/>
          <w:sz w:val="24"/>
          <w:szCs w:val="24"/>
        </w:rPr>
        <w:t>grond</w:t>
      </w:r>
      <w:r w:rsidR="003B6B9F">
        <w:rPr>
          <w:rFonts w:cstheme="minorHAnsi"/>
          <w:sz w:val="24"/>
          <w:szCs w:val="24"/>
        </w:rPr>
        <w:t>)</w:t>
      </w:r>
      <w:r w:rsidRPr="00121A6A">
        <w:rPr>
          <w:rFonts w:cstheme="minorHAnsi"/>
          <w:sz w:val="24"/>
          <w:szCs w:val="24"/>
        </w:rPr>
        <w:t xml:space="preserve">recht </w:t>
      </w:r>
      <w:r w:rsidR="003B6B9F">
        <w:rPr>
          <w:rFonts w:cstheme="minorHAnsi"/>
          <w:sz w:val="24"/>
          <w:szCs w:val="24"/>
        </w:rPr>
        <w:t xml:space="preserve">uit het Handvest </w:t>
      </w:r>
      <w:r w:rsidR="00DD5C50" w:rsidRPr="00121A6A">
        <w:rPr>
          <w:rFonts w:cstheme="minorHAnsi"/>
          <w:sz w:val="24"/>
          <w:szCs w:val="24"/>
        </w:rPr>
        <w:t>kunnen</w:t>
      </w:r>
      <w:r w:rsidRPr="00121A6A">
        <w:rPr>
          <w:rFonts w:cstheme="minorHAnsi"/>
          <w:sz w:val="24"/>
          <w:szCs w:val="24"/>
        </w:rPr>
        <w:t xml:space="preserve"> beroepen</w:t>
      </w:r>
      <w:r w:rsidR="009511FA" w:rsidRPr="00121A6A">
        <w:rPr>
          <w:rFonts w:cstheme="minorHAnsi"/>
          <w:sz w:val="24"/>
          <w:szCs w:val="24"/>
        </w:rPr>
        <w:t>.</w:t>
      </w:r>
      <w:r w:rsidR="003D72AD" w:rsidRPr="00121A6A">
        <w:rPr>
          <w:rFonts w:cstheme="minorHAnsi"/>
          <w:sz w:val="24"/>
          <w:szCs w:val="24"/>
        </w:rPr>
        <w:t xml:space="preserve"> </w:t>
      </w:r>
      <w:r w:rsidR="00130B2F" w:rsidRPr="00121A6A">
        <w:rPr>
          <w:rFonts w:cstheme="minorHAnsi"/>
          <w:sz w:val="24"/>
          <w:szCs w:val="24"/>
        </w:rPr>
        <w:t>Nu u</w:t>
      </w:r>
      <w:r w:rsidR="009511FA" w:rsidRPr="00121A6A">
        <w:rPr>
          <w:rFonts w:cstheme="minorHAnsi"/>
          <w:sz w:val="24"/>
          <w:szCs w:val="24"/>
        </w:rPr>
        <w:t>it het</w:t>
      </w:r>
      <w:r w:rsidR="006975B6" w:rsidRPr="00121A6A">
        <w:rPr>
          <w:rFonts w:cstheme="minorHAnsi"/>
          <w:sz w:val="24"/>
          <w:szCs w:val="24"/>
        </w:rPr>
        <w:t xml:space="preserve"> EU-</w:t>
      </w:r>
      <w:r w:rsidR="009511FA" w:rsidRPr="00121A6A">
        <w:rPr>
          <w:rFonts w:cstheme="minorHAnsi"/>
          <w:sz w:val="24"/>
          <w:szCs w:val="24"/>
        </w:rPr>
        <w:t>recht</w:t>
      </w:r>
      <w:r w:rsidRPr="00121A6A">
        <w:rPr>
          <w:rFonts w:cstheme="minorHAnsi"/>
          <w:sz w:val="24"/>
          <w:szCs w:val="24"/>
        </w:rPr>
        <w:t xml:space="preserve"> </w:t>
      </w:r>
      <w:r w:rsidR="00FD440C" w:rsidRPr="00121A6A">
        <w:rPr>
          <w:rFonts w:cstheme="minorHAnsi"/>
          <w:sz w:val="24"/>
          <w:szCs w:val="24"/>
        </w:rPr>
        <w:t xml:space="preserve">geen </w:t>
      </w:r>
      <w:r w:rsidR="00130B2F" w:rsidRPr="00121A6A">
        <w:rPr>
          <w:rFonts w:cstheme="minorHAnsi"/>
          <w:sz w:val="24"/>
          <w:szCs w:val="24"/>
        </w:rPr>
        <w:t xml:space="preserve">(duidelijke) </w:t>
      </w:r>
      <w:r w:rsidRPr="00121A6A">
        <w:rPr>
          <w:rFonts w:cstheme="minorHAnsi"/>
          <w:sz w:val="24"/>
          <w:szCs w:val="24"/>
        </w:rPr>
        <w:t xml:space="preserve">hiërarchie tussen economische </w:t>
      </w:r>
      <w:r w:rsidR="003B6B9F">
        <w:rPr>
          <w:rFonts w:cstheme="minorHAnsi"/>
          <w:sz w:val="24"/>
          <w:szCs w:val="24"/>
        </w:rPr>
        <w:t xml:space="preserve">vrijheden </w:t>
      </w:r>
      <w:r w:rsidRPr="00121A6A">
        <w:rPr>
          <w:rFonts w:cstheme="minorHAnsi"/>
          <w:sz w:val="24"/>
          <w:szCs w:val="24"/>
        </w:rPr>
        <w:t>en grondrechten</w:t>
      </w:r>
      <w:r w:rsidR="00130B2F" w:rsidRPr="00121A6A">
        <w:rPr>
          <w:rFonts w:cstheme="minorHAnsi"/>
          <w:sz w:val="24"/>
          <w:szCs w:val="24"/>
        </w:rPr>
        <w:t xml:space="preserve"> blijkt</w:t>
      </w:r>
      <w:r w:rsidR="009511FA" w:rsidRPr="00121A6A">
        <w:rPr>
          <w:rFonts w:cstheme="minorHAnsi"/>
          <w:sz w:val="24"/>
          <w:szCs w:val="24"/>
        </w:rPr>
        <w:t>,</w:t>
      </w:r>
      <w:r w:rsidRPr="00121A6A">
        <w:rPr>
          <w:rStyle w:val="FootnoteReference"/>
          <w:rFonts w:cstheme="minorHAnsi"/>
          <w:sz w:val="24"/>
          <w:szCs w:val="24"/>
        </w:rPr>
        <w:footnoteReference w:id="282"/>
      </w:r>
      <w:r w:rsidRPr="00121A6A">
        <w:rPr>
          <w:rFonts w:cstheme="minorHAnsi"/>
          <w:sz w:val="24"/>
          <w:szCs w:val="24"/>
        </w:rPr>
        <w:t xml:space="preserve"> </w:t>
      </w:r>
      <w:r w:rsidR="00130B2F" w:rsidRPr="00121A6A">
        <w:rPr>
          <w:rFonts w:cstheme="minorHAnsi"/>
          <w:sz w:val="24"/>
          <w:szCs w:val="24"/>
        </w:rPr>
        <w:t>moet</w:t>
      </w:r>
      <w:r w:rsidRPr="00121A6A">
        <w:rPr>
          <w:rFonts w:cstheme="minorHAnsi"/>
          <w:sz w:val="24"/>
          <w:szCs w:val="24"/>
        </w:rPr>
        <w:t xml:space="preserve"> een</w:t>
      </w:r>
      <w:r w:rsidR="00130B2F" w:rsidRPr="00121A6A">
        <w:rPr>
          <w:rFonts w:cstheme="minorHAnsi"/>
          <w:sz w:val="24"/>
          <w:szCs w:val="24"/>
        </w:rPr>
        <w:t xml:space="preserve"> dergelijk</w:t>
      </w:r>
      <w:r w:rsidRPr="00121A6A">
        <w:rPr>
          <w:rFonts w:cstheme="minorHAnsi"/>
          <w:sz w:val="24"/>
          <w:szCs w:val="24"/>
        </w:rPr>
        <w:t xml:space="preserve"> conflict naar mijn idee op basis van gelijkwaardigheid worden beslecht.</w:t>
      </w:r>
      <w:r w:rsidR="00B826A2" w:rsidRPr="00121A6A">
        <w:rPr>
          <w:rStyle w:val="FootnoteReference"/>
          <w:rFonts w:cstheme="minorHAnsi"/>
          <w:sz w:val="24"/>
          <w:szCs w:val="24"/>
        </w:rPr>
        <w:footnoteReference w:id="283"/>
      </w:r>
    </w:p>
    <w:p w14:paraId="363081DF" w14:textId="3690550F" w:rsidR="0007610C" w:rsidRPr="00121A6A" w:rsidRDefault="0007610C" w:rsidP="0007610C">
      <w:pPr>
        <w:spacing w:after="0"/>
        <w:ind w:firstLine="709"/>
        <w:jc w:val="both"/>
        <w:rPr>
          <w:rFonts w:cstheme="minorHAnsi"/>
          <w:sz w:val="24"/>
          <w:szCs w:val="24"/>
        </w:rPr>
      </w:pPr>
      <w:r w:rsidRPr="00121A6A">
        <w:rPr>
          <w:rFonts w:cstheme="minorHAnsi"/>
          <w:sz w:val="24"/>
          <w:szCs w:val="24"/>
        </w:rPr>
        <w:t xml:space="preserve">Concreet betekent dit dat een wederzijdse effectenbeoordeling dient plaats te vinden, rekening houdend met de mate van inmenging van </w:t>
      </w:r>
      <w:r w:rsidR="007C4617">
        <w:rPr>
          <w:rFonts w:cstheme="minorHAnsi"/>
          <w:sz w:val="24"/>
          <w:szCs w:val="24"/>
        </w:rPr>
        <w:t>een</w:t>
      </w:r>
      <w:r w:rsidR="00BC5BA8">
        <w:rPr>
          <w:rFonts w:cstheme="minorHAnsi"/>
          <w:sz w:val="24"/>
          <w:szCs w:val="24"/>
        </w:rPr>
        <w:t xml:space="preserve"> specifieke</w:t>
      </w:r>
      <w:r w:rsidR="007C4617">
        <w:rPr>
          <w:rFonts w:cstheme="minorHAnsi"/>
          <w:sz w:val="24"/>
          <w:szCs w:val="24"/>
        </w:rPr>
        <w:t xml:space="preserve"> staking </w:t>
      </w:r>
      <w:r w:rsidR="00E15200">
        <w:rPr>
          <w:rFonts w:cstheme="minorHAnsi"/>
          <w:sz w:val="24"/>
          <w:szCs w:val="24"/>
        </w:rPr>
        <w:t>met</w:t>
      </w:r>
      <w:r w:rsidR="007C4617">
        <w:rPr>
          <w:rFonts w:cstheme="minorHAnsi"/>
          <w:sz w:val="24"/>
          <w:szCs w:val="24"/>
        </w:rPr>
        <w:t xml:space="preserve"> </w:t>
      </w:r>
      <w:r w:rsidRPr="00121A6A">
        <w:rPr>
          <w:rFonts w:cstheme="minorHAnsi"/>
          <w:sz w:val="24"/>
          <w:szCs w:val="24"/>
        </w:rPr>
        <w:t xml:space="preserve">het vrij verkeer en </w:t>
      </w:r>
      <w:r w:rsidRPr="007C4617">
        <w:rPr>
          <w:rFonts w:cstheme="minorHAnsi"/>
          <w:i/>
          <w:iCs/>
          <w:sz w:val="24"/>
          <w:szCs w:val="24"/>
        </w:rPr>
        <w:t>vice versa</w:t>
      </w:r>
      <w:r w:rsidRPr="00121A6A">
        <w:rPr>
          <w:rFonts w:cstheme="minorHAnsi"/>
          <w:sz w:val="24"/>
          <w:szCs w:val="24"/>
        </w:rPr>
        <w:t>.</w:t>
      </w:r>
      <w:r w:rsidRPr="00121A6A">
        <w:rPr>
          <w:rStyle w:val="FootnoteReference"/>
          <w:rFonts w:cstheme="minorHAnsi"/>
          <w:sz w:val="24"/>
          <w:szCs w:val="24"/>
        </w:rPr>
        <w:footnoteReference w:id="284"/>
      </w:r>
      <w:r w:rsidRPr="00121A6A">
        <w:rPr>
          <w:rFonts w:cstheme="minorHAnsi"/>
          <w:sz w:val="24"/>
          <w:szCs w:val="24"/>
        </w:rPr>
        <w:t xml:space="preserve"> Daarbij is van belang dat de impact van </w:t>
      </w:r>
      <w:r w:rsidR="007C4617">
        <w:rPr>
          <w:rFonts w:cstheme="minorHAnsi"/>
          <w:sz w:val="24"/>
          <w:szCs w:val="24"/>
        </w:rPr>
        <w:t>een staking</w:t>
      </w:r>
      <w:r w:rsidRPr="00121A6A">
        <w:rPr>
          <w:rFonts w:cstheme="minorHAnsi"/>
          <w:sz w:val="24"/>
          <w:szCs w:val="24"/>
        </w:rPr>
        <w:t xml:space="preserve"> op het vrij verkeer verschillende gradaties kan aannemen</w:t>
      </w:r>
      <w:r w:rsidR="00FB6789">
        <w:rPr>
          <w:rFonts w:cstheme="minorHAnsi"/>
          <w:sz w:val="24"/>
          <w:szCs w:val="24"/>
        </w:rPr>
        <w:t>.</w:t>
      </w:r>
      <w:r w:rsidRPr="00121A6A">
        <w:rPr>
          <w:rFonts w:cstheme="minorHAnsi"/>
          <w:sz w:val="24"/>
          <w:szCs w:val="24"/>
        </w:rPr>
        <w:t xml:space="preserve"> </w:t>
      </w:r>
      <w:r w:rsidR="00FB6789">
        <w:rPr>
          <w:rFonts w:cstheme="minorHAnsi"/>
          <w:sz w:val="24"/>
          <w:szCs w:val="24"/>
        </w:rPr>
        <w:t>E</w:t>
      </w:r>
      <w:r w:rsidRPr="00121A6A">
        <w:rPr>
          <w:rFonts w:cstheme="minorHAnsi"/>
          <w:sz w:val="24"/>
          <w:szCs w:val="24"/>
        </w:rPr>
        <w:t xml:space="preserve">en </w:t>
      </w:r>
      <w:r w:rsidR="003D72AD" w:rsidRPr="00121A6A">
        <w:rPr>
          <w:rFonts w:cstheme="minorHAnsi"/>
          <w:sz w:val="24"/>
          <w:szCs w:val="24"/>
        </w:rPr>
        <w:t>beperking van de vestigingsvrijheid</w:t>
      </w:r>
      <w:r w:rsidRPr="00121A6A">
        <w:rPr>
          <w:rFonts w:cstheme="minorHAnsi"/>
          <w:sz w:val="24"/>
          <w:szCs w:val="24"/>
        </w:rPr>
        <w:t xml:space="preserve"> kan reeds aanwezig zijn als een meerderheidsaandeelhouder van de bestaakte werkgever in het buitenland is gezeteld.</w:t>
      </w:r>
      <w:r w:rsidRPr="00121A6A">
        <w:rPr>
          <w:rStyle w:val="FootnoteReference"/>
          <w:rFonts w:cstheme="minorHAnsi"/>
          <w:sz w:val="24"/>
          <w:szCs w:val="24"/>
        </w:rPr>
        <w:footnoteReference w:id="285"/>
      </w:r>
      <w:r w:rsidRPr="00121A6A">
        <w:rPr>
          <w:rFonts w:cstheme="minorHAnsi"/>
          <w:sz w:val="24"/>
          <w:szCs w:val="24"/>
        </w:rPr>
        <w:t xml:space="preserve"> In zo’n geval is de </w:t>
      </w:r>
      <w:r w:rsidR="007C4617">
        <w:rPr>
          <w:rFonts w:cstheme="minorHAnsi"/>
          <w:sz w:val="24"/>
          <w:szCs w:val="24"/>
        </w:rPr>
        <w:t>invloed</w:t>
      </w:r>
      <w:r w:rsidRPr="00121A6A">
        <w:rPr>
          <w:rFonts w:cstheme="minorHAnsi"/>
          <w:sz w:val="24"/>
          <w:szCs w:val="24"/>
        </w:rPr>
        <w:t xml:space="preserve"> van </w:t>
      </w:r>
      <w:r w:rsidR="007C4617">
        <w:rPr>
          <w:rFonts w:cstheme="minorHAnsi"/>
          <w:sz w:val="24"/>
          <w:szCs w:val="24"/>
        </w:rPr>
        <w:t>de staking</w:t>
      </w:r>
      <w:r w:rsidRPr="00121A6A">
        <w:rPr>
          <w:rFonts w:cstheme="minorHAnsi"/>
          <w:sz w:val="24"/>
          <w:szCs w:val="24"/>
        </w:rPr>
        <w:t xml:space="preserve"> op de daadwerkelijke vrije vestiging mijns inziens dusdanig beperkt, dat meer ruimte zou moeten zijn voor </w:t>
      </w:r>
      <w:r w:rsidR="00A535D4">
        <w:rPr>
          <w:rFonts w:cstheme="minorHAnsi"/>
          <w:sz w:val="24"/>
          <w:szCs w:val="24"/>
        </w:rPr>
        <w:t xml:space="preserve">de </w:t>
      </w:r>
      <w:r w:rsidRPr="00121A6A">
        <w:rPr>
          <w:rFonts w:cstheme="minorHAnsi"/>
          <w:sz w:val="24"/>
          <w:szCs w:val="24"/>
        </w:rPr>
        <w:t xml:space="preserve">vrije uitoefening van het grondrecht op collectieve actie. Dit is anders in een casus als </w:t>
      </w:r>
      <w:r w:rsidRPr="00121A6A">
        <w:rPr>
          <w:rFonts w:cstheme="minorHAnsi"/>
          <w:i/>
          <w:iCs/>
          <w:sz w:val="24"/>
          <w:szCs w:val="24"/>
        </w:rPr>
        <w:t>Viking</w:t>
      </w:r>
      <w:r w:rsidRPr="00121A6A">
        <w:rPr>
          <w:rFonts w:cstheme="minorHAnsi"/>
          <w:sz w:val="24"/>
          <w:szCs w:val="24"/>
        </w:rPr>
        <w:t>, waarin de staking ju</w:t>
      </w:r>
      <w:r w:rsidR="00AF5D79" w:rsidRPr="00121A6A">
        <w:rPr>
          <w:rFonts w:cstheme="minorHAnsi"/>
          <w:sz w:val="24"/>
          <w:szCs w:val="24"/>
        </w:rPr>
        <w:t>i</w:t>
      </w:r>
      <w:r w:rsidRPr="00121A6A">
        <w:rPr>
          <w:rFonts w:cstheme="minorHAnsi"/>
          <w:sz w:val="24"/>
          <w:szCs w:val="24"/>
        </w:rPr>
        <w:t xml:space="preserve">st was gericht tégen </w:t>
      </w:r>
      <w:r w:rsidR="00D862D1">
        <w:rPr>
          <w:rFonts w:cstheme="minorHAnsi"/>
          <w:sz w:val="24"/>
          <w:szCs w:val="24"/>
        </w:rPr>
        <w:t>de vestiging (</w:t>
      </w:r>
      <w:r w:rsidRPr="00121A6A">
        <w:rPr>
          <w:rFonts w:cstheme="minorHAnsi"/>
          <w:sz w:val="24"/>
          <w:szCs w:val="24"/>
        </w:rPr>
        <w:t>omvlagging</w:t>
      </w:r>
      <w:r w:rsidR="00D862D1">
        <w:rPr>
          <w:rFonts w:cstheme="minorHAnsi"/>
          <w:sz w:val="24"/>
          <w:szCs w:val="24"/>
        </w:rPr>
        <w:t>)</w:t>
      </w:r>
      <w:r w:rsidRPr="00121A6A">
        <w:rPr>
          <w:rFonts w:cstheme="minorHAnsi"/>
          <w:sz w:val="24"/>
          <w:szCs w:val="24"/>
        </w:rPr>
        <w:t xml:space="preserve"> </w:t>
      </w:r>
      <w:r w:rsidR="00D862D1">
        <w:rPr>
          <w:rFonts w:cstheme="minorHAnsi"/>
          <w:sz w:val="24"/>
          <w:szCs w:val="24"/>
        </w:rPr>
        <w:t xml:space="preserve">in </w:t>
      </w:r>
      <w:r w:rsidRPr="00121A6A">
        <w:rPr>
          <w:rFonts w:cstheme="minorHAnsi"/>
          <w:sz w:val="24"/>
          <w:szCs w:val="24"/>
        </w:rPr>
        <w:t xml:space="preserve">een andere lidstaat. Een dergelijke directe en vergaande belemmering van het vrij verkeer zou een </w:t>
      </w:r>
      <w:r w:rsidR="003D72AD" w:rsidRPr="00121A6A">
        <w:rPr>
          <w:rFonts w:cstheme="minorHAnsi"/>
          <w:sz w:val="24"/>
          <w:szCs w:val="24"/>
        </w:rPr>
        <w:t>verdergaande</w:t>
      </w:r>
      <w:r w:rsidRPr="00121A6A">
        <w:rPr>
          <w:rFonts w:cstheme="minorHAnsi"/>
          <w:sz w:val="24"/>
          <w:szCs w:val="24"/>
        </w:rPr>
        <w:t xml:space="preserve"> inperking van het stakingsrecht</w:t>
      </w:r>
      <w:r w:rsidR="004C5907" w:rsidRPr="00121A6A">
        <w:rPr>
          <w:rFonts w:cstheme="minorHAnsi"/>
          <w:sz w:val="24"/>
          <w:szCs w:val="24"/>
        </w:rPr>
        <w:t xml:space="preserve"> – daaronder eventueel begrepen een </w:t>
      </w:r>
      <w:r w:rsidR="004C5907" w:rsidRPr="00121A6A">
        <w:rPr>
          <w:rFonts w:cstheme="minorHAnsi"/>
          <w:i/>
          <w:iCs/>
          <w:sz w:val="24"/>
          <w:szCs w:val="24"/>
        </w:rPr>
        <w:t>ultimum remedium</w:t>
      </w:r>
      <w:r w:rsidR="004C5907" w:rsidRPr="00121A6A">
        <w:rPr>
          <w:rFonts w:cstheme="minorHAnsi"/>
          <w:sz w:val="24"/>
          <w:szCs w:val="24"/>
        </w:rPr>
        <w:t>-eis –</w:t>
      </w:r>
      <w:r w:rsidRPr="00121A6A">
        <w:rPr>
          <w:rFonts w:cstheme="minorHAnsi"/>
          <w:sz w:val="24"/>
          <w:szCs w:val="24"/>
        </w:rPr>
        <w:t xml:space="preserve"> kunnen rechtvaardigen.</w:t>
      </w:r>
    </w:p>
    <w:p w14:paraId="7DF315B5" w14:textId="31FA992C" w:rsidR="0007610C" w:rsidRPr="00121A6A" w:rsidRDefault="008540A1" w:rsidP="0007610C">
      <w:pPr>
        <w:spacing w:after="0"/>
        <w:ind w:firstLine="709"/>
        <w:jc w:val="both"/>
        <w:rPr>
          <w:rFonts w:cstheme="minorHAnsi"/>
          <w:sz w:val="24"/>
          <w:szCs w:val="24"/>
        </w:rPr>
      </w:pPr>
      <w:r>
        <w:rPr>
          <w:rFonts w:cstheme="minorHAnsi"/>
          <w:sz w:val="24"/>
          <w:szCs w:val="24"/>
        </w:rPr>
        <w:t>Aldus staat</w:t>
      </w:r>
      <w:r w:rsidR="0007610C" w:rsidRPr="00121A6A">
        <w:rPr>
          <w:rFonts w:cstheme="minorHAnsi"/>
          <w:sz w:val="24"/>
          <w:szCs w:val="24"/>
        </w:rPr>
        <w:t xml:space="preserve"> het constitutionele kader van de EU </w:t>
      </w:r>
      <w:r w:rsidR="00565028" w:rsidRPr="00121A6A">
        <w:rPr>
          <w:rFonts w:cstheme="minorHAnsi"/>
          <w:sz w:val="24"/>
          <w:szCs w:val="24"/>
        </w:rPr>
        <w:t>in de weg</w:t>
      </w:r>
      <w:r>
        <w:rPr>
          <w:rFonts w:cstheme="minorHAnsi"/>
          <w:sz w:val="24"/>
          <w:szCs w:val="24"/>
        </w:rPr>
        <w:t xml:space="preserve"> </w:t>
      </w:r>
      <w:r w:rsidR="00565028" w:rsidRPr="00121A6A">
        <w:rPr>
          <w:rFonts w:cstheme="minorHAnsi"/>
          <w:sz w:val="24"/>
          <w:szCs w:val="24"/>
        </w:rPr>
        <w:t xml:space="preserve">aan een EVRM-, ILO- </w:t>
      </w:r>
      <w:r w:rsidR="004E4B02" w:rsidRPr="00121A6A">
        <w:rPr>
          <w:rFonts w:cstheme="minorHAnsi"/>
          <w:sz w:val="24"/>
          <w:szCs w:val="24"/>
        </w:rPr>
        <w:t>en</w:t>
      </w:r>
      <w:r w:rsidR="00565028" w:rsidRPr="00121A6A">
        <w:rPr>
          <w:rFonts w:cstheme="minorHAnsi"/>
          <w:sz w:val="24"/>
          <w:szCs w:val="24"/>
        </w:rPr>
        <w:t xml:space="preserve"> ESH-conforme </w:t>
      </w:r>
      <w:r w:rsidR="0007610C" w:rsidRPr="00121A6A">
        <w:rPr>
          <w:rFonts w:cstheme="minorHAnsi"/>
          <w:sz w:val="24"/>
          <w:szCs w:val="24"/>
        </w:rPr>
        <w:t>benadering</w:t>
      </w:r>
      <w:r w:rsidR="00565028" w:rsidRPr="00121A6A">
        <w:rPr>
          <w:rFonts w:cstheme="minorHAnsi"/>
          <w:sz w:val="24"/>
          <w:szCs w:val="24"/>
        </w:rPr>
        <w:t xml:space="preserve"> op het gebied van het stakingsrecht.</w:t>
      </w:r>
      <w:r w:rsidR="0007610C" w:rsidRPr="00121A6A">
        <w:rPr>
          <w:rStyle w:val="FootnoteReference"/>
          <w:rFonts w:cstheme="minorHAnsi"/>
          <w:sz w:val="24"/>
          <w:szCs w:val="24"/>
        </w:rPr>
        <w:footnoteReference w:id="286"/>
      </w:r>
      <w:r w:rsidR="0007610C" w:rsidRPr="00121A6A">
        <w:rPr>
          <w:rFonts w:cstheme="minorHAnsi"/>
          <w:sz w:val="24"/>
          <w:szCs w:val="24"/>
        </w:rPr>
        <w:t xml:space="preserve"> Voor zover het EHRM echter</w:t>
      </w:r>
      <w:r w:rsidR="00D862D1">
        <w:rPr>
          <w:rFonts w:cstheme="minorHAnsi"/>
          <w:sz w:val="24"/>
          <w:szCs w:val="24"/>
        </w:rPr>
        <w:t>,</w:t>
      </w:r>
      <w:r w:rsidR="0007610C" w:rsidRPr="00121A6A">
        <w:rPr>
          <w:rFonts w:cstheme="minorHAnsi"/>
          <w:sz w:val="24"/>
          <w:szCs w:val="24"/>
        </w:rPr>
        <w:t xml:space="preserve"> net als in het </w:t>
      </w:r>
      <w:proofErr w:type="spellStart"/>
      <w:r w:rsidR="0007610C" w:rsidRPr="00121A6A">
        <w:rPr>
          <w:rFonts w:cstheme="minorHAnsi"/>
          <w:i/>
          <w:iCs/>
          <w:sz w:val="24"/>
          <w:szCs w:val="24"/>
        </w:rPr>
        <w:t>Holship</w:t>
      </w:r>
      <w:proofErr w:type="spellEnd"/>
      <w:r w:rsidR="0007610C" w:rsidRPr="00121A6A">
        <w:rPr>
          <w:rFonts w:cstheme="minorHAnsi"/>
          <w:sz w:val="24"/>
          <w:szCs w:val="24"/>
        </w:rPr>
        <w:t>-arrest (par. 3.3)</w:t>
      </w:r>
      <w:r w:rsidR="00D862D1">
        <w:rPr>
          <w:rFonts w:cstheme="minorHAnsi"/>
          <w:sz w:val="24"/>
          <w:szCs w:val="24"/>
        </w:rPr>
        <w:t>,</w:t>
      </w:r>
      <w:r w:rsidR="0007610C" w:rsidRPr="00121A6A">
        <w:rPr>
          <w:rFonts w:cstheme="minorHAnsi"/>
          <w:sz w:val="24"/>
          <w:szCs w:val="24"/>
        </w:rPr>
        <w:t xml:space="preserve"> aan lidstaten een ruime beoordelingsmarge laat bij de concrete </w:t>
      </w:r>
      <w:r w:rsidR="0007610C" w:rsidRPr="00121A6A">
        <w:rPr>
          <w:rFonts w:cstheme="minorHAnsi"/>
          <w:sz w:val="24"/>
          <w:szCs w:val="24"/>
        </w:rPr>
        <w:lastRenderedPageBreak/>
        <w:t>invulling van de proportionaliteitstoets, hoe</w:t>
      </w:r>
      <w:r w:rsidR="005F5BB3" w:rsidRPr="00121A6A">
        <w:rPr>
          <w:rFonts w:cstheme="minorHAnsi"/>
          <w:sz w:val="24"/>
          <w:szCs w:val="24"/>
        </w:rPr>
        <w:t>ft</w:t>
      </w:r>
      <w:r w:rsidR="0007610C" w:rsidRPr="00121A6A">
        <w:rPr>
          <w:rFonts w:cstheme="minorHAnsi"/>
          <w:sz w:val="24"/>
          <w:szCs w:val="24"/>
        </w:rPr>
        <w:t xml:space="preserve"> de divergerende benadering</w:t>
      </w:r>
      <w:r w:rsidR="007C4617">
        <w:rPr>
          <w:rFonts w:cstheme="minorHAnsi"/>
          <w:sz w:val="24"/>
          <w:szCs w:val="24"/>
        </w:rPr>
        <w:t xml:space="preserve"> hier</w:t>
      </w:r>
      <w:r w:rsidR="0007610C" w:rsidRPr="00121A6A">
        <w:rPr>
          <w:rFonts w:cstheme="minorHAnsi"/>
          <w:sz w:val="24"/>
          <w:szCs w:val="24"/>
        </w:rPr>
        <w:t xml:space="preserve"> niet (direct) tot onoverkomelijke rechtsconflicten te leiden. Dit is anders </w:t>
      </w:r>
      <w:r w:rsidR="007C4617">
        <w:rPr>
          <w:rFonts w:cstheme="minorHAnsi"/>
          <w:sz w:val="24"/>
          <w:szCs w:val="24"/>
        </w:rPr>
        <w:t>ten opzichte van</w:t>
      </w:r>
      <w:r w:rsidR="0007610C" w:rsidRPr="00121A6A">
        <w:rPr>
          <w:rFonts w:cstheme="minorHAnsi"/>
          <w:sz w:val="24"/>
          <w:szCs w:val="24"/>
        </w:rPr>
        <w:t xml:space="preserve"> de </w:t>
      </w:r>
      <w:proofErr w:type="spellStart"/>
      <w:r w:rsidR="0007610C" w:rsidRPr="00121A6A">
        <w:rPr>
          <w:rFonts w:cstheme="minorHAnsi"/>
          <w:sz w:val="24"/>
          <w:szCs w:val="24"/>
        </w:rPr>
        <w:t>CoE</w:t>
      </w:r>
      <w:proofErr w:type="spellEnd"/>
      <w:r w:rsidR="0007610C" w:rsidRPr="00121A6A">
        <w:rPr>
          <w:rFonts w:cstheme="minorHAnsi"/>
          <w:sz w:val="24"/>
          <w:szCs w:val="24"/>
        </w:rPr>
        <w:t>/CFA en het ECSR</w:t>
      </w:r>
      <w:r w:rsidR="00B439E0">
        <w:rPr>
          <w:rFonts w:cstheme="minorHAnsi"/>
          <w:sz w:val="24"/>
          <w:szCs w:val="24"/>
        </w:rPr>
        <w:t>.</w:t>
      </w:r>
      <w:r w:rsidR="0007610C" w:rsidRPr="00121A6A">
        <w:rPr>
          <w:rFonts w:cstheme="minorHAnsi"/>
          <w:sz w:val="24"/>
          <w:szCs w:val="24"/>
        </w:rPr>
        <w:t xml:space="preserve"> </w:t>
      </w:r>
      <w:r w:rsidR="00B439E0">
        <w:rPr>
          <w:rFonts w:cstheme="minorHAnsi"/>
          <w:sz w:val="24"/>
          <w:szCs w:val="24"/>
        </w:rPr>
        <w:t>H</w:t>
      </w:r>
      <w:r w:rsidR="0007610C" w:rsidRPr="00121A6A">
        <w:rPr>
          <w:rFonts w:cstheme="minorHAnsi"/>
          <w:sz w:val="24"/>
          <w:szCs w:val="24"/>
        </w:rPr>
        <w:t xml:space="preserve">et feit dat deze instanties het grondrecht op collectieve actie vergaand beschermen, komt direct in conflict met de methode en </w:t>
      </w:r>
      <w:r w:rsidR="007C4617">
        <w:rPr>
          <w:rFonts w:cstheme="minorHAnsi"/>
          <w:sz w:val="24"/>
          <w:szCs w:val="24"/>
        </w:rPr>
        <w:t xml:space="preserve">de </w:t>
      </w:r>
      <w:r w:rsidR="00C072FE" w:rsidRPr="00121A6A">
        <w:rPr>
          <w:rFonts w:cstheme="minorHAnsi"/>
          <w:sz w:val="24"/>
          <w:szCs w:val="24"/>
        </w:rPr>
        <w:t>uitkomst</w:t>
      </w:r>
      <w:r w:rsidR="0007610C" w:rsidRPr="00121A6A">
        <w:rPr>
          <w:rFonts w:cstheme="minorHAnsi"/>
          <w:sz w:val="24"/>
          <w:szCs w:val="24"/>
        </w:rPr>
        <w:t xml:space="preserve"> van de rechtspraak van het HvJ.</w:t>
      </w:r>
      <w:r w:rsidR="0007610C" w:rsidRPr="00121A6A">
        <w:rPr>
          <w:sz w:val="24"/>
          <w:szCs w:val="24"/>
        </w:rPr>
        <w:br w:type="page"/>
      </w:r>
    </w:p>
    <w:p w14:paraId="16C22CE7" w14:textId="4B9BA63A" w:rsidR="00B974E8" w:rsidRPr="00121A6A" w:rsidRDefault="00B974E8" w:rsidP="007E4668">
      <w:pPr>
        <w:pStyle w:val="Heading1"/>
        <w:rPr>
          <w:szCs w:val="24"/>
        </w:rPr>
      </w:pPr>
      <w:bookmarkStart w:id="92" w:name="_Toc169963082"/>
      <w:r w:rsidRPr="00121A6A">
        <w:rPr>
          <w:szCs w:val="24"/>
        </w:rPr>
        <w:lastRenderedPageBreak/>
        <w:t>Hoofdstuk 5</w:t>
      </w:r>
      <w:r w:rsidR="009F557F" w:rsidRPr="00121A6A">
        <w:rPr>
          <w:szCs w:val="24"/>
        </w:rPr>
        <w:t>.</w:t>
      </w:r>
      <w:r w:rsidRPr="00121A6A">
        <w:rPr>
          <w:szCs w:val="24"/>
        </w:rPr>
        <w:t xml:space="preserve"> </w:t>
      </w:r>
      <w:r w:rsidR="007D1B5B" w:rsidRPr="00121A6A">
        <w:rPr>
          <w:szCs w:val="24"/>
        </w:rPr>
        <w:t>C</w:t>
      </w:r>
      <w:r w:rsidRPr="00121A6A">
        <w:rPr>
          <w:szCs w:val="24"/>
        </w:rPr>
        <w:t>onclusie</w:t>
      </w:r>
      <w:bookmarkEnd w:id="92"/>
    </w:p>
    <w:p w14:paraId="4592B0B2" w14:textId="77777777" w:rsidR="007E4668" w:rsidRPr="00121A6A" w:rsidRDefault="007E4668" w:rsidP="007E4668">
      <w:pPr>
        <w:spacing w:after="0"/>
        <w:rPr>
          <w:sz w:val="24"/>
          <w:szCs w:val="24"/>
        </w:rPr>
      </w:pPr>
    </w:p>
    <w:p w14:paraId="279175C1" w14:textId="19DC711F" w:rsidR="007E4668" w:rsidRPr="00121A6A" w:rsidRDefault="007E4668" w:rsidP="007E4668">
      <w:pPr>
        <w:spacing w:after="0"/>
        <w:jc w:val="both"/>
        <w:rPr>
          <w:sz w:val="24"/>
          <w:szCs w:val="24"/>
        </w:rPr>
      </w:pPr>
      <w:r w:rsidRPr="00121A6A">
        <w:rPr>
          <w:sz w:val="24"/>
          <w:szCs w:val="24"/>
        </w:rPr>
        <w:t xml:space="preserve">Met behulp van het verrichte onderzoek kan antwoord worden gegeven op de vraag in hoeverre het niet louter door economische, maar ook door sociale doelstellingen </w:t>
      </w:r>
      <w:r w:rsidR="00D972C6">
        <w:rPr>
          <w:sz w:val="24"/>
          <w:szCs w:val="24"/>
        </w:rPr>
        <w:t>gekleurde</w:t>
      </w:r>
      <w:r w:rsidRPr="00121A6A">
        <w:rPr>
          <w:sz w:val="24"/>
          <w:szCs w:val="24"/>
        </w:rPr>
        <w:t xml:space="preserve"> artikel 28 Hv (meer) in lijn kan worden gebracht met artikel 11 EVRM, ILO-Verdrag 87 en artikel 6 lid 4 ESH. Het korte antwoord luidt dat volledige harmonie tussen het Unierechtelijke stakingsrecht </w:t>
      </w:r>
      <w:r w:rsidR="00244F34">
        <w:rPr>
          <w:sz w:val="24"/>
          <w:szCs w:val="24"/>
        </w:rPr>
        <w:t xml:space="preserve">en het stakingsrecht in de andere rechtsordes </w:t>
      </w:r>
      <w:r w:rsidRPr="00121A6A">
        <w:rPr>
          <w:sz w:val="24"/>
          <w:szCs w:val="24"/>
        </w:rPr>
        <w:t xml:space="preserve">niet mogelijk is. </w:t>
      </w:r>
      <w:r w:rsidR="00C77056" w:rsidRPr="00121A6A">
        <w:rPr>
          <w:sz w:val="24"/>
          <w:szCs w:val="24"/>
        </w:rPr>
        <w:t>De</w:t>
      </w:r>
      <w:r w:rsidR="00E53A5B" w:rsidRPr="00121A6A">
        <w:rPr>
          <w:sz w:val="24"/>
          <w:szCs w:val="24"/>
        </w:rPr>
        <w:t xml:space="preserve"> huidige</w:t>
      </w:r>
      <w:r w:rsidR="00C77056" w:rsidRPr="00121A6A">
        <w:rPr>
          <w:sz w:val="24"/>
          <w:szCs w:val="24"/>
        </w:rPr>
        <w:t xml:space="preserve"> EU-constitutie staat </w:t>
      </w:r>
      <w:r w:rsidR="00244F34">
        <w:rPr>
          <w:sz w:val="24"/>
          <w:szCs w:val="24"/>
        </w:rPr>
        <w:t xml:space="preserve">immers </w:t>
      </w:r>
      <w:r w:rsidR="00C77056" w:rsidRPr="00121A6A">
        <w:rPr>
          <w:sz w:val="24"/>
          <w:szCs w:val="24"/>
        </w:rPr>
        <w:t>in de weg aan een ‘omgekeerd toetsingskader’</w:t>
      </w:r>
      <w:r w:rsidR="00423AE9" w:rsidRPr="00121A6A">
        <w:rPr>
          <w:sz w:val="24"/>
          <w:szCs w:val="24"/>
        </w:rPr>
        <w:t>,</w:t>
      </w:r>
      <w:r w:rsidR="00C77056" w:rsidRPr="00121A6A">
        <w:rPr>
          <w:sz w:val="24"/>
          <w:szCs w:val="24"/>
        </w:rPr>
        <w:t xml:space="preserve"> waarin niet het vrij verkeer maar het stakingsrecht het uitgangspunt van toetsing vormt. </w:t>
      </w:r>
      <w:r w:rsidR="008C3051">
        <w:rPr>
          <w:sz w:val="24"/>
          <w:szCs w:val="24"/>
        </w:rPr>
        <w:t>Z</w:t>
      </w:r>
      <w:r w:rsidR="0079455A">
        <w:rPr>
          <w:sz w:val="24"/>
          <w:szCs w:val="24"/>
        </w:rPr>
        <w:t xml:space="preserve">o lang het Hof </w:t>
      </w:r>
      <w:r w:rsidR="008C3051">
        <w:rPr>
          <w:sz w:val="24"/>
          <w:szCs w:val="24"/>
        </w:rPr>
        <w:t xml:space="preserve">bovendien </w:t>
      </w:r>
      <w:r w:rsidR="0079455A" w:rsidRPr="00121A6A">
        <w:rPr>
          <w:sz w:val="24"/>
          <w:szCs w:val="24"/>
        </w:rPr>
        <w:t xml:space="preserve">zuiver horizontale directe werking van Uniegrondrechten </w:t>
      </w:r>
      <w:r w:rsidR="0079455A">
        <w:rPr>
          <w:sz w:val="24"/>
          <w:szCs w:val="24"/>
        </w:rPr>
        <w:t xml:space="preserve">niet aanvaardt, </w:t>
      </w:r>
      <w:r w:rsidR="00AD0B5A">
        <w:rPr>
          <w:sz w:val="24"/>
          <w:szCs w:val="24"/>
        </w:rPr>
        <w:t>lijkt</w:t>
      </w:r>
      <w:r w:rsidR="0079455A" w:rsidRPr="00121A6A">
        <w:rPr>
          <w:sz w:val="24"/>
          <w:szCs w:val="24"/>
        </w:rPr>
        <w:t xml:space="preserve"> </w:t>
      </w:r>
      <w:r w:rsidR="00865128" w:rsidRPr="00121A6A">
        <w:rPr>
          <w:sz w:val="24"/>
          <w:szCs w:val="24"/>
        </w:rPr>
        <w:t>z</w:t>
      </w:r>
      <w:r w:rsidRPr="00121A6A">
        <w:rPr>
          <w:sz w:val="24"/>
          <w:szCs w:val="24"/>
        </w:rPr>
        <w:t>elfs een verschuiving in de richting van een uniform</w:t>
      </w:r>
      <w:r w:rsidR="00965923" w:rsidRPr="00121A6A">
        <w:rPr>
          <w:sz w:val="24"/>
          <w:szCs w:val="24"/>
        </w:rPr>
        <w:t>er</w:t>
      </w:r>
      <w:r w:rsidRPr="00121A6A">
        <w:rPr>
          <w:sz w:val="24"/>
          <w:szCs w:val="24"/>
        </w:rPr>
        <w:t xml:space="preserve"> en coherent</w:t>
      </w:r>
      <w:r w:rsidR="00965923" w:rsidRPr="00121A6A">
        <w:rPr>
          <w:sz w:val="24"/>
          <w:szCs w:val="24"/>
        </w:rPr>
        <w:t>er</w:t>
      </w:r>
      <w:r w:rsidRPr="00121A6A">
        <w:rPr>
          <w:sz w:val="24"/>
          <w:szCs w:val="24"/>
        </w:rPr>
        <w:t xml:space="preserve"> juridisch kader </w:t>
      </w:r>
      <w:r w:rsidR="00C77056" w:rsidRPr="00121A6A">
        <w:rPr>
          <w:sz w:val="24"/>
          <w:szCs w:val="24"/>
        </w:rPr>
        <w:t xml:space="preserve">middels een </w:t>
      </w:r>
      <w:r w:rsidR="00423AE9" w:rsidRPr="00121A6A">
        <w:rPr>
          <w:sz w:val="24"/>
          <w:szCs w:val="24"/>
        </w:rPr>
        <w:t xml:space="preserve">volwaardige </w:t>
      </w:r>
      <w:r w:rsidR="00C77056" w:rsidRPr="00121A6A">
        <w:rPr>
          <w:sz w:val="24"/>
          <w:szCs w:val="24"/>
        </w:rPr>
        <w:t>‘dubbele proportionaliteitstoets’</w:t>
      </w:r>
      <w:r w:rsidR="0079455A">
        <w:rPr>
          <w:sz w:val="24"/>
          <w:szCs w:val="24"/>
        </w:rPr>
        <w:t xml:space="preserve"> </w:t>
      </w:r>
      <w:r w:rsidR="00AD0B5A">
        <w:rPr>
          <w:sz w:val="24"/>
          <w:szCs w:val="24"/>
        </w:rPr>
        <w:t>te zijn</w:t>
      </w:r>
      <w:r w:rsidR="0079455A">
        <w:rPr>
          <w:sz w:val="24"/>
          <w:szCs w:val="24"/>
        </w:rPr>
        <w:t xml:space="preserve"> uitgesloten</w:t>
      </w:r>
      <w:r w:rsidRPr="00121A6A">
        <w:rPr>
          <w:sz w:val="24"/>
          <w:szCs w:val="24"/>
        </w:rPr>
        <w:t>.</w:t>
      </w:r>
      <w:r w:rsidR="009B1C0B" w:rsidRPr="00121A6A">
        <w:rPr>
          <w:sz w:val="24"/>
          <w:szCs w:val="24"/>
        </w:rPr>
        <w:t xml:space="preserve"> </w:t>
      </w:r>
      <w:r w:rsidR="004662B0">
        <w:rPr>
          <w:sz w:val="24"/>
          <w:szCs w:val="24"/>
        </w:rPr>
        <w:t>A</w:t>
      </w:r>
      <w:r w:rsidR="009B1C0B" w:rsidRPr="00121A6A">
        <w:rPr>
          <w:sz w:val="24"/>
          <w:szCs w:val="24"/>
        </w:rPr>
        <w:t xml:space="preserve">rtikel 28 Hv </w:t>
      </w:r>
      <w:r w:rsidR="004662B0">
        <w:rPr>
          <w:sz w:val="24"/>
          <w:szCs w:val="24"/>
        </w:rPr>
        <w:t xml:space="preserve">blijft in dat geval </w:t>
      </w:r>
      <w:r w:rsidR="003828BC">
        <w:rPr>
          <w:sz w:val="24"/>
          <w:szCs w:val="24"/>
        </w:rPr>
        <w:t xml:space="preserve">namelijk </w:t>
      </w:r>
      <w:r w:rsidR="009B1C0B" w:rsidRPr="00121A6A">
        <w:rPr>
          <w:sz w:val="24"/>
          <w:szCs w:val="24"/>
        </w:rPr>
        <w:t xml:space="preserve">volledig </w:t>
      </w:r>
      <w:r w:rsidR="004662B0">
        <w:rPr>
          <w:sz w:val="24"/>
          <w:szCs w:val="24"/>
        </w:rPr>
        <w:t xml:space="preserve">‘gevangen’ </w:t>
      </w:r>
      <w:r w:rsidR="009B1C0B" w:rsidRPr="00121A6A">
        <w:rPr>
          <w:sz w:val="24"/>
          <w:szCs w:val="24"/>
        </w:rPr>
        <w:t>binnen het interne marktkader</w:t>
      </w:r>
      <w:r w:rsidR="004662B0">
        <w:rPr>
          <w:sz w:val="24"/>
          <w:szCs w:val="24"/>
        </w:rPr>
        <w:t xml:space="preserve">, waardoor </w:t>
      </w:r>
      <w:r w:rsidR="009B1C0B" w:rsidRPr="00121A6A">
        <w:rPr>
          <w:sz w:val="24"/>
          <w:szCs w:val="24"/>
        </w:rPr>
        <w:t xml:space="preserve">een weinig krachtige interpretatie </w:t>
      </w:r>
      <w:r w:rsidR="002D79E5">
        <w:rPr>
          <w:sz w:val="24"/>
          <w:szCs w:val="24"/>
        </w:rPr>
        <w:t xml:space="preserve">van deze bepaling </w:t>
      </w:r>
      <w:r w:rsidR="0029316C">
        <w:rPr>
          <w:sz w:val="24"/>
          <w:szCs w:val="24"/>
        </w:rPr>
        <w:t xml:space="preserve">een </w:t>
      </w:r>
      <w:r w:rsidR="007F705A" w:rsidRPr="00121A6A">
        <w:rPr>
          <w:sz w:val="24"/>
          <w:szCs w:val="24"/>
        </w:rPr>
        <w:t>wel</w:t>
      </w:r>
      <w:r w:rsidR="009B1C0B" w:rsidRPr="00121A6A">
        <w:rPr>
          <w:sz w:val="24"/>
          <w:szCs w:val="24"/>
        </w:rPr>
        <w:t>haast onvermijdelijk</w:t>
      </w:r>
      <w:r w:rsidR="007F705A" w:rsidRPr="00121A6A">
        <w:rPr>
          <w:sz w:val="24"/>
          <w:szCs w:val="24"/>
        </w:rPr>
        <w:t xml:space="preserve"> </w:t>
      </w:r>
      <w:r w:rsidR="0029316C">
        <w:rPr>
          <w:sz w:val="24"/>
          <w:szCs w:val="24"/>
        </w:rPr>
        <w:t xml:space="preserve">gevolg </w:t>
      </w:r>
      <w:r w:rsidR="004662B0">
        <w:rPr>
          <w:sz w:val="24"/>
          <w:szCs w:val="24"/>
        </w:rPr>
        <w:t>is</w:t>
      </w:r>
      <w:r w:rsidR="009B1C0B" w:rsidRPr="00121A6A">
        <w:rPr>
          <w:sz w:val="24"/>
          <w:szCs w:val="24"/>
        </w:rPr>
        <w:t>.</w:t>
      </w:r>
    </w:p>
    <w:p w14:paraId="125F45D5" w14:textId="35C3E388" w:rsidR="007E4668" w:rsidRPr="00121A6A" w:rsidRDefault="007E4668" w:rsidP="007E4668">
      <w:pPr>
        <w:spacing w:after="0"/>
        <w:ind w:firstLine="708"/>
        <w:jc w:val="both"/>
        <w:rPr>
          <w:sz w:val="24"/>
          <w:szCs w:val="24"/>
        </w:rPr>
      </w:pPr>
      <w:r w:rsidRPr="00121A6A">
        <w:rPr>
          <w:sz w:val="24"/>
          <w:szCs w:val="24"/>
        </w:rPr>
        <w:t>Om tot d</w:t>
      </w:r>
      <w:r w:rsidR="006A6316">
        <w:rPr>
          <w:sz w:val="24"/>
          <w:szCs w:val="24"/>
        </w:rPr>
        <w:t>eze</w:t>
      </w:r>
      <w:r w:rsidRPr="00121A6A">
        <w:rPr>
          <w:sz w:val="24"/>
          <w:szCs w:val="24"/>
        </w:rPr>
        <w:t xml:space="preserve"> conclusie te komen, is allereerst aandacht besteed aan de rol die artikel 28 Hv ten opzichte van economische (</w:t>
      </w:r>
      <w:proofErr w:type="spellStart"/>
      <w:r w:rsidRPr="00121A6A">
        <w:rPr>
          <w:sz w:val="24"/>
          <w:szCs w:val="24"/>
        </w:rPr>
        <w:t>verkeers</w:t>
      </w:r>
      <w:proofErr w:type="spellEnd"/>
      <w:r w:rsidRPr="00121A6A">
        <w:rPr>
          <w:sz w:val="24"/>
          <w:szCs w:val="24"/>
        </w:rPr>
        <w:t>)vrijheden naar huidig recht vervult (</w:t>
      </w:r>
      <w:proofErr w:type="spellStart"/>
      <w:r w:rsidR="009A7CC8" w:rsidRPr="00121A6A">
        <w:rPr>
          <w:sz w:val="24"/>
          <w:szCs w:val="24"/>
        </w:rPr>
        <w:t>hfst</w:t>
      </w:r>
      <w:proofErr w:type="spellEnd"/>
      <w:r w:rsidR="009A7CC8" w:rsidRPr="00121A6A">
        <w:rPr>
          <w:sz w:val="24"/>
          <w:szCs w:val="24"/>
        </w:rPr>
        <w:t>.</w:t>
      </w:r>
      <w:r w:rsidRPr="00121A6A">
        <w:rPr>
          <w:sz w:val="24"/>
          <w:szCs w:val="24"/>
        </w:rPr>
        <w:t xml:space="preserve"> 2). Gebleken is dat de bepaling in de rechtspraak van het Hof slechts een marginale rol inneemt en nog nooit de uitkomst van een rechtsgeschil op substantiële wijze heeft beïnvloed. Zo werd artikel 28 Hv in het </w:t>
      </w:r>
      <w:proofErr w:type="spellStart"/>
      <w:r w:rsidRPr="00121A6A">
        <w:rPr>
          <w:i/>
          <w:iCs/>
          <w:sz w:val="24"/>
          <w:szCs w:val="24"/>
        </w:rPr>
        <w:t>Airhelp</w:t>
      </w:r>
      <w:proofErr w:type="spellEnd"/>
      <w:r w:rsidRPr="00121A6A">
        <w:rPr>
          <w:sz w:val="24"/>
          <w:szCs w:val="24"/>
        </w:rPr>
        <w:t xml:space="preserve">-arrest weliswaar als instrument voor </w:t>
      </w:r>
      <w:r w:rsidR="00E01059">
        <w:rPr>
          <w:sz w:val="24"/>
          <w:szCs w:val="24"/>
        </w:rPr>
        <w:t xml:space="preserve">de </w:t>
      </w:r>
      <w:r w:rsidRPr="00121A6A">
        <w:rPr>
          <w:sz w:val="24"/>
          <w:szCs w:val="24"/>
        </w:rPr>
        <w:t>uitleg van Verordening 261/2004/EG aangehaald</w:t>
      </w:r>
      <w:r w:rsidR="005E65B5" w:rsidRPr="00121A6A">
        <w:rPr>
          <w:rFonts w:cstheme="minorHAnsi"/>
          <w:sz w:val="24"/>
          <w:szCs w:val="24"/>
        </w:rPr>
        <w:t xml:space="preserve"> en </w:t>
      </w:r>
      <w:r w:rsidR="00764899" w:rsidRPr="00121A6A">
        <w:rPr>
          <w:rFonts w:cstheme="minorHAnsi"/>
          <w:sz w:val="24"/>
          <w:szCs w:val="24"/>
        </w:rPr>
        <w:t>was</w:t>
      </w:r>
      <w:r w:rsidR="005E65B5" w:rsidRPr="00121A6A">
        <w:rPr>
          <w:rFonts w:cstheme="minorHAnsi"/>
          <w:sz w:val="24"/>
          <w:szCs w:val="24"/>
        </w:rPr>
        <w:t xml:space="preserve"> het eindoordeel van het Hof in het voordeel van werknemers(organisaties)</w:t>
      </w:r>
      <w:r w:rsidRPr="00121A6A">
        <w:rPr>
          <w:sz w:val="24"/>
          <w:szCs w:val="24"/>
        </w:rPr>
        <w:t xml:space="preserve">, maar het </w:t>
      </w:r>
      <w:r w:rsidR="00754F01" w:rsidRPr="00121A6A">
        <w:rPr>
          <w:sz w:val="24"/>
          <w:szCs w:val="24"/>
        </w:rPr>
        <w:t>fundamentele stakingsrecht</w:t>
      </w:r>
      <w:r w:rsidRPr="00121A6A">
        <w:rPr>
          <w:sz w:val="24"/>
          <w:szCs w:val="24"/>
        </w:rPr>
        <w:t xml:space="preserve"> </w:t>
      </w:r>
      <w:r w:rsidR="005E65B5" w:rsidRPr="00121A6A">
        <w:rPr>
          <w:sz w:val="24"/>
          <w:szCs w:val="24"/>
        </w:rPr>
        <w:t>was</w:t>
      </w:r>
      <w:r w:rsidR="00754F01" w:rsidRPr="00121A6A">
        <w:rPr>
          <w:sz w:val="24"/>
          <w:szCs w:val="24"/>
        </w:rPr>
        <w:t xml:space="preserve"> </w:t>
      </w:r>
      <w:r w:rsidR="005E65B5" w:rsidRPr="00121A6A">
        <w:rPr>
          <w:sz w:val="24"/>
          <w:szCs w:val="24"/>
        </w:rPr>
        <w:t>hiervoor</w:t>
      </w:r>
      <w:r w:rsidR="005E65B5" w:rsidRPr="00121A6A">
        <w:rPr>
          <w:rFonts w:cstheme="minorHAnsi"/>
          <w:sz w:val="24"/>
          <w:szCs w:val="24"/>
        </w:rPr>
        <w:t xml:space="preserve"> </w:t>
      </w:r>
      <w:r w:rsidRPr="00121A6A">
        <w:rPr>
          <w:sz w:val="24"/>
          <w:szCs w:val="24"/>
        </w:rPr>
        <w:t xml:space="preserve">uiteindelijk </w:t>
      </w:r>
      <w:r w:rsidR="005E65B5" w:rsidRPr="00121A6A">
        <w:rPr>
          <w:sz w:val="24"/>
          <w:szCs w:val="24"/>
        </w:rPr>
        <w:t>niet</w:t>
      </w:r>
      <w:r w:rsidRPr="00121A6A">
        <w:rPr>
          <w:sz w:val="24"/>
          <w:szCs w:val="24"/>
        </w:rPr>
        <w:t xml:space="preserve"> </w:t>
      </w:r>
      <w:r w:rsidR="005E65B5" w:rsidRPr="00121A6A">
        <w:rPr>
          <w:sz w:val="24"/>
          <w:szCs w:val="24"/>
        </w:rPr>
        <w:t>van</w:t>
      </w:r>
      <w:r w:rsidR="005E65B5" w:rsidRPr="00121A6A">
        <w:rPr>
          <w:rFonts w:cstheme="minorHAnsi"/>
          <w:sz w:val="24"/>
          <w:szCs w:val="24"/>
        </w:rPr>
        <w:t xml:space="preserve"> </w:t>
      </w:r>
      <w:r w:rsidRPr="00121A6A">
        <w:rPr>
          <w:sz w:val="24"/>
          <w:szCs w:val="24"/>
        </w:rPr>
        <w:t xml:space="preserve">(doorslaggevende) betekenis. In de context van het vrij verkeer </w:t>
      </w:r>
      <w:r w:rsidR="00A00849">
        <w:rPr>
          <w:sz w:val="24"/>
          <w:szCs w:val="24"/>
        </w:rPr>
        <w:t>kwam</w:t>
      </w:r>
      <w:r w:rsidRPr="00121A6A">
        <w:rPr>
          <w:sz w:val="24"/>
          <w:szCs w:val="24"/>
        </w:rPr>
        <w:t xml:space="preserve"> artikel 28 Hv steeds </w:t>
      </w:r>
      <w:r w:rsidR="00A00849">
        <w:rPr>
          <w:sz w:val="24"/>
          <w:szCs w:val="24"/>
        </w:rPr>
        <w:t xml:space="preserve">aan bod </w:t>
      </w:r>
      <w:r w:rsidRPr="00121A6A">
        <w:rPr>
          <w:sz w:val="24"/>
          <w:szCs w:val="24"/>
        </w:rPr>
        <w:t xml:space="preserve">als </w:t>
      </w:r>
      <w:r w:rsidR="00A00849">
        <w:rPr>
          <w:sz w:val="24"/>
          <w:szCs w:val="24"/>
        </w:rPr>
        <w:t xml:space="preserve">mogelijke </w:t>
      </w:r>
      <w:r w:rsidRPr="00121A6A">
        <w:rPr>
          <w:sz w:val="24"/>
          <w:szCs w:val="24"/>
        </w:rPr>
        <w:t xml:space="preserve">exceptie, waardoor de normerende kracht van de bepaling ook hier beperkt </w:t>
      </w:r>
      <w:r w:rsidR="00EA34CC" w:rsidRPr="00121A6A">
        <w:rPr>
          <w:sz w:val="24"/>
          <w:szCs w:val="24"/>
        </w:rPr>
        <w:t>bleef</w:t>
      </w:r>
      <w:r w:rsidRPr="00121A6A">
        <w:rPr>
          <w:sz w:val="24"/>
          <w:szCs w:val="24"/>
        </w:rPr>
        <w:t xml:space="preserve">. </w:t>
      </w:r>
      <w:r w:rsidR="002C77E1">
        <w:rPr>
          <w:sz w:val="24"/>
          <w:szCs w:val="24"/>
        </w:rPr>
        <w:t>D</w:t>
      </w:r>
      <w:r w:rsidRPr="00121A6A">
        <w:rPr>
          <w:sz w:val="24"/>
          <w:szCs w:val="24"/>
        </w:rPr>
        <w:t xml:space="preserve">e </w:t>
      </w:r>
      <w:r w:rsidR="002C77E1">
        <w:rPr>
          <w:sz w:val="24"/>
          <w:szCs w:val="24"/>
        </w:rPr>
        <w:t xml:space="preserve">versterking van de </w:t>
      </w:r>
      <w:r w:rsidRPr="00121A6A">
        <w:rPr>
          <w:sz w:val="24"/>
          <w:szCs w:val="24"/>
        </w:rPr>
        <w:t xml:space="preserve">sociale dimensie van de EU sinds </w:t>
      </w:r>
      <w:r w:rsidR="00FA0870" w:rsidRPr="00121A6A">
        <w:rPr>
          <w:i/>
          <w:iCs/>
          <w:sz w:val="24"/>
          <w:szCs w:val="24"/>
        </w:rPr>
        <w:t>Viking</w:t>
      </w:r>
      <w:r w:rsidR="00FA0870" w:rsidRPr="00121A6A">
        <w:rPr>
          <w:sz w:val="24"/>
          <w:szCs w:val="24"/>
        </w:rPr>
        <w:t xml:space="preserve"> en </w:t>
      </w:r>
      <w:r w:rsidR="00FA0870" w:rsidRPr="00121A6A">
        <w:rPr>
          <w:i/>
          <w:iCs/>
          <w:sz w:val="24"/>
          <w:szCs w:val="24"/>
        </w:rPr>
        <w:t>Laval</w:t>
      </w:r>
      <w:r w:rsidR="00FA0870" w:rsidRPr="00121A6A">
        <w:rPr>
          <w:sz w:val="24"/>
          <w:szCs w:val="24"/>
        </w:rPr>
        <w:t xml:space="preserve"> </w:t>
      </w:r>
      <w:r w:rsidR="002C77E1">
        <w:rPr>
          <w:sz w:val="24"/>
          <w:szCs w:val="24"/>
        </w:rPr>
        <w:t xml:space="preserve">heeft wat mij betreft niet geleid tot een </w:t>
      </w:r>
      <w:r w:rsidR="00CF1A6D">
        <w:rPr>
          <w:sz w:val="24"/>
          <w:szCs w:val="24"/>
        </w:rPr>
        <w:t>sterkere werking</w:t>
      </w:r>
      <w:r w:rsidR="002C77E1">
        <w:rPr>
          <w:sz w:val="24"/>
          <w:szCs w:val="24"/>
        </w:rPr>
        <w:t xml:space="preserve"> </w:t>
      </w:r>
      <w:r w:rsidR="00EF245F">
        <w:rPr>
          <w:sz w:val="24"/>
          <w:szCs w:val="24"/>
        </w:rPr>
        <w:t xml:space="preserve">van </w:t>
      </w:r>
      <w:r w:rsidR="002C77E1">
        <w:rPr>
          <w:sz w:val="24"/>
          <w:szCs w:val="24"/>
        </w:rPr>
        <w:t>artikel 28 Hv</w:t>
      </w:r>
      <w:r w:rsidRPr="00121A6A">
        <w:rPr>
          <w:sz w:val="24"/>
          <w:szCs w:val="24"/>
        </w:rPr>
        <w:t xml:space="preserve">. Aan de voorzichtigere benadering van het Hof, die in latere arresten aan lidstaten </w:t>
      </w:r>
      <w:r w:rsidR="00302723">
        <w:rPr>
          <w:sz w:val="24"/>
          <w:szCs w:val="24"/>
        </w:rPr>
        <w:t xml:space="preserve">(enigszins) </w:t>
      </w:r>
      <w:r w:rsidRPr="00121A6A">
        <w:rPr>
          <w:sz w:val="24"/>
          <w:szCs w:val="24"/>
        </w:rPr>
        <w:t xml:space="preserve">meer </w:t>
      </w:r>
      <w:r w:rsidR="00A00849">
        <w:rPr>
          <w:sz w:val="24"/>
          <w:szCs w:val="24"/>
        </w:rPr>
        <w:t xml:space="preserve">discretionaire </w:t>
      </w:r>
      <w:r w:rsidRPr="00121A6A">
        <w:rPr>
          <w:sz w:val="24"/>
          <w:szCs w:val="24"/>
        </w:rPr>
        <w:t xml:space="preserve">vrijheid </w:t>
      </w:r>
      <w:r w:rsidR="00FB6789">
        <w:rPr>
          <w:sz w:val="24"/>
          <w:szCs w:val="24"/>
        </w:rPr>
        <w:t xml:space="preserve">heeft </w:t>
      </w:r>
      <w:r w:rsidR="00A00849">
        <w:rPr>
          <w:sz w:val="24"/>
          <w:szCs w:val="24"/>
        </w:rPr>
        <w:t>gegund</w:t>
      </w:r>
      <w:r w:rsidRPr="00121A6A">
        <w:rPr>
          <w:sz w:val="24"/>
          <w:szCs w:val="24"/>
        </w:rPr>
        <w:t xml:space="preserve"> bij </w:t>
      </w:r>
      <w:r w:rsidR="00302723">
        <w:rPr>
          <w:sz w:val="24"/>
          <w:szCs w:val="24"/>
        </w:rPr>
        <w:t>de</w:t>
      </w:r>
      <w:r w:rsidR="00016073">
        <w:rPr>
          <w:sz w:val="24"/>
          <w:szCs w:val="24"/>
        </w:rPr>
        <w:t xml:space="preserve"> concrete</w:t>
      </w:r>
      <w:r w:rsidR="00302723">
        <w:rPr>
          <w:sz w:val="24"/>
          <w:szCs w:val="24"/>
        </w:rPr>
        <w:t xml:space="preserve"> invulling van de proportionaliteitstoets</w:t>
      </w:r>
      <w:r w:rsidRPr="00121A6A">
        <w:rPr>
          <w:sz w:val="24"/>
          <w:szCs w:val="24"/>
        </w:rPr>
        <w:t xml:space="preserve">, moet </w:t>
      </w:r>
      <w:r w:rsidR="00302723">
        <w:rPr>
          <w:sz w:val="24"/>
          <w:szCs w:val="24"/>
        </w:rPr>
        <w:t>in mijn optiek</w:t>
      </w:r>
      <w:r w:rsidRPr="00121A6A">
        <w:rPr>
          <w:sz w:val="24"/>
          <w:szCs w:val="24"/>
        </w:rPr>
        <w:t xml:space="preserve"> evenmin al te veel waarde worden </w:t>
      </w:r>
      <w:r w:rsidR="00FA0870" w:rsidRPr="00121A6A">
        <w:rPr>
          <w:sz w:val="24"/>
          <w:szCs w:val="24"/>
        </w:rPr>
        <w:t>gehecht</w:t>
      </w:r>
      <w:r w:rsidRPr="00121A6A">
        <w:rPr>
          <w:sz w:val="24"/>
          <w:szCs w:val="24"/>
        </w:rPr>
        <w:t xml:space="preserve">. In een zaak als </w:t>
      </w:r>
      <w:r w:rsidRPr="00121A6A">
        <w:rPr>
          <w:i/>
          <w:iCs/>
          <w:sz w:val="24"/>
          <w:szCs w:val="24"/>
        </w:rPr>
        <w:t xml:space="preserve">Laval </w:t>
      </w:r>
      <w:r w:rsidRPr="00121A6A">
        <w:rPr>
          <w:sz w:val="24"/>
          <w:szCs w:val="24"/>
        </w:rPr>
        <w:t xml:space="preserve">zal deze terughoudendere opstelling in verband met de rechtszekerheid </w:t>
      </w:r>
      <w:r w:rsidR="00016073">
        <w:rPr>
          <w:sz w:val="24"/>
          <w:szCs w:val="24"/>
        </w:rPr>
        <w:t xml:space="preserve">naar alle </w:t>
      </w:r>
      <w:r w:rsidRPr="00121A6A">
        <w:rPr>
          <w:sz w:val="24"/>
          <w:szCs w:val="24"/>
        </w:rPr>
        <w:t>waarschijnlijk</w:t>
      </w:r>
      <w:r w:rsidR="00016073">
        <w:rPr>
          <w:sz w:val="24"/>
          <w:szCs w:val="24"/>
        </w:rPr>
        <w:t>heid</w:t>
      </w:r>
      <w:r w:rsidRPr="00121A6A">
        <w:rPr>
          <w:sz w:val="24"/>
          <w:szCs w:val="24"/>
        </w:rPr>
        <w:t xml:space="preserve"> geen effect sorteren. </w:t>
      </w:r>
      <w:r w:rsidR="002938A6" w:rsidRPr="00121A6A">
        <w:rPr>
          <w:sz w:val="24"/>
          <w:szCs w:val="24"/>
        </w:rPr>
        <w:t>Hoewel</w:t>
      </w:r>
      <w:r w:rsidRPr="00121A6A">
        <w:rPr>
          <w:sz w:val="24"/>
          <w:szCs w:val="24"/>
        </w:rPr>
        <w:t xml:space="preserve"> </w:t>
      </w:r>
      <w:r w:rsidR="002938A6" w:rsidRPr="00121A6A">
        <w:rPr>
          <w:sz w:val="24"/>
          <w:szCs w:val="24"/>
        </w:rPr>
        <w:t xml:space="preserve">ik iets minder stellig ben </w:t>
      </w:r>
      <w:r w:rsidR="0008033B" w:rsidRPr="00121A6A">
        <w:rPr>
          <w:sz w:val="24"/>
          <w:szCs w:val="24"/>
        </w:rPr>
        <w:t>met</w:t>
      </w:r>
      <w:r w:rsidR="002938A6" w:rsidRPr="00121A6A">
        <w:rPr>
          <w:sz w:val="24"/>
          <w:szCs w:val="24"/>
        </w:rPr>
        <w:t xml:space="preserve"> </w:t>
      </w:r>
      <w:r w:rsidR="0008033B" w:rsidRPr="00121A6A">
        <w:rPr>
          <w:sz w:val="24"/>
          <w:szCs w:val="24"/>
        </w:rPr>
        <w:t xml:space="preserve">betrekking tot </w:t>
      </w:r>
      <w:r w:rsidR="002938A6" w:rsidRPr="00121A6A">
        <w:rPr>
          <w:sz w:val="24"/>
          <w:szCs w:val="24"/>
        </w:rPr>
        <w:t xml:space="preserve">de </w:t>
      </w:r>
      <w:r w:rsidR="002938A6" w:rsidRPr="00121A6A">
        <w:rPr>
          <w:i/>
          <w:iCs/>
          <w:sz w:val="24"/>
          <w:szCs w:val="24"/>
        </w:rPr>
        <w:t>ultimum</w:t>
      </w:r>
      <w:r w:rsidR="002938A6" w:rsidRPr="00121A6A">
        <w:rPr>
          <w:sz w:val="24"/>
          <w:szCs w:val="24"/>
        </w:rPr>
        <w:t xml:space="preserve"> </w:t>
      </w:r>
      <w:r w:rsidR="002938A6" w:rsidRPr="00121A6A">
        <w:rPr>
          <w:i/>
          <w:iCs/>
          <w:sz w:val="24"/>
          <w:szCs w:val="24"/>
        </w:rPr>
        <w:t>remedium</w:t>
      </w:r>
      <w:r w:rsidR="002938A6" w:rsidRPr="00121A6A">
        <w:rPr>
          <w:sz w:val="24"/>
          <w:szCs w:val="24"/>
        </w:rPr>
        <w:t xml:space="preserve">-eis uit </w:t>
      </w:r>
      <w:r w:rsidRPr="00121A6A">
        <w:rPr>
          <w:i/>
          <w:iCs/>
          <w:sz w:val="24"/>
          <w:szCs w:val="24"/>
        </w:rPr>
        <w:t>Viking</w:t>
      </w:r>
      <w:r w:rsidR="002938A6" w:rsidRPr="00121A6A">
        <w:rPr>
          <w:sz w:val="24"/>
          <w:szCs w:val="24"/>
        </w:rPr>
        <w:t>,</w:t>
      </w:r>
      <w:r w:rsidRPr="00121A6A">
        <w:rPr>
          <w:sz w:val="24"/>
          <w:szCs w:val="24"/>
        </w:rPr>
        <w:t xml:space="preserve"> </w:t>
      </w:r>
      <w:r w:rsidR="002938A6" w:rsidRPr="00121A6A">
        <w:rPr>
          <w:sz w:val="24"/>
          <w:szCs w:val="24"/>
        </w:rPr>
        <w:t xml:space="preserve">ondersteunen </w:t>
      </w:r>
      <w:r w:rsidR="00B70C3A" w:rsidRPr="00121A6A">
        <w:rPr>
          <w:sz w:val="24"/>
          <w:szCs w:val="24"/>
        </w:rPr>
        <w:t>diverse</w:t>
      </w:r>
      <w:r w:rsidR="002938A6" w:rsidRPr="00121A6A">
        <w:rPr>
          <w:sz w:val="24"/>
          <w:szCs w:val="24"/>
        </w:rPr>
        <w:t xml:space="preserve"> argumenten het standpunt dat ook deze eis </w:t>
      </w:r>
      <w:r w:rsidRPr="00121A6A">
        <w:rPr>
          <w:sz w:val="24"/>
          <w:szCs w:val="24"/>
        </w:rPr>
        <w:t>anno nu nog overeind staat.</w:t>
      </w:r>
    </w:p>
    <w:p w14:paraId="5B1B8B79" w14:textId="136FF882" w:rsidR="007E4668" w:rsidRPr="00121A6A" w:rsidRDefault="007E4668" w:rsidP="00617656">
      <w:pPr>
        <w:spacing w:after="0"/>
        <w:ind w:firstLine="708"/>
        <w:jc w:val="both"/>
        <w:rPr>
          <w:sz w:val="24"/>
          <w:szCs w:val="24"/>
        </w:rPr>
      </w:pPr>
      <w:r w:rsidRPr="00121A6A">
        <w:rPr>
          <w:sz w:val="24"/>
          <w:szCs w:val="24"/>
        </w:rPr>
        <w:t xml:space="preserve">Daar de ontwikkelingen op </w:t>
      </w:r>
      <w:r w:rsidR="002B4343">
        <w:rPr>
          <w:sz w:val="24"/>
          <w:szCs w:val="24"/>
        </w:rPr>
        <w:t xml:space="preserve">het </w:t>
      </w:r>
      <w:r w:rsidRPr="00121A6A">
        <w:rPr>
          <w:sz w:val="24"/>
          <w:szCs w:val="24"/>
        </w:rPr>
        <w:t xml:space="preserve">Unieniveau </w:t>
      </w:r>
      <w:r w:rsidR="00302723">
        <w:rPr>
          <w:sz w:val="24"/>
          <w:szCs w:val="24"/>
        </w:rPr>
        <w:t>niet hebben geleid tot</w:t>
      </w:r>
      <w:r w:rsidRPr="00121A6A">
        <w:rPr>
          <w:sz w:val="24"/>
          <w:szCs w:val="24"/>
        </w:rPr>
        <w:t xml:space="preserve"> een </w:t>
      </w:r>
      <w:r w:rsidR="002C77E1">
        <w:rPr>
          <w:sz w:val="24"/>
          <w:szCs w:val="24"/>
        </w:rPr>
        <w:t>(fundamenteel) ander afwegingskader</w:t>
      </w:r>
      <w:r w:rsidRPr="00121A6A">
        <w:rPr>
          <w:sz w:val="24"/>
          <w:szCs w:val="24"/>
        </w:rPr>
        <w:t xml:space="preserve">, is vervolgens onderzocht hoe op internationaal niveau tegen het stakingsrecht wordt aangekeken en welke invloed de toetsingskaders van </w:t>
      </w:r>
      <w:r w:rsidR="00CE49B2" w:rsidRPr="00121A6A">
        <w:rPr>
          <w:sz w:val="24"/>
          <w:szCs w:val="24"/>
        </w:rPr>
        <w:t>artikel 11 EVRM, ILO-Verdrag 87 en artikel 6 lid 4 ESH</w:t>
      </w:r>
      <w:r w:rsidRPr="00121A6A">
        <w:rPr>
          <w:sz w:val="24"/>
          <w:szCs w:val="24"/>
        </w:rPr>
        <w:t xml:space="preserve"> (zouden moeten) hebben op de rechtspraak van het HvJ (</w:t>
      </w:r>
      <w:proofErr w:type="spellStart"/>
      <w:r w:rsidR="009A7CC8" w:rsidRPr="00121A6A">
        <w:rPr>
          <w:sz w:val="24"/>
          <w:szCs w:val="24"/>
        </w:rPr>
        <w:t>hfst</w:t>
      </w:r>
      <w:proofErr w:type="spellEnd"/>
      <w:r w:rsidR="009A7CC8" w:rsidRPr="00121A6A">
        <w:rPr>
          <w:sz w:val="24"/>
          <w:szCs w:val="24"/>
        </w:rPr>
        <w:t>.</w:t>
      </w:r>
      <w:r w:rsidRPr="00121A6A">
        <w:rPr>
          <w:sz w:val="24"/>
          <w:szCs w:val="24"/>
        </w:rPr>
        <w:t xml:space="preserve"> 3). </w:t>
      </w:r>
      <w:r w:rsidR="00BA4752">
        <w:rPr>
          <w:sz w:val="24"/>
          <w:szCs w:val="24"/>
        </w:rPr>
        <w:t>Een</w:t>
      </w:r>
      <w:r w:rsidRPr="00121A6A">
        <w:rPr>
          <w:sz w:val="24"/>
          <w:szCs w:val="24"/>
        </w:rPr>
        <w:t xml:space="preserve"> analyse van de internationale stakingsrechtspraak laat zien dat </w:t>
      </w:r>
      <w:r w:rsidR="00CE49B2" w:rsidRPr="00121A6A">
        <w:rPr>
          <w:sz w:val="24"/>
          <w:szCs w:val="24"/>
        </w:rPr>
        <w:t xml:space="preserve">de benadering van het EHRM, de </w:t>
      </w:r>
      <w:proofErr w:type="spellStart"/>
      <w:r w:rsidR="00CE49B2" w:rsidRPr="00121A6A">
        <w:rPr>
          <w:sz w:val="24"/>
          <w:szCs w:val="24"/>
        </w:rPr>
        <w:t>CoE</w:t>
      </w:r>
      <w:proofErr w:type="spellEnd"/>
      <w:r w:rsidR="00CE49B2" w:rsidRPr="00121A6A">
        <w:rPr>
          <w:sz w:val="24"/>
          <w:szCs w:val="24"/>
        </w:rPr>
        <w:t xml:space="preserve">/CFA en het ECSR </w:t>
      </w:r>
      <w:r w:rsidRPr="00121A6A">
        <w:rPr>
          <w:sz w:val="24"/>
          <w:szCs w:val="24"/>
        </w:rPr>
        <w:t>diametraal tegenover d</w:t>
      </w:r>
      <w:r w:rsidR="00DD332D" w:rsidRPr="00121A6A">
        <w:rPr>
          <w:sz w:val="24"/>
          <w:szCs w:val="24"/>
        </w:rPr>
        <w:t>ie</w:t>
      </w:r>
      <w:r w:rsidRPr="00121A6A">
        <w:rPr>
          <w:sz w:val="24"/>
          <w:szCs w:val="24"/>
        </w:rPr>
        <w:t xml:space="preserve"> van het HvJ staat: niet het stakingsrecht, maar het vrij verkeer is de exceptie die </w:t>
      </w:r>
      <w:r w:rsidR="00754F01" w:rsidRPr="00121A6A">
        <w:rPr>
          <w:sz w:val="24"/>
          <w:szCs w:val="24"/>
        </w:rPr>
        <w:t xml:space="preserve">in het licht van het grondrecht op collectieve actie </w:t>
      </w:r>
      <w:r w:rsidRPr="00121A6A">
        <w:rPr>
          <w:sz w:val="24"/>
          <w:szCs w:val="24"/>
        </w:rPr>
        <w:t>moet kunnen worden gerechtvaardigd.</w:t>
      </w:r>
      <w:r w:rsidR="005A7240" w:rsidRPr="00121A6A">
        <w:rPr>
          <w:rStyle w:val="FootnoteReference"/>
          <w:sz w:val="24"/>
          <w:szCs w:val="24"/>
        </w:rPr>
        <w:footnoteReference w:id="287"/>
      </w:r>
      <w:r w:rsidR="00CE49B2" w:rsidRPr="00121A6A">
        <w:rPr>
          <w:sz w:val="24"/>
          <w:szCs w:val="24"/>
        </w:rPr>
        <w:t xml:space="preserve"> Een dergelijke divergerende benadering lijdt</w:t>
      </w:r>
      <w:r w:rsidR="005C57C2" w:rsidRPr="00121A6A">
        <w:rPr>
          <w:sz w:val="24"/>
          <w:szCs w:val="24"/>
        </w:rPr>
        <w:t>, zo blijkt ook uit de rechtspraak,</w:t>
      </w:r>
      <w:r w:rsidR="00CE49B2" w:rsidRPr="00121A6A">
        <w:rPr>
          <w:sz w:val="24"/>
          <w:szCs w:val="24"/>
        </w:rPr>
        <w:t xml:space="preserve"> tot een uiteenlopende mate van bescherming van het stakingsrecht</w:t>
      </w:r>
      <w:r w:rsidR="009616B2" w:rsidRPr="00121A6A">
        <w:rPr>
          <w:sz w:val="24"/>
          <w:szCs w:val="24"/>
        </w:rPr>
        <w:t>. Als zodanig is dit problematisch</w:t>
      </w:r>
      <w:r w:rsidR="00DD332D" w:rsidRPr="00121A6A">
        <w:rPr>
          <w:sz w:val="24"/>
          <w:szCs w:val="24"/>
        </w:rPr>
        <w:t>, aangezien</w:t>
      </w:r>
      <w:r w:rsidR="009616B2" w:rsidRPr="00121A6A">
        <w:rPr>
          <w:sz w:val="24"/>
          <w:szCs w:val="24"/>
        </w:rPr>
        <w:t xml:space="preserve"> diverse </w:t>
      </w:r>
      <w:r w:rsidR="00A52BBF" w:rsidRPr="00121A6A">
        <w:rPr>
          <w:sz w:val="24"/>
          <w:szCs w:val="24"/>
        </w:rPr>
        <w:t xml:space="preserve">bindende </w:t>
      </w:r>
      <w:r w:rsidR="009616B2" w:rsidRPr="00121A6A">
        <w:rPr>
          <w:sz w:val="24"/>
          <w:szCs w:val="24"/>
        </w:rPr>
        <w:t xml:space="preserve">normen het HvJ ertoe dwingen minimaal dezelfde mate </w:t>
      </w:r>
      <w:r w:rsidR="009616B2" w:rsidRPr="00121A6A">
        <w:rPr>
          <w:sz w:val="24"/>
          <w:szCs w:val="24"/>
        </w:rPr>
        <w:lastRenderedPageBreak/>
        <w:t>van bescherming te b</w:t>
      </w:r>
      <w:r w:rsidR="005C57C2" w:rsidRPr="00121A6A">
        <w:rPr>
          <w:sz w:val="24"/>
          <w:szCs w:val="24"/>
        </w:rPr>
        <w:t>ie</w:t>
      </w:r>
      <w:r w:rsidR="009616B2" w:rsidRPr="00121A6A">
        <w:rPr>
          <w:sz w:val="24"/>
          <w:szCs w:val="24"/>
        </w:rPr>
        <w:t>den als het EHRM en</w:t>
      </w:r>
      <w:r w:rsidR="005C57C2" w:rsidRPr="00121A6A">
        <w:rPr>
          <w:sz w:val="24"/>
          <w:szCs w:val="24"/>
        </w:rPr>
        <w:t xml:space="preserve"> – in mindere mate –</w:t>
      </w:r>
      <w:r w:rsidR="009616B2" w:rsidRPr="00121A6A">
        <w:rPr>
          <w:sz w:val="24"/>
          <w:szCs w:val="24"/>
        </w:rPr>
        <w:t xml:space="preserve"> de </w:t>
      </w:r>
      <w:proofErr w:type="spellStart"/>
      <w:r w:rsidR="009616B2" w:rsidRPr="00121A6A">
        <w:rPr>
          <w:sz w:val="24"/>
          <w:szCs w:val="24"/>
        </w:rPr>
        <w:t>CoE</w:t>
      </w:r>
      <w:proofErr w:type="spellEnd"/>
      <w:r w:rsidR="009616B2" w:rsidRPr="00121A6A">
        <w:rPr>
          <w:sz w:val="24"/>
          <w:szCs w:val="24"/>
        </w:rPr>
        <w:t xml:space="preserve">/CFA en het ECSR. Toch is enige nuance op zijn plaats. </w:t>
      </w:r>
      <w:r w:rsidR="00517E8A" w:rsidRPr="00121A6A">
        <w:rPr>
          <w:sz w:val="24"/>
          <w:szCs w:val="24"/>
        </w:rPr>
        <w:t xml:space="preserve">Gelet op de ruime beoordelingsmarge die het EHRM aan lidstaten </w:t>
      </w:r>
      <w:r w:rsidR="002D79E5">
        <w:rPr>
          <w:sz w:val="24"/>
          <w:szCs w:val="24"/>
        </w:rPr>
        <w:t>gunt</w:t>
      </w:r>
      <w:r w:rsidR="00517E8A" w:rsidRPr="00121A6A">
        <w:rPr>
          <w:sz w:val="24"/>
          <w:szCs w:val="24"/>
        </w:rPr>
        <w:t xml:space="preserve">, heeft ondanks </w:t>
      </w:r>
      <w:r w:rsidR="00DD332D" w:rsidRPr="00121A6A">
        <w:rPr>
          <w:sz w:val="24"/>
          <w:szCs w:val="24"/>
        </w:rPr>
        <w:t>het</w:t>
      </w:r>
      <w:r w:rsidR="00C23364" w:rsidRPr="00121A6A">
        <w:rPr>
          <w:sz w:val="24"/>
          <w:szCs w:val="24"/>
        </w:rPr>
        <w:t xml:space="preserve"> contrasterende</w:t>
      </w:r>
      <w:r w:rsidR="00517E8A" w:rsidRPr="00121A6A">
        <w:rPr>
          <w:sz w:val="24"/>
          <w:szCs w:val="24"/>
        </w:rPr>
        <w:t xml:space="preserve"> toetsingskader vooralsnog geen directe botsing tussen</w:t>
      </w:r>
      <w:r w:rsidR="00A52BBF" w:rsidRPr="00121A6A">
        <w:rPr>
          <w:sz w:val="24"/>
          <w:szCs w:val="24"/>
        </w:rPr>
        <w:t xml:space="preserve"> het dictum </w:t>
      </w:r>
      <w:r w:rsidR="00CE49B2" w:rsidRPr="00121A6A">
        <w:rPr>
          <w:sz w:val="24"/>
          <w:szCs w:val="24"/>
        </w:rPr>
        <w:t xml:space="preserve">uit </w:t>
      </w:r>
      <w:r w:rsidR="00517E8A" w:rsidRPr="00121A6A">
        <w:rPr>
          <w:sz w:val="24"/>
          <w:szCs w:val="24"/>
        </w:rPr>
        <w:t>Straatsburg</w:t>
      </w:r>
      <w:r w:rsidR="00CE49B2" w:rsidRPr="00121A6A">
        <w:rPr>
          <w:sz w:val="24"/>
          <w:szCs w:val="24"/>
        </w:rPr>
        <w:t xml:space="preserve"> </w:t>
      </w:r>
      <w:r w:rsidR="00517E8A" w:rsidRPr="00121A6A">
        <w:rPr>
          <w:sz w:val="24"/>
          <w:szCs w:val="24"/>
        </w:rPr>
        <w:t xml:space="preserve">en </w:t>
      </w:r>
      <w:r w:rsidR="00CE49B2" w:rsidRPr="00121A6A">
        <w:rPr>
          <w:sz w:val="24"/>
          <w:szCs w:val="24"/>
        </w:rPr>
        <w:t xml:space="preserve">Luxemburg </w:t>
      </w:r>
      <w:r w:rsidR="00517E8A" w:rsidRPr="00121A6A">
        <w:rPr>
          <w:sz w:val="24"/>
          <w:szCs w:val="24"/>
        </w:rPr>
        <w:t xml:space="preserve">plaatsgevonden. Zo’n botsing ligt in de </w:t>
      </w:r>
      <w:r w:rsidR="00BA4752">
        <w:rPr>
          <w:sz w:val="24"/>
          <w:szCs w:val="24"/>
        </w:rPr>
        <w:t xml:space="preserve">(nabije) </w:t>
      </w:r>
      <w:r w:rsidR="00517E8A" w:rsidRPr="00121A6A">
        <w:rPr>
          <w:sz w:val="24"/>
          <w:szCs w:val="24"/>
        </w:rPr>
        <w:t xml:space="preserve">toekomst ook niet in </w:t>
      </w:r>
      <w:r w:rsidR="00921537">
        <w:rPr>
          <w:sz w:val="24"/>
          <w:szCs w:val="24"/>
        </w:rPr>
        <w:t xml:space="preserve">de </w:t>
      </w:r>
      <w:r w:rsidR="00517E8A" w:rsidRPr="00121A6A">
        <w:rPr>
          <w:sz w:val="24"/>
          <w:szCs w:val="24"/>
        </w:rPr>
        <w:t xml:space="preserve">lijn der verwachting, aangezien </w:t>
      </w:r>
      <w:r w:rsidR="00A52BBF" w:rsidRPr="00121A6A">
        <w:rPr>
          <w:sz w:val="24"/>
          <w:szCs w:val="24"/>
        </w:rPr>
        <w:t>verschillende ontwikkelingen erop wijzen</w:t>
      </w:r>
      <w:r w:rsidR="00517E8A" w:rsidRPr="00121A6A">
        <w:rPr>
          <w:sz w:val="24"/>
          <w:szCs w:val="24"/>
        </w:rPr>
        <w:t xml:space="preserve"> dat het EHRM het stakingsrecht niet verregaander zal beschermen</w:t>
      </w:r>
      <w:r w:rsidR="00B904FC" w:rsidRPr="00121A6A">
        <w:rPr>
          <w:sz w:val="24"/>
          <w:szCs w:val="24"/>
        </w:rPr>
        <w:t xml:space="preserve"> dan </w:t>
      </w:r>
      <w:r w:rsidR="00DD332D" w:rsidRPr="00121A6A">
        <w:rPr>
          <w:sz w:val="24"/>
          <w:szCs w:val="24"/>
        </w:rPr>
        <w:t xml:space="preserve">het </w:t>
      </w:r>
      <w:r w:rsidR="00FB11AD" w:rsidRPr="00121A6A">
        <w:rPr>
          <w:sz w:val="24"/>
          <w:szCs w:val="24"/>
        </w:rPr>
        <w:t>momenteel</w:t>
      </w:r>
      <w:r w:rsidR="00DD332D" w:rsidRPr="00121A6A">
        <w:rPr>
          <w:sz w:val="24"/>
          <w:szCs w:val="24"/>
        </w:rPr>
        <w:t xml:space="preserve"> doet</w:t>
      </w:r>
      <w:r w:rsidR="00517E8A" w:rsidRPr="00121A6A">
        <w:rPr>
          <w:sz w:val="24"/>
          <w:szCs w:val="24"/>
        </w:rPr>
        <w:t>.</w:t>
      </w:r>
      <w:r w:rsidR="00702733" w:rsidRPr="00121A6A">
        <w:rPr>
          <w:sz w:val="24"/>
          <w:szCs w:val="24"/>
        </w:rPr>
        <w:t xml:space="preserve"> </w:t>
      </w:r>
      <w:r w:rsidR="00F003A4">
        <w:rPr>
          <w:sz w:val="24"/>
          <w:szCs w:val="24"/>
        </w:rPr>
        <w:t xml:space="preserve">Hoewel de rechtspraak van het HvJ wél direct </w:t>
      </w:r>
      <w:r w:rsidR="0053082F">
        <w:rPr>
          <w:sz w:val="24"/>
          <w:szCs w:val="24"/>
        </w:rPr>
        <w:t>in conflict is gekomen</w:t>
      </w:r>
      <w:r w:rsidR="00F003A4">
        <w:rPr>
          <w:sz w:val="24"/>
          <w:szCs w:val="24"/>
        </w:rPr>
        <w:t xml:space="preserve"> met de interpretaties van de </w:t>
      </w:r>
      <w:proofErr w:type="spellStart"/>
      <w:r w:rsidR="00F003A4">
        <w:rPr>
          <w:sz w:val="24"/>
          <w:szCs w:val="24"/>
        </w:rPr>
        <w:t>CoE</w:t>
      </w:r>
      <w:proofErr w:type="spellEnd"/>
      <w:r w:rsidR="00F003A4">
        <w:rPr>
          <w:sz w:val="24"/>
          <w:szCs w:val="24"/>
        </w:rPr>
        <w:t xml:space="preserve">/CFA en het ECSR, </w:t>
      </w:r>
      <w:r w:rsidR="0053082F">
        <w:rPr>
          <w:sz w:val="24"/>
          <w:szCs w:val="24"/>
        </w:rPr>
        <w:t xml:space="preserve">valt niet te verwachten dat deze niet-gerechtelijke organen de koers van het HvJ zullen beïnvloeden. </w:t>
      </w:r>
      <w:r w:rsidR="00C23364" w:rsidRPr="00121A6A">
        <w:rPr>
          <w:sz w:val="24"/>
          <w:szCs w:val="24"/>
        </w:rPr>
        <w:t>Dit</w:t>
      </w:r>
      <w:r w:rsidR="0053082F">
        <w:rPr>
          <w:sz w:val="24"/>
          <w:szCs w:val="24"/>
        </w:rPr>
        <w:t xml:space="preserve"> alles</w:t>
      </w:r>
      <w:r w:rsidR="00C23364" w:rsidRPr="00121A6A">
        <w:rPr>
          <w:sz w:val="24"/>
          <w:szCs w:val="24"/>
        </w:rPr>
        <w:t xml:space="preserve"> vormt grond voor de stelling dat de invloed van het internationale stakingsrecht op de normerende </w:t>
      </w:r>
      <w:r w:rsidR="008C7280">
        <w:rPr>
          <w:sz w:val="24"/>
          <w:szCs w:val="24"/>
        </w:rPr>
        <w:t>waarde</w:t>
      </w:r>
      <w:r w:rsidR="00C23364" w:rsidRPr="00121A6A">
        <w:rPr>
          <w:sz w:val="24"/>
          <w:szCs w:val="24"/>
        </w:rPr>
        <w:t xml:space="preserve"> van artikel 28 Hv beperkt is. </w:t>
      </w:r>
      <w:r w:rsidR="001F68C0">
        <w:rPr>
          <w:sz w:val="24"/>
          <w:szCs w:val="24"/>
        </w:rPr>
        <w:t>D</w:t>
      </w:r>
      <w:r w:rsidR="00C23364" w:rsidRPr="00121A6A">
        <w:rPr>
          <w:sz w:val="24"/>
          <w:szCs w:val="24"/>
        </w:rPr>
        <w:t>e</w:t>
      </w:r>
      <w:r w:rsidR="00A52BBF" w:rsidRPr="00121A6A">
        <w:rPr>
          <w:sz w:val="24"/>
          <w:szCs w:val="24"/>
        </w:rPr>
        <w:t>ze</w:t>
      </w:r>
      <w:r w:rsidR="00C23364" w:rsidRPr="00121A6A">
        <w:rPr>
          <w:sz w:val="24"/>
          <w:szCs w:val="24"/>
        </w:rPr>
        <w:t xml:space="preserve"> rechtspraak</w:t>
      </w:r>
      <w:r w:rsidR="001F68C0">
        <w:rPr>
          <w:sz w:val="24"/>
          <w:szCs w:val="24"/>
        </w:rPr>
        <w:t xml:space="preserve"> is</w:t>
      </w:r>
      <w:r w:rsidR="00921537">
        <w:rPr>
          <w:sz w:val="24"/>
          <w:szCs w:val="24"/>
        </w:rPr>
        <w:t xml:space="preserve"> naar mijn idee</w:t>
      </w:r>
      <w:r w:rsidR="0053082F">
        <w:rPr>
          <w:sz w:val="24"/>
          <w:szCs w:val="24"/>
        </w:rPr>
        <w:t>,</w:t>
      </w:r>
      <w:r w:rsidR="00C23364" w:rsidRPr="00121A6A">
        <w:rPr>
          <w:sz w:val="24"/>
          <w:szCs w:val="24"/>
        </w:rPr>
        <w:t xml:space="preserve"> op zichzelf beschouwd alsmede in combinatie met de ontwikkelingen op </w:t>
      </w:r>
      <w:r w:rsidR="0053082F">
        <w:rPr>
          <w:sz w:val="24"/>
          <w:szCs w:val="24"/>
        </w:rPr>
        <w:t>het EU-n</w:t>
      </w:r>
      <w:r w:rsidR="00C23364" w:rsidRPr="00121A6A">
        <w:rPr>
          <w:sz w:val="24"/>
          <w:szCs w:val="24"/>
        </w:rPr>
        <w:t>iveau (</w:t>
      </w:r>
      <w:proofErr w:type="spellStart"/>
      <w:r w:rsidR="00B904FC" w:rsidRPr="00121A6A">
        <w:rPr>
          <w:sz w:val="24"/>
          <w:szCs w:val="24"/>
        </w:rPr>
        <w:t>hfst</w:t>
      </w:r>
      <w:proofErr w:type="spellEnd"/>
      <w:r w:rsidR="00B904FC" w:rsidRPr="00121A6A">
        <w:rPr>
          <w:sz w:val="24"/>
          <w:szCs w:val="24"/>
        </w:rPr>
        <w:t>.</w:t>
      </w:r>
      <w:r w:rsidR="00C23364" w:rsidRPr="00121A6A">
        <w:rPr>
          <w:sz w:val="24"/>
          <w:szCs w:val="24"/>
        </w:rPr>
        <w:t xml:space="preserve"> 2)</w:t>
      </w:r>
      <w:r w:rsidR="00B904FC" w:rsidRPr="00121A6A">
        <w:rPr>
          <w:sz w:val="24"/>
          <w:szCs w:val="24"/>
        </w:rPr>
        <w:t>,</w:t>
      </w:r>
      <w:r w:rsidR="00C23364" w:rsidRPr="00121A6A">
        <w:rPr>
          <w:sz w:val="24"/>
          <w:szCs w:val="24"/>
        </w:rPr>
        <w:t xml:space="preserve"> onvoldoende om te concluderen dat de </w:t>
      </w:r>
      <w:r w:rsidR="00C23364" w:rsidRPr="00121A6A">
        <w:rPr>
          <w:i/>
          <w:iCs/>
          <w:sz w:val="24"/>
          <w:szCs w:val="24"/>
        </w:rPr>
        <w:t>ultimum remedium</w:t>
      </w:r>
      <w:r w:rsidR="00C23364" w:rsidRPr="00121A6A">
        <w:rPr>
          <w:sz w:val="24"/>
          <w:szCs w:val="24"/>
        </w:rPr>
        <w:t xml:space="preserve">-toets uit </w:t>
      </w:r>
      <w:r w:rsidR="00C23364" w:rsidRPr="00121A6A">
        <w:rPr>
          <w:i/>
          <w:iCs/>
          <w:sz w:val="24"/>
          <w:szCs w:val="24"/>
        </w:rPr>
        <w:t>Viking</w:t>
      </w:r>
      <w:r w:rsidR="00C23364" w:rsidRPr="00121A6A">
        <w:rPr>
          <w:sz w:val="24"/>
          <w:szCs w:val="24"/>
        </w:rPr>
        <w:t xml:space="preserve"> thans achterhaald is.</w:t>
      </w:r>
    </w:p>
    <w:p w14:paraId="6568E0DB" w14:textId="421BE2EE" w:rsidR="009725BB" w:rsidRPr="00121A6A" w:rsidRDefault="00030BA6" w:rsidP="00CA7709">
      <w:pPr>
        <w:spacing w:after="0"/>
        <w:ind w:firstLine="708"/>
        <w:jc w:val="both"/>
        <w:rPr>
          <w:sz w:val="24"/>
          <w:szCs w:val="24"/>
        </w:rPr>
      </w:pPr>
      <w:r w:rsidRPr="00121A6A">
        <w:rPr>
          <w:sz w:val="24"/>
          <w:szCs w:val="24"/>
        </w:rPr>
        <w:t xml:space="preserve">De belangrijkste reden waarom </w:t>
      </w:r>
      <w:r w:rsidRPr="00121A6A">
        <w:rPr>
          <w:i/>
          <w:iCs/>
          <w:sz w:val="24"/>
          <w:szCs w:val="24"/>
        </w:rPr>
        <w:t>Viking</w:t>
      </w:r>
      <w:r w:rsidRPr="00121A6A">
        <w:rPr>
          <w:sz w:val="24"/>
          <w:szCs w:val="24"/>
        </w:rPr>
        <w:t xml:space="preserve"> anno nu waarschijnlijk nog steeds geldend recht vertegenwoordigt, is gelegen i</w:t>
      </w:r>
      <w:r w:rsidR="00921537">
        <w:rPr>
          <w:sz w:val="24"/>
          <w:szCs w:val="24"/>
        </w:rPr>
        <w:t>n</w:t>
      </w:r>
      <w:r w:rsidRPr="00121A6A">
        <w:rPr>
          <w:sz w:val="24"/>
          <w:szCs w:val="24"/>
        </w:rPr>
        <w:t xml:space="preserve"> het systeem van het Handvest</w:t>
      </w:r>
      <w:r w:rsidR="007B42EB" w:rsidRPr="00121A6A">
        <w:rPr>
          <w:sz w:val="24"/>
          <w:szCs w:val="24"/>
        </w:rPr>
        <w:t xml:space="preserve"> op grond waarvan</w:t>
      </w:r>
      <w:r w:rsidRPr="00121A6A">
        <w:rPr>
          <w:sz w:val="24"/>
          <w:szCs w:val="24"/>
        </w:rPr>
        <w:t xml:space="preserve"> Uniegrondrechten </w:t>
      </w:r>
      <w:r w:rsidR="00130248" w:rsidRPr="00121A6A">
        <w:rPr>
          <w:sz w:val="24"/>
          <w:szCs w:val="24"/>
        </w:rPr>
        <w:t xml:space="preserve">behalve tot EU-instellingen </w:t>
      </w:r>
      <w:r w:rsidRPr="00121A6A">
        <w:rPr>
          <w:sz w:val="24"/>
          <w:szCs w:val="24"/>
        </w:rPr>
        <w:t xml:space="preserve">slechts </w:t>
      </w:r>
      <w:r w:rsidR="00B6144F" w:rsidRPr="00121A6A">
        <w:rPr>
          <w:sz w:val="24"/>
          <w:szCs w:val="24"/>
        </w:rPr>
        <w:t xml:space="preserve">tot lidstaten </w:t>
      </w:r>
      <w:r w:rsidR="007B42EB" w:rsidRPr="00121A6A">
        <w:rPr>
          <w:sz w:val="24"/>
          <w:szCs w:val="24"/>
        </w:rPr>
        <w:t xml:space="preserve">zijn </w:t>
      </w:r>
      <w:r w:rsidR="00B6144F" w:rsidRPr="00121A6A">
        <w:rPr>
          <w:sz w:val="24"/>
          <w:szCs w:val="24"/>
        </w:rPr>
        <w:t xml:space="preserve">gericht en daarbij </w:t>
      </w:r>
      <w:r w:rsidRPr="00121A6A">
        <w:rPr>
          <w:sz w:val="24"/>
          <w:szCs w:val="24"/>
        </w:rPr>
        <w:t xml:space="preserve">een link met </w:t>
      </w:r>
      <w:r w:rsidR="001E4E6A">
        <w:rPr>
          <w:sz w:val="24"/>
          <w:szCs w:val="24"/>
        </w:rPr>
        <w:t xml:space="preserve">het </w:t>
      </w:r>
      <w:r w:rsidRPr="00121A6A">
        <w:rPr>
          <w:sz w:val="24"/>
          <w:szCs w:val="24"/>
        </w:rPr>
        <w:t>Unierecht</w:t>
      </w:r>
      <w:r w:rsidR="00B6144F" w:rsidRPr="00121A6A">
        <w:rPr>
          <w:sz w:val="24"/>
          <w:szCs w:val="24"/>
        </w:rPr>
        <w:t xml:space="preserve"> aanwezig</w:t>
      </w:r>
      <w:r w:rsidR="007B42EB" w:rsidRPr="00121A6A">
        <w:rPr>
          <w:sz w:val="24"/>
          <w:szCs w:val="24"/>
        </w:rPr>
        <w:t xml:space="preserve"> moet</w:t>
      </w:r>
      <w:r w:rsidR="00B6144F" w:rsidRPr="00121A6A">
        <w:rPr>
          <w:sz w:val="24"/>
          <w:szCs w:val="24"/>
        </w:rPr>
        <w:t xml:space="preserve"> zijn. </w:t>
      </w:r>
      <w:r w:rsidR="009725BB" w:rsidRPr="00121A6A">
        <w:rPr>
          <w:sz w:val="24"/>
          <w:szCs w:val="24"/>
        </w:rPr>
        <w:t xml:space="preserve">Deze beperkte reikwijdte van </w:t>
      </w:r>
      <w:r w:rsidR="001E4E6A">
        <w:rPr>
          <w:sz w:val="24"/>
          <w:szCs w:val="24"/>
        </w:rPr>
        <w:t>het Handvest</w:t>
      </w:r>
      <w:r w:rsidR="009725BB" w:rsidRPr="00121A6A">
        <w:rPr>
          <w:sz w:val="24"/>
          <w:szCs w:val="24"/>
        </w:rPr>
        <w:t xml:space="preserve"> bemoeilijkt zowel verticale als horizontale directe werking</w:t>
      </w:r>
      <w:r w:rsidR="000C6EF5" w:rsidRPr="00121A6A">
        <w:rPr>
          <w:sz w:val="24"/>
          <w:szCs w:val="24"/>
        </w:rPr>
        <w:t xml:space="preserve"> van artikel 28 Hv</w:t>
      </w:r>
      <w:r w:rsidR="000222F8" w:rsidRPr="00121A6A">
        <w:rPr>
          <w:sz w:val="24"/>
          <w:szCs w:val="24"/>
        </w:rPr>
        <w:t>, terwijl</w:t>
      </w:r>
      <w:r w:rsidR="000C6EF5" w:rsidRPr="00121A6A">
        <w:rPr>
          <w:sz w:val="24"/>
          <w:szCs w:val="24"/>
        </w:rPr>
        <w:t xml:space="preserve"> </w:t>
      </w:r>
      <w:r w:rsidR="000222F8" w:rsidRPr="00121A6A">
        <w:rPr>
          <w:sz w:val="24"/>
          <w:szCs w:val="24"/>
        </w:rPr>
        <w:t xml:space="preserve">juist </w:t>
      </w:r>
      <w:r w:rsidR="000C6EF5" w:rsidRPr="00121A6A">
        <w:rPr>
          <w:sz w:val="24"/>
          <w:szCs w:val="24"/>
        </w:rPr>
        <w:t xml:space="preserve">deze mogelijkheid </w:t>
      </w:r>
      <w:r w:rsidR="000222F8" w:rsidRPr="00121A6A">
        <w:rPr>
          <w:sz w:val="24"/>
          <w:szCs w:val="24"/>
        </w:rPr>
        <w:t xml:space="preserve">de </w:t>
      </w:r>
      <w:r w:rsidR="00586DDB">
        <w:rPr>
          <w:sz w:val="24"/>
          <w:szCs w:val="24"/>
        </w:rPr>
        <w:t>normatieve</w:t>
      </w:r>
      <w:r w:rsidR="000222F8" w:rsidRPr="00121A6A">
        <w:rPr>
          <w:sz w:val="24"/>
          <w:szCs w:val="24"/>
        </w:rPr>
        <w:t xml:space="preserve"> </w:t>
      </w:r>
      <w:r w:rsidR="00586DDB">
        <w:rPr>
          <w:sz w:val="24"/>
          <w:szCs w:val="24"/>
        </w:rPr>
        <w:t xml:space="preserve">waarde </w:t>
      </w:r>
      <w:r w:rsidR="000222F8" w:rsidRPr="00121A6A">
        <w:rPr>
          <w:sz w:val="24"/>
          <w:szCs w:val="24"/>
        </w:rPr>
        <w:t>van artikel 28 Hv zou kunnen</w:t>
      </w:r>
      <w:r w:rsidR="00921537">
        <w:rPr>
          <w:sz w:val="24"/>
          <w:szCs w:val="24"/>
        </w:rPr>
        <w:t xml:space="preserve"> doen</w:t>
      </w:r>
      <w:r w:rsidR="000222F8" w:rsidRPr="00121A6A">
        <w:rPr>
          <w:sz w:val="24"/>
          <w:szCs w:val="24"/>
        </w:rPr>
        <w:t xml:space="preserve"> versterken.</w:t>
      </w:r>
      <w:r w:rsidR="004C23C8" w:rsidRPr="00121A6A">
        <w:rPr>
          <w:sz w:val="24"/>
          <w:szCs w:val="24"/>
        </w:rPr>
        <w:t xml:space="preserve"> </w:t>
      </w:r>
      <w:r w:rsidR="000222F8" w:rsidRPr="00121A6A">
        <w:rPr>
          <w:sz w:val="24"/>
          <w:szCs w:val="24"/>
        </w:rPr>
        <w:t xml:space="preserve">Derhalve is onderzocht in hoeverre binnen het </w:t>
      </w:r>
      <w:r w:rsidR="00C3094C">
        <w:rPr>
          <w:sz w:val="24"/>
          <w:szCs w:val="24"/>
        </w:rPr>
        <w:t xml:space="preserve">huidige </w:t>
      </w:r>
      <w:r w:rsidR="000222F8" w:rsidRPr="00121A6A">
        <w:rPr>
          <w:sz w:val="24"/>
          <w:szCs w:val="24"/>
        </w:rPr>
        <w:t xml:space="preserve">Unierechtelijke systeem ruimte bestaat voor </w:t>
      </w:r>
      <w:r w:rsidR="001E4E6A">
        <w:rPr>
          <w:sz w:val="24"/>
          <w:szCs w:val="24"/>
        </w:rPr>
        <w:t xml:space="preserve">de </w:t>
      </w:r>
      <w:r w:rsidR="00921537">
        <w:rPr>
          <w:sz w:val="24"/>
          <w:szCs w:val="24"/>
        </w:rPr>
        <w:t>directe</w:t>
      </w:r>
      <w:r w:rsidR="000222F8" w:rsidRPr="00121A6A">
        <w:rPr>
          <w:sz w:val="24"/>
          <w:szCs w:val="24"/>
        </w:rPr>
        <w:t xml:space="preserve"> werking van artikel 28 Hv (</w:t>
      </w:r>
      <w:proofErr w:type="spellStart"/>
      <w:r w:rsidR="009A7CC8" w:rsidRPr="00121A6A">
        <w:rPr>
          <w:sz w:val="24"/>
          <w:szCs w:val="24"/>
        </w:rPr>
        <w:t>hfst</w:t>
      </w:r>
      <w:proofErr w:type="spellEnd"/>
      <w:r w:rsidR="009A7CC8" w:rsidRPr="00121A6A">
        <w:rPr>
          <w:sz w:val="24"/>
          <w:szCs w:val="24"/>
        </w:rPr>
        <w:t>.</w:t>
      </w:r>
      <w:r w:rsidR="000222F8" w:rsidRPr="00121A6A">
        <w:rPr>
          <w:sz w:val="24"/>
          <w:szCs w:val="24"/>
        </w:rPr>
        <w:t xml:space="preserve"> 4).</w:t>
      </w:r>
      <w:r w:rsidR="000C6EF5" w:rsidRPr="00121A6A">
        <w:rPr>
          <w:sz w:val="24"/>
          <w:szCs w:val="24"/>
        </w:rPr>
        <w:t xml:space="preserve"> Daarbij is onderscheid gemaakt tussen </w:t>
      </w:r>
      <w:r w:rsidR="001E4E6A">
        <w:rPr>
          <w:sz w:val="24"/>
          <w:szCs w:val="24"/>
        </w:rPr>
        <w:t xml:space="preserve">de </w:t>
      </w:r>
      <w:r w:rsidR="00F50108" w:rsidRPr="00121A6A">
        <w:rPr>
          <w:sz w:val="24"/>
          <w:szCs w:val="24"/>
        </w:rPr>
        <w:t>directe</w:t>
      </w:r>
      <w:r w:rsidR="000C6EF5" w:rsidRPr="00121A6A">
        <w:rPr>
          <w:sz w:val="24"/>
          <w:szCs w:val="24"/>
        </w:rPr>
        <w:t xml:space="preserve"> werking </w:t>
      </w:r>
      <w:r w:rsidR="00921537">
        <w:rPr>
          <w:sz w:val="24"/>
          <w:szCs w:val="24"/>
        </w:rPr>
        <w:t xml:space="preserve">van </w:t>
      </w:r>
      <w:r w:rsidR="00FE4E8E">
        <w:rPr>
          <w:sz w:val="24"/>
          <w:szCs w:val="24"/>
        </w:rPr>
        <w:t xml:space="preserve">de </w:t>
      </w:r>
      <w:r w:rsidR="00921537">
        <w:rPr>
          <w:sz w:val="24"/>
          <w:szCs w:val="24"/>
        </w:rPr>
        <w:t xml:space="preserve">genoemde bepaling </w:t>
      </w:r>
      <w:r w:rsidR="000C6EF5" w:rsidRPr="00121A6A">
        <w:rPr>
          <w:sz w:val="24"/>
          <w:szCs w:val="24"/>
        </w:rPr>
        <w:t xml:space="preserve">bij een link met </w:t>
      </w:r>
      <w:r w:rsidR="001E4E6A">
        <w:rPr>
          <w:sz w:val="24"/>
          <w:szCs w:val="24"/>
        </w:rPr>
        <w:t xml:space="preserve">het </w:t>
      </w:r>
      <w:r w:rsidR="000C6EF5" w:rsidRPr="00121A6A">
        <w:rPr>
          <w:sz w:val="24"/>
          <w:szCs w:val="24"/>
        </w:rPr>
        <w:t xml:space="preserve">Unierecht via een Unierichtlijn </w:t>
      </w:r>
      <w:r w:rsidR="00B561DA" w:rsidRPr="00121A6A">
        <w:rPr>
          <w:sz w:val="24"/>
          <w:szCs w:val="24"/>
        </w:rPr>
        <w:t>(</w:t>
      </w:r>
      <w:proofErr w:type="spellStart"/>
      <w:r w:rsidR="00B561DA" w:rsidRPr="00121A6A">
        <w:rPr>
          <w:i/>
          <w:iCs/>
          <w:sz w:val="24"/>
          <w:szCs w:val="24"/>
        </w:rPr>
        <w:t>Wachauf</w:t>
      </w:r>
      <w:proofErr w:type="spellEnd"/>
      <w:r w:rsidR="00B561DA" w:rsidRPr="00121A6A">
        <w:rPr>
          <w:sz w:val="24"/>
          <w:szCs w:val="24"/>
        </w:rPr>
        <w:t xml:space="preserve">-uitvoering) </w:t>
      </w:r>
      <w:r w:rsidR="000C6EF5" w:rsidRPr="00121A6A">
        <w:rPr>
          <w:sz w:val="24"/>
          <w:szCs w:val="24"/>
        </w:rPr>
        <w:t>en</w:t>
      </w:r>
      <w:r w:rsidR="001E4E6A">
        <w:rPr>
          <w:sz w:val="24"/>
          <w:szCs w:val="24"/>
        </w:rPr>
        <w:t xml:space="preserve"> de</w:t>
      </w:r>
      <w:r w:rsidR="000C6EF5" w:rsidRPr="00121A6A">
        <w:rPr>
          <w:sz w:val="24"/>
          <w:szCs w:val="24"/>
        </w:rPr>
        <w:t xml:space="preserve"> </w:t>
      </w:r>
      <w:r w:rsidR="00B4652A" w:rsidRPr="00121A6A">
        <w:rPr>
          <w:sz w:val="24"/>
          <w:szCs w:val="24"/>
        </w:rPr>
        <w:t xml:space="preserve">directe werking van </w:t>
      </w:r>
      <w:r w:rsidR="00921537">
        <w:rPr>
          <w:sz w:val="24"/>
          <w:szCs w:val="24"/>
        </w:rPr>
        <w:t>het artikel</w:t>
      </w:r>
      <w:r w:rsidR="00B4652A" w:rsidRPr="00121A6A">
        <w:rPr>
          <w:sz w:val="24"/>
          <w:szCs w:val="24"/>
        </w:rPr>
        <w:t xml:space="preserve"> in de context van het vrij verkeer </w:t>
      </w:r>
      <w:r w:rsidR="00B561DA" w:rsidRPr="00121A6A">
        <w:rPr>
          <w:sz w:val="24"/>
          <w:szCs w:val="24"/>
        </w:rPr>
        <w:t>(</w:t>
      </w:r>
      <w:r w:rsidR="00B561DA" w:rsidRPr="00121A6A">
        <w:rPr>
          <w:i/>
          <w:iCs/>
          <w:sz w:val="24"/>
          <w:szCs w:val="24"/>
        </w:rPr>
        <w:t>ERT</w:t>
      </w:r>
      <w:r w:rsidR="00B561DA" w:rsidRPr="00121A6A">
        <w:rPr>
          <w:sz w:val="24"/>
          <w:szCs w:val="24"/>
        </w:rPr>
        <w:t>-doctrine)</w:t>
      </w:r>
      <w:r w:rsidR="00B4652A" w:rsidRPr="00121A6A">
        <w:rPr>
          <w:sz w:val="24"/>
          <w:szCs w:val="24"/>
        </w:rPr>
        <w:t>.</w:t>
      </w:r>
      <w:r w:rsidR="000222F8" w:rsidRPr="00121A6A">
        <w:rPr>
          <w:sz w:val="24"/>
          <w:szCs w:val="24"/>
        </w:rPr>
        <w:t xml:space="preserve"> </w:t>
      </w:r>
      <w:r w:rsidR="00B4652A" w:rsidRPr="00121A6A">
        <w:rPr>
          <w:sz w:val="24"/>
          <w:szCs w:val="24"/>
        </w:rPr>
        <w:t xml:space="preserve">Voor wat betreft </w:t>
      </w:r>
      <w:proofErr w:type="spellStart"/>
      <w:r w:rsidR="00B4652A" w:rsidRPr="00121A6A">
        <w:rPr>
          <w:i/>
          <w:iCs/>
          <w:sz w:val="24"/>
          <w:szCs w:val="24"/>
        </w:rPr>
        <w:t>Wachauf</w:t>
      </w:r>
      <w:proofErr w:type="spellEnd"/>
      <w:r w:rsidR="00B4652A" w:rsidRPr="00121A6A">
        <w:rPr>
          <w:sz w:val="24"/>
          <w:szCs w:val="24"/>
        </w:rPr>
        <w:t xml:space="preserve">-uitvoering is </w:t>
      </w:r>
      <w:r w:rsidR="001E4E6A">
        <w:rPr>
          <w:sz w:val="24"/>
          <w:szCs w:val="24"/>
        </w:rPr>
        <w:t>van belang dat</w:t>
      </w:r>
      <w:r w:rsidR="00921537">
        <w:rPr>
          <w:sz w:val="24"/>
          <w:szCs w:val="24"/>
        </w:rPr>
        <w:t>,</w:t>
      </w:r>
      <w:r w:rsidR="001E4E6A">
        <w:rPr>
          <w:sz w:val="24"/>
          <w:szCs w:val="24"/>
        </w:rPr>
        <w:t xml:space="preserve"> </w:t>
      </w:r>
      <w:r w:rsidR="00C3094C">
        <w:rPr>
          <w:sz w:val="24"/>
          <w:szCs w:val="24"/>
        </w:rPr>
        <w:t>vanwege het</w:t>
      </w:r>
      <w:r w:rsidR="009725BB" w:rsidRPr="00121A6A">
        <w:rPr>
          <w:sz w:val="24"/>
          <w:szCs w:val="24"/>
        </w:rPr>
        <w:t xml:space="preserve"> gebrek aan </w:t>
      </w:r>
      <w:r w:rsidR="000222F8" w:rsidRPr="00121A6A">
        <w:rPr>
          <w:sz w:val="24"/>
          <w:szCs w:val="24"/>
        </w:rPr>
        <w:t>wetgevende bevoegdheid van de Unie op het gebied van het stakingsrecht</w:t>
      </w:r>
      <w:r w:rsidR="00921537">
        <w:rPr>
          <w:sz w:val="24"/>
          <w:szCs w:val="24"/>
        </w:rPr>
        <w:t>,</w:t>
      </w:r>
      <w:r w:rsidR="000222F8" w:rsidRPr="00121A6A">
        <w:rPr>
          <w:sz w:val="24"/>
          <w:szCs w:val="24"/>
        </w:rPr>
        <w:t xml:space="preserve"> </w:t>
      </w:r>
      <w:r w:rsidR="009725BB" w:rsidRPr="00121A6A">
        <w:rPr>
          <w:sz w:val="24"/>
          <w:szCs w:val="24"/>
        </w:rPr>
        <w:t xml:space="preserve">een specifieke stakingsrechtelijke </w:t>
      </w:r>
      <w:r w:rsidR="001E4E6A">
        <w:rPr>
          <w:sz w:val="24"/>
          <w:szCs w:val="24"/>
        </w:rPr>
        <w:t>EU-</w:t>
      </w:r>
      <w:r w:rsidR="009725BB" w:rsidRPr="00121A6A">
        <w:rPr>
          <w:sz w:val="24"/>
          <w:szCs w:val="24"/>
        </w:rPr>
        <w:t>richtlijn</w:t>
      </w:r>
      <w:r w:rsidR="001E4E6A">
        <w:rPr>
          <w:sz w:val="24"/>
          <w:szCs w:val="24"/>
        </w:rPr>
        <w:t xml:space="preserve"> ontbreekt.</w:t>
      </w:r>
      <w:r w:rsidR="000222F8" w:rsidRPr="00121A6A">
        <w:rPr>
          <w:sz w:val="24"/>
          <w:szCs w:val="24"/>
        </w:rPr>
        <w:t xml:space="preserve"> </w:t>
      </w:r>
      <w:r w:rsidR="00C3094C">
        <w:rPr>
          <w:sz w:val="24"/>
          <w:szCs w:val="24"/>
        </w:rPr>
        <w:t xml:space="preserve">Artikel 28 Hv zou daardoor slechts via </w:t>
      </w:r>
      <w:proofErr w:type="spellStart"/>
      <w:r w:rsidR="00C3094C">
        <w:rPr>
          <w:i/>
          <w:iCs/>
          <w:sz w:val="24"/>
          <w:szCs w:val="24"/>
        </w:rPr>
        <w:t>Wachauf</w:t>
      </w:r>
      <w:proofErr w:type="spellEnd"/>
      <w:r w:rsidR="00C3094C">
        <w:rPr>
          <w:sz w:val="24"/>
          <w:szCs w:val="24"/>
        </w:rPr>
        <w:t>-uitvoering van toepassing kunnen zijn indien</w:t>
      </w:r>
      <w:r w:rsidR="000C6EF5" w:rsidRPr="00121A6A">
        <w:rPr>
          <w:sz w:val="24"/>
          <w:szCs w:val="24"/>
        </w:rPr>
        <w:t xml:space="preserve"> </w:t>
      </w:r>
      <w:r w:rsidR="0082225E" w:rsidRPr="00121A6A">
        <w:rPr>
          <w:sz w:val="24"/>
          <w:szCs w:val="24"/>
        </w:rPr>
        <w:t xml:space="preserve">materieel Unierecht </w:t>
      </w:r>
      <w:r w:rsidR="00C3094C">
        <w:rPr>
          <w:sz w:val="24"/>
          <w:szCs w:val="24"/>
        </w:rPr>
        <w:t>voldoende</w:t>
      </w:r>
      <w:r w:rsidR="000C6EF5" w:rsidRPr="00121A6A">
        <w:rPr>
          <w:sz w:val="24"/>
          <w:szCs w:val="24"/>
        </w:rPr>
        <w:t xml:space="preserve"> verband houdt met het inhoudelijke </w:t>
      </w:r>
      <w:r w:rsidR="000C6EF5" w:rsidRPr="00C3094C">
        <w:rPr>
          <w:i/>
          <w:iCs/>
          <w:sz w:val="24"/>
          <w:szCs w:val="24"/>
        </w:rPr>
        <w:t>belangen</w:t>
      </w:r>
      <w:r w:rsidR="000C6EF5" w:rsidRPr="00121A6A">
        <w:rPr>
          <w:sz w:val="24"/>
          <w:szCs w:val="24"/>
        </w:rPr>
        <w:t xml:space="preserve">conflict dat ten grondslag ligt aan </w:t>
      </w:r>
      <w:r w:rsidR="00C3094C">
        <w:rPr>
          <w:sz w:val="24"/>
          <w:szCs w:val="24"/>
        </w:rPr>
        <w:t>de staking</w:t>
      </w:r>
      <w:r w:rsidR="000C6EF5" w:rsidRPr="00121A6A">
        <w:rPr>
          <w:sz w:val="24"/>
          <w:szCs w:val="24"/>
        </w:rPr>
        <w:t>.</w:t>
      </w:r>
      <w:r w:rsidR="000222F8" w:rsidRPr="00121A6A">
        <w:rPr>
          <w:sz w:val="24"/>
          <w:szCs w:val="24"/>
        </w:rPr>
        <w:t xml:space="preserve"> </w:t>
      </w:r>
      <w:r w:rsidR="00B904FC" w:rsidRPr="00121A6A">
        <w:rPr>
          <w:sz w:val="24"/>
          <w:szCs w:val="24"/>
        </w:rPr>
        <w:t xml:space="preserve">Verdedigd is </w:t>
      </w:r>
      <w:r w:rsidR="00E13ACB" w:rsidRPr="00121A6A">
        <w:rPr>
          <w:sz w:val="24"/>
          <w:szCs w:val="24"/>
        </w:rPr>
        <w:t xml:space="preserve">echter </w:t>
      </w:r>
      <w:r w:rsidR="00B904FC" w:rsidRPr="00121A6A">
        <w:rPr>
          <w:sz w:val="24"/>
          <w:szCs w:val="24"/>
        </w:rPr>
        <w:t xml:space="preserve">dat een dergelijke indirecte link onvoldoende is voor </w:t>
      </w:r>
      <w:r w:rsidR="00C3094C">
        <w:rPr>
          <w:sz w:val="24"/>
          <w:szCs w:val="24"/>
        </w:rPr>
        <w:t xml:space="preserve">de </w:t>
      </w:r>
      <w:r w:rsidR="002D79E5">
        <w:rPr>
          <w:sz w:val="24"/>
          <w:szCs w:val="24"/>
        </w:rPr>
        <w:t>toepasselijkheid</w:t>
      </w:r>
      <w:r w:rsidR="00B904FC" w:rsidRPr="00121A6A">
        <w:rPr>
          <w:sz w:val="24"/>
          <w:szCs w:val="24"/>
        </w:rPr>
        <w:t xml:space="preserve"> van het Handvest. </w:t>
      </w:r>
      <w:r w:rsidR="00B561DA" w:rsidRPr="00121A6A">
        <w:rPr>
          <w:sz w:val="24"/>
          <w:szCs w:val="24"/>
        </w:rPr>
        <w:t xml:space="preserve">Specifiek </w:t>
      </w:r>
      <w:r w:rsidR="00C3094C">
        <w:rPr>
          <w:sz w:val="24"/>
          <w:szCs w:val="24"/>
        </w:rPr>
        <w:t>met betrekking tot</w:t>
      </w:r>
      <w:r w:rsidR="000222F8" w:rsidRPr="00121A6A">
        <w:rPr>
          <w:sz w:val="24"/>
          <w:szCs w:val="24"/>
        </w:rPr>
        <w:t xml:space="preserve"> horizontale</w:t>
      </w:r>
      <w:r w:rsidR="00B561DA" w:rsidRPr="00121A6A">
        <w:rPr>
          <w:sz w:val="24"/>
          <w:szCs w:val="24"/>
        </w:rPr>
        <w:t xml:space="preserve"> geschillen</w:t>
      </w:r>
      <w:r w:rsidR="000222F8" w:rsidRPr="00121A6A">
        <w:rPr>
          <w:sz w:val="24"/>
          <w:szCs w:val="24"/>
        </w:rPr>
        <w:t xml:space="preserve"> </w:t>
      </w:r>
      <w:r w:rsidR="00FC3DDE" w:rsidRPr="00121A6A">
        <w:rPr>
          <w:sz w:val="24"/>
          <w:szCs w:val="24"/>
        </w:rPr>
        <w:t>geldt daarenboven</w:t>
      </w:r>
      <w:r w:rsidR="000222F8" w:rsidRPr="00121A6A">
        <w:rPr>
          <w:sz w:val="24"/>
          <w:szCs w:val="24"/>
        </w:rPr>
        <w:t xml:space="preserve"> dat particulieren in artikel 51 lid 1 Hv niet als normadressaat </w:t>
      </w:r>
      <w:r w:rsidR="00AA5C75">
        <w:rPr>
          <w:sz w:val="24"/>
          <w:szCs w:val="24"/>
        </w:rPr>
        <w:t xml:space="preserve">van het Handvest </w:t>
      </w:r>
      <w:r w:rsidR="000222F8" w:rsidRPr="00121A6A">
        <w:rPr>
          <w:sz w:val="24"/>
          <w:szCs w:val="24"/>
        </w:rPr>
        <w:t>zijn genoemd</w:t>
      </w:r>
      <w:r w:rsidR="00B561DA" w:rsidRPr="00121A6A">
        <w:rPr>
          <w:sz w:val="24"/>
          <w:szCs w:val="24"/>
        </w:rPr>
        <w:t>. Daardoor is</w:t>
      </w:r>
      <w:r w:rsidR="000222F8" w:rsidRPr="00121A6A">
        <w:rPr>
          <w:sz w:val="24"/>
          <w:szCs w:val="24"/>
        </w:rPr>
        <w:t xml:space="preserve"> het </w:t>
      </w:r>
      <w:r w:rsidR="00DF3948" w:rsidRPr="00121A6A">
        <w:rPr>
          <w:sz w:val="24"/>
          <w:szCs w:val="24"/>
        </w:rPr>
        <w:t xml:space="preserve">– niettegenstaande </w:t>
      </w:r>
      <w:r w:rsidR="005F4C8E">
        <w:rPr>
          <w:sz w:val="24"/>
          <w:szCs w:val="24"/>
        </w:rPr>
        <w:t>bepaalde</w:t>
      </w:r>
      <w:r w:rsidR="00DF3948" w:rsidRPr="00121A6A">
        <w:rPr>
          <w:sz w:val="24"/>
          <w:szCs w:val="24"/>
        </w:rPr>
        <w:t xml:space="preserve"> ontwikkeling</w:t>
      </w:r>
      <w:r w:rsidR="00AA5C75">
        <w:rPr>
          <w:sz w:val="24"/>
          <w:szCs w:val="24"/>
        </w:rPr>
        <w:t>en</w:t>
      </w:r>
      <w:r w:rsidR="00DF3948" w:rsidRPr="00121A6A">
        <w:rPr>
          <w:sz w:val="24"/>
          <w:szCs w:val="24"/>
        </w:rPr>
        <w:t xml:space="preserve"> in de rechtspraak – </w:t>
      </w:r>
      <w:r w:rsidR="00B561DA" w:rsidRPr="00121A6A">
        <w:rPr>
          <w:sz w:val="24"/>
          <w:szCs w:val="24"/>
        </w:rPr>
        <w:t xml:space="preserve">in principe ontoelaatbaar om aan een private werkgever direct </w:t>
      </w:r>
      <w:r w:rsidR="000222F8" w:rsidRPr="00121A6A">
        <w:rPr>
          <w:sz w:val="24"/>
          <w:szCs w:val="24"/>
        </w:rPr>
        <w:t>een verplichting op grond van het Handvest</w:t>
      </w:r>
      <w:r w:rsidR="00B561DA" w:rsidRPr="00121A6A">
        <w:rPr>
          <w:sz w:val="24"/>
          <w:szCs w:val="24"/>
        </w:rPr>
        <w:t xml:space="preserve"> op te leggen</w:t>
      </w:r>
      <w:r w:rsidR="000222F8" w:rsidRPr="00121A6A">
        <w:rPr>
          <w:sz w:val="24"/>
          <w:szCs w:val="24"/>
        </w:rPr>
        <w:t xml:space="preserve">. </w:t>
      </w:r>
      <w:r w:rsidR="00DF78C2" w:rsidRPr="00121A6A">
        <w:rPr>
          <w:sz w:val="24"/>
          <w:szCs w:val="24"/>
        </w:rPr>
        <w:t>Al met al is d</w:t>
      </w:r>
      <w:r w:rsidR="00674FF2" w:rsidRPr="00121A6A">
        <w:rPr>
          <w:sz w:val="24"/>
          <w:szCs w:val="24"/>
        </w:rPr>
        <w:t xml:space="preserve">e kans dat het Hof via </w:t>
      </w:r>
      <w:proofErr w:type="spellStart"/>
      <w:r w:rsidR="00674FF2" w:rsidRPr="00121A6A">
        <w:rPr>
          <w:i/>
          <w:iCs/>
          <w:sz w:val="24"/>
          <w:szCs w:val="24"/>
        </w:rPr>
        <w:t>Wachauf</w:t>
      </w:r>
      <w:proofErr w:type="spellEnd"/>
      <w:r w:rsidR="00674FF2" w:rsidRPr="00121A6A">
        <w:rPr>
          <w:sz w:val="24"/>
          <w:szCs w:val="24"/>
        </w:rPr>
        <w:t xml:space="preserve">-uitvoering een concreet stakingsgeschil rechtstreeks aan </w:t>
      </w:r>
      <w:r w:rsidR="00AA5C75">
        <w:rPr>
          <w:sz w:val="24"/>
          <w:szCs w:val="24"/>
        </w:rPr>
        <w:t xml:space="preserve">artikel </w:t>
      </w:r>
      <w:r w:rsidR="00674FF2" w:rsidRPr="00121A6A">
        <w:rPr>
          <w:sz w:val="24"/>
          <w:szCs w:val="24"/>
        </w:rPr>
        <w:t>28 Hv</w:t>
      </w:r>
      <w:r w:rsidR="00B561DA" w:rsidRPr="00121A6A">
        <w:rPr>
          <w:sz w:val="24"/>
          <w:szCs w:val="24"/>
        </w:rPr>
        <w:t xml:space="preserve"> zou toetsen</w:t>
      </w:r>
      <w:r w:rsidR="00674FF2" w:rsidRPr="00121A6A">
        <w:rPr>
          <w:sz w:val="24"/>
          <w:szCs w:val="24"/>
        </w:rPr>
        <w:t>, waarbij artikel 16 Hv over de band van artikel 52 lid 1 Hv</w:t>
      </w:r>
      <w:r w:rsidR="00FC3DDE" w:rsidRPr="00121A6A">
        <w:rPr>
          <w:sz w:val="24"/>
          <w:szCs w:val="24"/>
        </w:rPr>
        <w:t xml:space="preserve"> ‘van onderaf’</w:t>
      </w:r>
      <w:r w:rsidR="00674FF2" w:rsidRPr="00121A6A">
        <w:rPr>
          <w:sz w:val="24"/>
          <w:szCs w:val="24"/>
        </w:rPr>
        <w:t xml:space="preserve"> </w:t>
      </w:r>
      <w:r w:rsidR="00FC3DDE" w:rsidRPr="00121A6A">
        <w:rPr>
          <w:sz w:val="24"/>
          <w:szCs w:val="24"/>
        </w:rPr>
        <w:t>invloed zou uitoefenen</w:t>
      </w:r>
      <w:r w:rsidR="00AA5C75">
        <w:rPr>
          <w:sz w:val="24"/>
          <w:szCs w:val="24"/>
        </w:rPr>
        <w:t xml:space="preserve"> op de inhoud en reikwijdte van het Unierechtelijke stakingsrecht</w:t>
      </w:r>
      <w:r w:rsidR="00FC3DDE" w:rsidRPr="00121A6A">
        <w:rPr>
          <w:sz w:val="24"/>
          <w:szCs w:val="24"/>
        </w:rPr>
        <w:t>,</w:t>
      </w:r>
      <w:r w:rsidR="00B561DA" w:rsidRPr="00121A6A">
        <w:rPr>
          <w:sz w:val="24"/>
          <w:szCs w:val="24"/>
        </w:rPr>
        <w:t xml:space="preserve"> </w:t>
      </w:r>
      <w:r w:rsidR="00542173" w:rsidRPr="00121A6A">
        <w:rPr>
          <w:sz w:val="24"/>
          <w:szCs w:val="24"/>
        </w:rPr>
        <w:t xml:space="preserve">wat mij betreft </w:t>
      </w:r>
      <w:r w:rsidR="00674FF2" w:rsidRPr="00121A6A">
        <w:rPr>
          <w:sz w:val="24"/>
          <w:szCs w:val="24"/>
        </w:rPr>
        <w:t xml:space="preserve">nihil. </w:t>
      </w:r>
      <w:r w:rsidR="006149D6" w:rsidRPr="00121A6A">
        <w:rPr>
          <w:sz w:val="24"/>
          <w:szCs w:val="24"/>
        </w:rPr>
        <w:t>Een</w:t>
      </w:r>
      <w:r w:rsidR="00577A9F" w:rsidRPr="00121A6A">
        <w:rPr>
          <w:sz w:val="24"/>
          <w:szCs w:val="24"/>
        </w:rPr>
        <w:t xml:space="preserve"> eventuele</w:t>
      </w:r>
      <w:r w:rsidR="00EB70D1" w:rsidRPr="00121A6A">
        <w:rPr>
          <w:sz w:val="24"/>
          <w:szCs w:val="24"/>
        </w:rPr>
        <w:t xml:space="preserve"> </w:t>
      </w:r>
      <w:r w:rsidR="006149D6" w:rsidRPr="00121A6A">
        <w:rPr>
          <w:sz w:val="24"/>
          <w:szCs w:val="24"/>
        </w:rPr>
        <w:t xml:space="preserve">indirecte </w:t>
      </w:r>
      <w:r w:rsidR="00EB70D1" w:rsidRPr="00121A6A">
        <w:rPr>
          <w:sz w:val="24"/>
          <w:szCs w:val="24"/>
        </w:rPr>
        <w:t xml:space="preserve">doorwerking </w:t>
      </w:r>
      <w:r w:rsidR="00FC3DDE" w:rsidRPr="00121A6A">
        <w:rPr>
          <w:sz w:val="24"/>
          <w:szCs w:val="24"/>
        </w:rPr>
        <w:t xml:space="preserve">van </w:t>
      </w:r>
      <w:r w:rsidR="006149D6" w:rsidRPr="00121A6A">
        <w:rPr>
          <w:sz w:val="24"/>
          <w:szCs w:val="24"/>
        </w:rPr>
        <w:t>dit</w:t>
      </w:r>
      <w:r w:rsidR="00897892" w:rsidRPr="00121A6A">
        <w:rPr>
          <w:sz w:val="24"/>
          <w:szCs w:val="24"/>
        </w:rPr>
        <w:t xml:space="preserve"> </w:t>
      </w:r>
      <w:r w:rsidR="006149D6" w:rsidRPr="00121A6A">
        <w:rPr>
          <w:sz w:val="24"/>
          <w:szCs w:val="24"/>
        </w:rPr>
        <w:t xml:space="preserve">toetsingskader </w:t>
      </w:r>
      <w:r w:rsidR="00267894">
        <w:rPr>
          <w:sz w:val="24"/>
          <w:szCs w:val="24"/>
        </w:rPr>
        <w:t>in</w:t>
      </w:r>
      <w:r w:rsidR="00FC3DDE" w:rsidRPr="00121A6A">
        <w:rPr>
          <w:sz w:val="24"/>
          <w:szCs w:val="24"/>
        </w:rPr>
        <w:t xml:space="preserve"> </w:t>
      </w:r>
      <w:r w:rsidR="006149D6" w:rsidRPr="00121A6A">
        <w:rPr>
          <w:sz w:val="24"/>
          <w:szCs w:val="24"/>
        </w:rPr>
        <w:t xml:space="preserve">het </w:t>
      </w:r>
      <w:r w:rsidR="006149D6" w:rsidRPr="00121A6A">
        <w:rPr>
          <w:i/>
          <w:iCs/>
          <w:sz w:val="24"/>
          <w:szCs w:val="24"/>
        </w:rPr>
        <w:t>Viking</w:t>
      </w:r>
      <w:r w:rsidR="006149D6" w:rsidRPr="00121A6A">
        <w:rPr>
          <w:sz w:val="24"/>
          <w:szCs w:val="24"/>
        </w:rPr>
        <w:t>-kader is daarmee</w:t>
      </w:r>
      <w:r w:rsidR="00FC3DDE" w:rsidRPr="00121A6A">
        <w:rPr>
          <w:sz w:val="24"/>
          <w:szCs w:val="24"/>
        </w:rPr>
        <w:t xml:space="preserve"> eveneens </w:t>
      </w:r>
      <w:r w:rsidR="00577A9F" w:rsidRPr="00121A6A">
        <w:rPr>
          <w:sz w:val="24"/>
          <w:szCs w:val="24"/>
        </w:rPr>
        <w:t>uitgesloten</w:t>
      </w:r>
      <w:r w:rsidR="00FC3DDE" w:rsidRPr="00121A6A">
        <w:rPr>
          <w:sz w:val="24"/>
          <w:szCs w:val="24"/>
        </w:rPr>
        <w:t>.</w:t>
      </w:r>
    </w:p>
    <w:p w14:paraId="0F4524F7" w14:textId="26A878C4" w:rsidR="00E26C74" w:rsidRPr="00121A6A" w:rsidRDefault="00B70C3A" w:rsidP="0094096C">
      <w:pPr>
        <w:spacing w:after="0"/>
        <w:ind w:firstLine="708"/>
        <w:jc w:val="both"/>
        <w:rPr>
          <w:sz w:val="24"/>
          <w:szCs w:val="24"/>
        </w:rPr>
      </w:pPr>
      <w:r w:rsidRPr="00121A6A">
        <w:rPr>
          <w:sz w:val="24"/>
          <w:szCs w:val="24"/>
        </w:rPr>
        <w:t>T</w:t>
      </w:r>
      <w:r w:rsidR="003728C7" w:rsidRPr="00121A6A">
        <w:rPr>
          <w:sz w:val="24"/>
          <w:szCs w:val="24"/>
        </w:rPr>
        <w:t xml:space="preserve">ot slot </w:t>
      </w:r>
      <w:r w:rsidRPr="00121A6A">
        <w:rPr>
          <w:sz w:val="24"/>
          <w:szCs w:val="24"/>
        </w:rPr>
        <w:t xml:space="preserve">is </w:t>
      </w:r>
      <w:r w:rsidR="003728C7" w:rsidRPr="00121A6A">
        <w:rPr>
          <w:sz w:val="24"/>
          <w:szCs w:val="24"/>
        </w:rPr>
        <w:t xml:space="preserve">nagegaan in hoeverre </w:t>
      </w:r>
      <w:r w:rsidR="00062ADE" w:rsidRPr="00121A6A">
        <w:rPr>
          <w:sz w:val="24"/>
          <w:szCs w:val="24"/>
        </w:rPr>
        <w:t>horizontale directe werking van artikel 28 Hv bij een link met</w:t>
      </w:r>
      <w:r w:rsidR="00AA5C75">
        <w:rPr>
          <w:sz w:val="24"/>
          <w:szCs w:val="24"/>
        </w:rPr>
        <w:t xml:space="preserve"> het</w:t>
      </w:r>
      <w:r w:rsidR="00062ADE" w:rsidRPr="00121A6A">
        <w:rPr>
          <w:sz w:val="24"/>
          <w:szCs w:val="24"/>
        </w:rPr>
        <w:t xml:space="preserve"> Unierecht vanwege een belemmering van het vrij verkeer (de </w:t>
      </w:r>
      <w:r w:rsidR="003728C7" w:rsidRPr="00121A6A">
        <w:rPr>
          <w:i/>
          <w:iCs/>
          <w:sz w:val="24"/>
          <w:szCs w:val="24"/>
        </w:rPr>
        <w:t>ERT</w:t>
      </w:r>
      <w:r w:rsidR="003728C7" w:rsidRPr="00121A6A">
        <w:rPr>
          <w:sz w:val="24"/>
          <w:szCs w:val="24"/>
        </w:rPr>
        <w:t>-doctrine</w:t>
      </w:r>
      <w:r w:rsidR="00062ADE" w:rsidRPr="00121A6A">
        <w:rPr>
          <w:sz w:val="24"/>
          <w:szCs w:val="24"/>
        </w:rPr>
        <w:t>)</w:t>
      </w:r>
      <w:r w:rsidR="003728C7" w:rsidRPr="00121A6A">
        <w:rPr>
          <w:sz w:val="24"/>
          <w:szCs w:val="24"/>
        </w:rPr>
        <w:t xml:space="preserve"> </w:t>
      </w:r>
      <w:r w:rsidR="00062ADE" w:rsidRPr="00121A6A">
        <w:rPr>
          <w:sz w:val="24"/>
          <w:szCs w:val="24"/>
        </w:rPr>
        <w:t xml:space="preserve">mogelijk is. </w:t>
      </w:r>
      <w:r w:rsidR="00AA5C75">
        <w:rPr>
          <w:sz w:val="24"/>
          <w:szCs w:val="24"/>
        </w:rPr>
        <w:t>Onverminderd</w:t>
      </w:r>
      <w:r w:rsidR="00CC04FA" w:rsidRPr="00121A6A">
        <w:rPr>
          <w:sz w:val="24"/>
          <w:szCs w:val="24"/>
        </w:rPr>
        <w:t xml:space="preserve"> artikel 51 lid 1 Hv heeft het Hof</w:t>
      </w:r>
      <w:r w:rsidR="00897892" w:rsidRPr="00121A6A">
        <w:rPr>
          <w:sz w:val="24"/>
          <w:szCs w:val="24"/>
        </w:rPr>
        <w:t xml:space="preserve"> </w:t>
      </w:r>
      <w:r w:rsidR="00CC04FA" w:rsidRPr="00121A6A">
        <w:rPr>
          <w:sz w:val="24"/>
          <w:szCs w:val="24"/>
        </w:rPr>
        <w:t xml:space="preserve">inmiddels </w:t>
      </w:r>
      <w:r w:rsidR="00897892" w:rsidRPr="00121A6A">
        <w:rPr>
          <w:sz w:val="24"/>
          <w:szCs w:val="24"/>
        </w:rPr>
        <w:t xml:space="preserve">‘horizontale directe werking: toetsing van </w:t>
      </w:r>
      <w:r w:rsidR="00897892" w:rsidRPr="00AA5C75">
        <w:rPr>
          <w:i/>
          <w:iCs/>
          <w:sz w:val="24"/>
          <w:szCs w:val="24"/>
        </w:rPr>
        <w:t>overheids</w:t>
      </w:r>
      <w:r w:rsidR="00897892" w:rsidRPr="00121A6A">
        <w:rPr>
          <w:sz w:val="24"/>
          <w:szCs w:val="24"/>
        </w:rPr>
        <w:t>handelen’ aanvaard.</w:t>
      </w:r>
      <w:r w:rsidR="004C5560" w:rsidRPr="00121A6A">
        <w:rPr>
          <w:sz w:val="24"/>
          <w:szCs w:val="24"/>
        </w:rPr>
        <w:t xml:space="preserve"> In de literatuur wordt </w:t>
      </w:r>
      <w:r w:rsidR="00654047" w:rsidRPr="00121A6A">
        <w:rPr>
          <w:sz w:val="24"/>
          <w:szCs w:val="24"/>
        </w:rPr>
        <w:t xml:space="preserve">daarom </w:t>
      </w:r>
      <w:r w:rsidR="004C5560" w:rsidRPr="00121A6A">
        <w:rPr>
          <w:sz w:val="24"/>
          <w:szCs w:val="24"/>
        </w:rPr>
        <w:t xml:space="preserve">door verschillende auteurs gesuggereerd dat </w:t>
      </w:r>
      <w:r w:rsidR="00AA5C75">
        <w:rPr>
          <w:sz w:val="24"/>
          <w:szCs w:val="24"/>
        </w:rPr>
        <w:t xml:space="preserve">de variant </w:t>
      </w:r>
      <w:r w:rsidR="003277E7" w:rsidRPr="00121A6A">
        <w:rPr>
          <w:sz w:val="24"/>
          <w:szCs w:val="24"/>
        </w:rPr>
        <w:t>‘</w:t>
      </w:r>
      <w:r w:rsidR="004C5560" w:rsidRPr="00121A6A">
        <w:rPr>
          <w:sz w:val="24"/>
          <w:szCs w:val="24"/>
        </w:rPr>
        <w:t xml:space="preserve">toetsing van </w:t>
      </w:r>
      <w:r w:rsidR="004C5560" w:rsidRPr="00AA5C75">
        <w:rPr>
          <w:i/>
          <w:iCs/>
          <w:sz w:val="24"/>
          <w:szCs w:val="24"/>
        </w:rPr>
        <w:t>particulier</w:t>
      </w:r>
      <w:r w:rsidR="004C5560" w:rsidRPr="00121A6A">
        <w:rPr>
          <w:sz w:val="24"/>
          <w:szCs w:val="24"/>
        </w:rPr>
        <w:t xml:space="preserve"> handelen’ </w:t>
      </w:r>
      <w:r w:rsidRPr="00121A6A">
        <w:rPr>
          <w:sz w:val="24"/>
          <w:szCs w:val="24"/>
        </w:rPr>
        <w:t xml:space="preserve">wellicht </w:t>
      </w:r>
      <w:r w:rsidR="00296FDE" w:rsidRPr="00121A6A">
        <w:rPr>
          <w:sz w:val="24"/>
          <w:szCs w:val="24"/>
        </w:rPr>
        <w:t>tot de</w:t>
      </w:r>
      <w:r w:rsidR="00E13ACB" w:rsidRPr="00121A6A">
        <w:rPr>
          <w:sz w:val="24"/>
          <w:szCs w:val="24"/>
        </w:rPr>
        <w:t xml:space="preserve"> (toekomstige)</w:t>
      </w:r>
      <w:r w:rsidR="00296FDE" w:rsidRPr="00121A6A">
        <w:rPr>
          <w:sz w:val="24"/>
          <w:szCs w:val="24"/>
        </w:rPr>
        <w:t xml:space="preserve"> mogelijkheden behoort</w:t>
      </w:r>
      <w:r w:rsidR="004C5560" w:rsidRPr="00121A6A">
        <w:rPr>
          <w:sz w:val="24"/>
          <w:szCs w:val="24"/>
        </w:rPr>
        <w:t xml:space="preserve">. In </w:t>
      </w:r>
      <w:r w:rsidR="00D0398F" w:rsidRPr="00121A6A">
        <w:rPr>
          <w:sz w:val="24"/>
          <w:szCs w:val="24"/>
        </w:rPr>
        <w:t xml:space="preserve">een casus als </w:t>
      </w:r>
      <w:r w:rsidR="006A7C7B" w:rsidRPr="00121A6A">
        <w:rPr>
          <w:i/>
          <w:iCs/>
          <w:sz w:val="24"/>
          <w:szCs w:val="24"/>
        </w:rPr>
        <w:t>Viking</w:t>
      </w:r>
      <w:r w:rsidR="004C5560" w:rsidRPr="00121A6A">
        <w:rPr>
          <w:sz w:val="24"/>
          <w:szCs w:val="24"/>
        </w:rPr>
        <w:t xml:space="preserve"> zou </w:t>
      </w:r>
      <w:r w:rsidR="006A7C7B" w:rsidRPr="00121A6A">
        <w:rPr>
          <w:sz w:val="24"/>
          <w:szCs w:val="24"/>
        </w:rPr>
        <w:t>dat betekenen dat</w:t>
      </w:r>
      <w:r w:rsidR="00AA5C75">
        <w:rPr>
          <w:sz w:val="24"/>
          <w:szCs w:val="24"/>
        </w:rPr>
        <w:t xml:space="preserve"> </w:t>
      </w:r>
      <w:r w:rsidR="006A7C7B" w:rsidRPr="00121A6A">
        <w:rPr>
          <w:sz w:val="24"/>
          <w:szCs w:val="24"/>
        </w:rPr>
        <w:t>de bestaakte werkgever zich</w:t>
      </w:r>
      <w:r w:rsidR="00296FDE" w:rsidRPr="00121A6A">
        <w:rPr>
          <w:sz w:val="24"/>
          <w:szCs w:val="24"/>
        </w:rPr>
        <w:t xml:space="preserve"> tegenover de vakbond </w:t>
      </w:r>
      <w:r w:rsidR="00AA5C75">
        <w:rPr>
          <w:sz w:val="24"/>
          <w:szCs w:val="24"/>
        </w:rPr>
        <w:t xml:space="preserve">behalve op artikel 49 VwEU </w:t>
      </w:r>
      <w:r w:rsidR="003277E7" w:rsidRPr="00121A6A">
        <w:rPr>
          <w:sz w:val="24"/>
          <w:szCs w:val="24"/>
        </w:rPr>
        <w:t xml:space="preserve">tevens </w:t>
      </w:r>
      <w:r w:rsidR="006A7C7B" w:rsidRPr="00121A6A">
        <w:rPr>
          <w:sz w:val="24"/>
          <w:szCs w:val="24"/>
        </w:rPr>
        <w:t>rechtstreeks op het Handvest</w:t>
      </w:r>
      <w:r w:rsidR="00AA5C75">
        <w:rPr>
          <w:sz w:val="24"/>
          <w:szCs w:val="24"/>
        </w:rPr>
        <w:t xml:space="preserve">, </w:t>
      </w:r>
      <w:r w:rsidR="00AA5C75">
        <w:rPr>
          <w:sz w:val="24"/>
          <w:szCs w:val="24"/>
        </w:rPr>
        <w:lastRenderedPageBreak/>
        <w:t xml:space="preserve">bijzonderlijk </w:t>
      </w:r>
      <w:r w:rsidR="00AA5C75" w:rsidRPr="00121A6A">
        <w:rPr>
          <w:sz w:val="24"/>
          <w:szCs w:val="24"/>
        </w:rPr>
        <w:t>de artikelen 15, 16 en</w:t>
      </w:r>
      <w:r w:rsidR="00AA5C75">
        <w:rPr>
          <w:sz w:val="24"/>
          <w:szCs w:val="24"/>
        </w:rPr>
        <w:t>/of</w:t>
      </w:r>
      <w:r w:rsidR="00AA5C75" w:rsidRPr="00121A6A">
        <w:rPr>
          <w:sz w:val="24"/>
          <w:szCs w:val="24"/>
        </w:rPr>
        <w:t xml:space="preserve"> 28 </w:t>
      </w:r>
      <w:r w:rsidR="00AA5C75">
        <w:rPr>
          <w:sz w:val="24"/>
          <w:szCs w:val="24"/>
        </w:rPr>
        <w:t>Hv,</w:t>
      </w:r>
      <w:r w:rsidR="006E49B3" w:rsidRPr="00121A6A">
        <w:rPr>
          <w:sz w:val="24"/>
          <w:szCs w:val="24"/>
        </w:rPr>
        <w:t xml:space="preserve"> </w:t>
      </w:r>
      <w:r w:rsidR="006A7C7B" w:rsidRPr="00121A6A">
        <w:rPr>
          <w:sz w:val="24"/>
          <w:szCs w:val="24"/>
        </w:rPr>
        <w:t xml:space="preserve">zou kunnen beroepen. </w:t>
      </w:r>
      <w:r w:rsidR="006E49B3" w:rsidRPr="00121A6A">
        <w:rPr>
          <w:sz w:val="24"/>
          <w:szCs w:val="24"/>
        </w:rPr>
        <w:t xml:space="preserve">Daar staat </w:t>
      </w:r>
      <w:r w:rsidR="000E501A">
        <w:rPr>
          <w:sz w:val="24"/>
          <w:szCs w:val="24"/>
        </w:rPr>
        <w:t>naar ik meen</w:t>
      </w:r>
      <w:r w:rsidR="006E49B3" w:rsidRPr="00121A6A">
        <w:rPr>
          <w:sz w:val="24"/>
          <w:szCs w:val="24"/>
        </w:rPr>
        <w:t xml:space="preserve"> echter tegenover dat de vakbond zich in dat geval </w:t>
      </w:r>
      <w:r w:rsidR="003277E7" w:rsidRPr="00121A6A">
        <w:rPr>
          <w:sz w:val="24"/>
          <w:szCs w:val="24"/>
        </w:rPr>
        <w:t xml:space="preserve">eveneens </w:t>
      </w:r>
      <w:r w:rsidR="000E501A">
        <w:rPr>
          <w:sz w:val="24"/>
          <w:szCs w:val="24"/>
        </w:rPr>
        <w:t>rechtstreeks</w:t>
      </w:r>
      <w:r w:rsidR="006E49B3" w:rsidRPr="00121A6A">
        <w:rPr>
          <w:sz w:val="24"/>
          <w:szCs w:val="24"/>
        </w:rPr>
        <w:t xml:space="preserve"> op artikel 28 Hv </w:t>
      </w:r>
      <w:r w:rsidR="00290982" w:rsidRPr="00121A6A">
        <w:rPr>
          <w:sz w:val="24"/>
          <w:szCs w:val="24"/>
        </w:rPr>
        <w:t>zou (</w:t>
      </w:r>
      <w:r w:rsidR="006E49B3" w:rsidRPr="00121A6A">
        <w:rPr>
          <w:sz w:val="24"/>
          <w:szCs w:val="24"/>
        </w:rPr>
        <w:t>moet</w:t>
      </w:r>
      <w:r w:rsidR="00290982" w:rsidRPr="00121A6A">
        <w:rPr>
          <w:sz w:val="24"/>
          <w:szCs w:val="24"/>
        </w:rPr>
        <w:t>en)</w:t>
      </w:r>
      <w:r w:rsidR="006E49B3" w:rsidRPr="00121A6A">
        <w:rPr>
          <w:sz w:val="24"/>
          <w:szCs w:val="24"/>
        </w:rPr>
        <w:t xml:space="preserve"> kunnen beroepen</w:t>
      </w:r>
      <w:r w:rsidR="000E501A">
        <w:rPr>
          <w:sz w:val="24"/>
          <w:szCs w:val="24"/>
        </w:rPr>
        <w:t xml:space="preserve">, waardoor </w:t>
      </w:r>
      <w:r w:rsidR="006E49B3" w:rsidRPr="00121A6A">
        <w:rPr>
          <w:sz w:val="24"/>
          <w:szCs w:val="24"/>
        </w:rPr>
        <w:t xml:space="preserve">een </w:t>
      </w:r>
      <w:r w:rsidR="00D0398F" w:rsidRPr="00121A6A">
        <w:rPr>
          <w:sz w:val="24"/>
          <w:szCs w:val="24"/>
        </w:rPr>
        <w:t xml:space="preserve">volwaardige </w:t>
      </w:r>
      <w:r w:rsidR="006E49B3" w:rsidRPr="00121A6A">
        <w:rPr>
          <w:sz w:val="24"/>
          <w:szCs w:val="24"/>
        </w:rPr>
        <w:t>‘dubbele proportionaliteitstoets’</w:t>
      </w:r>
      <w:r w:rsidR="000E501A" w:rsidRPr="000E501A">
        <w:rPr>
          <w:sz w:val="24"/>
          <w:szCs w:val="24"/>
        </w:rPr>
        <w:t xml:space="preserve"> </w:t>
      </w:r>
      <w:r w:rsidR="002B6191">
        <w:rPr>
          <w:sz w:val="24"/>
          <w:szCs w:val="24"/>
        </w:rPr>
        <w:t xml:space="preserve">zou </w:t>
      </w:r>
      <w:r w:rsidR="000E501A">
        <w:rPr>
          <w:sz w:val="24"/>
          <w:szCs w:val="24"/>
        </w:rPr>
        <w:t>ontstaa</w:t>
      </w:r>
      <w:r w:rsidR="002B6191">
        <w:rPr>
          <w:sz w:val="24"/>
          <w:szCs w:val="24"/>
        </w:rPr>
        <w:t>n</w:t>
      </w:r>
      <w:r w:rsidR="006E49B3" w:rsidRPr="00121A6A">
        <w:rPr>
          <w:sz w:val="24"/>
          <w:szCs w:val="24"/>
        </w:rPr>
        <w:t xml:space="preserve">. </w:t>
      </w:r>
      <w:r w:rsidR="00100A46">
        <w:rPr>
          <w:sz w:val="24"/>
          <w:szCs w:val="24"/>
        </w:rPr>
        <w:t xml:space="preserve">Via die weg </w:t>
      </w:r>
      <w:r w:rsidR="006E49B3" w:rsidRPr="00121A6A">
        <w:rPr>
          <w:sz w:val="24"/>
          <w:szCs w:val="24"/>
        </w:rPr>
        <w:t xml:space="preserve">zou artikel 28 Hv meer kracht kunnen krijgen en zou </w:t>
      </w:r>
      <w:r w:rsidR="00493A53" w:rsidRPr="00121A6A">
        <w:rPr>
          <w:sz w:val="24"/>
          <w:szCs w:val="24"/>
        </w:rPr>
        <w:t xml:space="preserve">het </w:t>
      </w:r>
      <w:r w:rsidR="006E49B3" w:rsidRPr="00121A6A">
        <w:rPr>
          <w:sz w:val="24"/>
          <w:szCs w:val="24"/>
        </w:rPr>
        <w:t xml:space="preserve">HvJ </w:t>
      </w:r>
      <w:r w:rsidR="00D0503C">
        <w:rPr>
          <w:sz w:val="24"/>
          <w:szCs w:val="24"/>
        </w:rPr>
        <w:t>(</w:t>
      </w:r>
      <w:r w:rsidR="006E49B3" w:rsidRPr="00121A6A">
        <w:rPr>
          <w:sz w:val="24"/>
          <w:szCs w:val="24"/>
        </w:rPr>
        <w:t>meer</w:t>
      </w:r>
      <w:r w:rsidR="00D0503C">
        <w:rPr>
          <w:sz w:val="24"/>
          <w:szCs w:val="24"/>
        </w:rPr>
        <w:t>)</w:t>
      </w:r>
      <w:r w:rsidR="006E49B3" w:rsidRPr="00121A6A">
        <w:rPr>
          <w:sz w:val="24"/>
          <w:szCs w:val="24"/>
        </w:rPr>
        <w:t xml:space="preserve"> aansluiting kunnen zoeken bij het toetsingskader </w:t>
      </w:r>
      <w:r w:rsidR="00362F60" w:rsidRPr="00121A6A">
        <w:rPr>
          <w:sz w:val="24"/>
          <w:szCs w:val="24"/>
        </w:rPr>
        <w:t>van</w:t>
      </w:r>
      <w:r w:rsidR="00DF3948" w:rsidRPr="00121A6A">
        <w:rPr>
          <w:sz w:val="24"/>
          <w:szCs w:val="24"/>
        </w:rPr>
        <w:t xml:space="preserve"> artikel 11</w:t>
      </w:r>
      <w:r w:rsidR="00421105" w:rsidRPr="00121A6A">
        <w:rPr>
          <w:sz w:val="24"/>
          <w:szCs w:val="24"/>
        </w:rPr>
        <w:t xml:space="preserve"> EVRM, ILO-Verdrag 87 en </w:t>
      </w:r>
      <w:r w:rsidR="00DF3948" w:rsidRPr="00121A6A">
        <w:rPr>
          <w:sz w:val="24"/>
          <w:szCs w:val="24"/>
        </w:rPr>
        <w:t xml:space="preserve">artikel 6 lid 4 </w:t>
      </w:r>
      <w:r w:rsidR="00421105" w:rsidRPr="00121A6A">
        <w:rPr>
          <w:sz w:val="24"/>
          <w:szCs w:val="24"/>
        </w:rPr>
        <w:t>ESH</w:t>
      </w:r>
      <w:r w:rsidR="006E49B3" w:rsidRPr="00121A6A">
        <w:rPr>
          <w:sz w:val="24"/>
          <w:szCs w:val="24"/>
        </w:rPr>
        <w:t xml:space="preserve">. </w:t>
      </w:r>
      <w:r w:rsidR="00100A46">
        <w:rPr>
          <w:sz w:val="24"/>
          <w:szCs w:val="24"/>
        </w:rPr>
        <w:t>Als</w:t>
      </w:r>
      <w:r w:rsidR="006E49B3" w:rsidRPr="00121A6A">
        <w:rPr>
          <w:sz w:val="24"/>
          <w:szCs w:val="24"/>
        </w:rPr>
        <w:t xml:space="preserve"> </w:t>
      </w:r>
      <w:r w:rsidR="009C3979" w:rsidRPr="00121A6A">
        <w:rPr>
          <w:sz w:val="24"/>
          <w:szCs w:val="24"/>
        </w:rPr>
        <w:t>het Hof</w:t>
      </w:r>
      <w:r w:rsidR="00DF3948" w:rsidRPr="00121A6A">
        <w:rPr>
          <w:sz w:val="24"/>
          <w:szCs w:val="24"/>
        </w:rPr>
        <w:t xml:space="preserve"> daarentegen</w:t>
      </w:r>
      <w:r w:rsidR="009C3979" w:rsidRPr="00121A6A">
        <w:rPr>
          <w:sz w:val="24"/>
          <w:szCs w:val="24"/>
        </w:rPr>
        <w:t xml:space="preserve"> </w:t>
      </w:r>
      <w:r w:rsidR="006E49B3" w:rsidRPr="00121A6A">
        <w:rPr>
          <w:sz w:val="24"/>
          <w:szCs w:val="24"/>
        </w:rPr>
        <w:t xml:space="preserve">zuiver horizontale </w:t>
      </w:r>
      <w:r w:rsidR="00D570CF" w:rsidRPr="00121A6A">
        <w:rPr>
          <w:sz w:val="24"/>
          <w:szCs w:val="24"/>
        </w:rPr>
        <w:t xml:space="preserve">directe </w:t>
      </w:r>
      <w:r w:rsidR="006E49B3" w:rsidRPr="00121A6A">
        <w:rPr>
          <w:sz w:val="24"/>
          <w:szCs w:val="24"/>
        </w:rPr>
        <w:t>werking van het Handvest</w:t>
      </w:r>
      <w:r w:rsidR="009C3979" w:rsidRPr="00121A6A">
        <w:rPr>
          <w:sz w:val="24"/>
          <w:szCs w:val="24"/>
        </w:rPr>
        <w:t xml:space="preserve"> zou afwijzen</w:t>
      </w:r>
      <w:r w:rsidR="006E49B3" w:rsidRPr="00121A6A">
        <w:rPr>
          <w:sz w:val="24"/>
          <w:szCs w:val="24"/>
        </w:rPr>
        <w:t xml:space="preserve">, </w:t>
      </w:r>
      <w:r w:rsidR="00986D05">
        <w:rPr>
          <w:sz w:val="24"/>
          <w:szCs w:val="24"/>
        </w:rPr>
        <w:t xml:space="preserve">dan blijft </w:t>
      </w:r>
      <w:r w:rsidR="00CA7709" w:rsidRPr="00121A6A">
        <w:rPr>
          <w:sz w:val="24"/>
          <w:szCs w:val="24"/>
        </w:rPr>
        <w:t xml:space="preserve">de interpretatie van artikel 28 Hv volledig </w:t>
      </w:r>
      <w:r w:rsidR="000E501A">
        <w:rPr>
          <w:sz w:val="24"/>
          <w:szCs w:val="24"/>
        </w:rPr>
        <w:t>gericht op</w:t>
      </w:r>
      <w:r w:rsidR="00CA7709" w:rsidRPr="00121A6A">
        <w:rPr>
          <w:sz w:val="24"/>
          <w:szCs w:val="24"/>
        </w:rPr>
        <w:t xml:space="preserve"> </w:t>
      </w:r>
      <w:r w:rsidR="000E501A">
        <w:rPr>
          <w:sz w:val="24"/>
          <w:szCs w:val="24"/>
        </w:rPr>
        <w:t xml:space="preserve">het faciliteren van </w:t>
      </w:r>
      <w:r w:rsidR="00493A53" w:rsidRPr="00121A6A">
        <w:rPr>
          <w:sz w:val="24"/>
          <w:szCs w:val="24"/>
        </w:rPr>
        <w:t>de</w:t>
      </w:r>
      <w:r w:rsidR="00CA7709" w:rsidRPr="00121A6A">
        <w:rPr>
          <w:sz w:val="24"/>
          <w:szCs w:val="24"/>
        </w:rPr>
        <w:t xml:space="preserve"> interne markt</w:t>
      </w:r>
      <w:r w:rsidR="006E49B3" w:rsidRPr="00121A6A">
        <w:rPr>
          <w:sz w:val="24"/>
          <w:szCs w:val="24"/>
        </w:rPr>
        <w:t xml:space="preserve"> en</w:t>
      </w:r>
      <w:r w:rsidR="00626A66" w:rsidRPr="00121A6A">
        <w:rPr>
          <w:sz w:val="24"/>
          <w:szCs w:val="24"/>
        </w:rPr>
        <w:t xml:space="preserve"> de vraag naar toegestane beperkingen van het stakingsrecht. In die context</w:t>
      </w:r>
      <w:r w:rsidR="006E49B3" w:rsidRPr="00121A6A">
        <w:rPr>
          <w:sz w:val="24"/>
          <w:szCs w:val="24"/>
        </w:rPr>
        <w:t xml:space="preserve"> </w:t>
      </w:r>
      <w:r w:rsidR="009C3979" w:rsidRPr="00121A6A">
        <w:rPr>
          <w:sz w:val="24"/>
          <w:szCs w:val="24"/>
        </w:rPr>
        <w:t xml:space="preserve">zou </w:t>
      </w:r>
      <w:r w:rsidR="00421105" w:rsidRPr="00121A6A">
        <w:rPr>
          <w:sz w:val="24"/>
          <w:szCs w:val="24"/>
        </w:rPr>
        <w:t xml:space="preserve">het Hof – hoewel hiertoe op grond van artikel 6 VEU en de artikelen 52 lid 3 en 53 Hv verplicht – het stakingsrecht </w:t>
      </w:r>
      <w:r w:rsidR="00414B2E">
        <w:rPr>
          <w:sz w:val="24"/>
          <w:szCs w:val="24"/>
        </w:rPr>
        <w:t>niet</w:t>
      </w:r>
      <w:r w:rsidR="00421105" w:rsidRPr="00121A6A">
        <w:rPr>
          <w:sz w:val="24"/>
          <w:szCs w:val="24"/>
        </w:rPr>
        <w:t xml:space="preserve"> </w:t>
      </w:r>
      <w:r w:rsidR="00296FDE" w:rsidRPr="00121A6A">
        <w:rPr>
          <w:sz w:val="24"/>
          <w:szCs w:val="24"/>
        </w:rPr>
        <w:t xml:space="preserve">in </w:t>
      </w:r>
      <w:r w:rsidR="006B2E9E">
        <w:rPr>
          <w:sz w:val="24"/>
          <w:szCs w:val="24"/>
        </w:rPr>
        <w:t>(</w:t>
      </w:r>
      <w:r w:rsidR="00362F60" w:rsidRPr="00121A6A">
        <w:rPr>
          <w:sz w:val="24"/>
          <w:szCs w:val="24"/>
        </w:rPr>
        <w:t>meer</w:t>
      </w:r>
      <w:r w:rsidR="006B2E9E">
        <w:rPr>
          <w:sz w:val="24"/>
          <w:szCs w:val="24"/>
        </w:rPr>
        <w:t>)</w:t>
      </w:r>
      <w:r w:rsidR="00362F60" w:rsidRPr="00121A6A">
        <w:rPr>
          <w:sz w:val="24"/>
          <w:szCs w:val="24"/>
        </w:rPr>
        <w:t xml:space="preserve"> harmonie</w:t>
      </w:r>
      <w:r w:rsidR="00296FDE" w:rsidRPr="00121A6A">
        <w:rPr>
          <w:sz w:val="24"/>
          <w:szCs w:val="24"/>
        </w:rPr>
        <w:t xml:space="preserve"> met de benadering van</w:t>
      </w:r>
      <w:r w:rsidR="00421105" w:rsidRPr="00121A6A">
        <w:rPr>
          <w:sz w:val="24"/>
          <w:szCs w:val="24"/>
        </w:rPr>
        <w:t xml:space="preserve"> het EHRM, de </w:t>
      </w:r>
      <w:proofErr w:type="spellStart"/>
      <w:r w:rsidR="00421105" w:rsidRPr="00121A6A">
        <w:rPr>
          <w:sz w:val="24"/>
          <w:szCs w:val="24"/>
        </w:rPr>
        <w:t>CoE</w:t>
      </w:r>
      <w:proofErr w:type="spellEnd"/>
      <w:r w:rsidR="00421105" w:rsidRPr="00121A6A">
        <w:rPr>
          <w:sz w:val="24"/>
          <w:szCs w:val="24"/>
        </w:rPr>
        <w:t>/CFA en het ECSR kunnen beschermen.</w:t>
      </w:r>
      <w:r w:rsidR="00E26C74" w:rsidRPr="00121A6A">
        <w:rPr>
          <w:sz w:val="24"/>
          <w:szCs w:val="24"/>
        </w:rPr>
        <w:br w:type="page"/>
      </w:r>
    </w:p>
    <w:p w14:paraId="42AFBBFA" w14:textId="7E1FD4BD" w:rsidR="00E26C74" w:rsidRPr="0080665C" w:rsidRDefault="00562860" w:rsidP="00E534A3">
      <w:pPr>
        <w:pStyle w:val="Heading1"/>
        <w:rPr>
          <w:szCs w:val="24"/>
          <w:lang w:val="en-US"/>
        </w:rPr>
      </w:pPr>
      <w:bookmarkStart w:id="93" w:name="_Toc169963083"/>
      <w:proofErr w:type="spellStart"/>
      <w:r w:rsidRPr="0080665C">
        <w:rPr>
          <w:szCs w:val="24"/>
          <w:lang w:val="en-US"/>
        </w:rPr>
        <w:lastRenderedPageBreak/>
        <w:t>Bibliografie</w:t>
      </w:r>
      <w:bookmarkEnd w:id="93"/>
      <w:proofErr w:type="spellEnd"/>
    </w:p>
    <w:p w14:paraId="263C62B8" w14:textId="77777777" w:rsidR="008E63BE" w:rsidRPr="00121A6A" w:rsidRDefault="008E63BE" w:rsidP="00030EF2">
      <w:pPr>
        <w:spacing w:after="0"/>
        <w:jc w:val="both"/>
        <w:rPr>
          <w:b/>
          <w:bCs/>
          <w:sz w:val="24"/>
          <w:szCs w:val="24"/>
          <w:lang w:val="en-US"/>
        </w:rPr>
      </w:pPr>
    </w:p>
    <w:p w14:paraId="097837F1" w14:textId="66019976" w:rsidR="008E63BE" w:rsidRPr="00121A6A" w:rsidRDefault="008E63BE" w:rsidP="00030EF2">
      <w:pPr>
        <w:spacing w:after="0"/>
        <w:jc w:val="both"/>
        <w:rPr>
          <w:b/>
          <w:bCs/>
          <w:sz w:val="24"/>
          <w:szCs w:val="24"/>
          <w:lang w:val="en-US"/>
        </w:rPr>
      </w:pPr>
      <w:proofErr w:type="spellStart"/>
      <w:r w:rsidRPr="00121A6A">
        <w:rPr>
          <w:b/>
          <w:bCs/>
          <w:sz w:val="24"/>
          <w:szCs w:val="24"/>
          <w:lang w:val="en-US"/>
        </w:rPr>
        <w:t>Ashiagbor</w:t>
      </w:r>
      <w:proofErr w:type="spellEnd"/>
      <w:r w:rsidRPr="00121A6A">
        <w:rPr>
          <w:b/>
          <w:bCs/>
          <w:sz w:val="24"/>
          <w:szCs w:val="24"/>
          <w:lang w:val="en-US"/>
        </w:rPr>
        <w:t xml:space="preserve">, </w:t>
      </w:r>
      <w:r w:rsidRPr="00121A6A">
        <w:rPr>
          <w:b/>
          <w:bCs/>
          <w:i/>
          <w:iCs/>
          <w:sz w:val="24"/>
          <w:szCs w:val="24"/>
          <w:lang w:val="en-US"/>
        </w:rPr>
        <w:t>ELJ</w:t>
      </w:r>
      <w:r w:rsidRPr="00121A6A">
        <w:rPr>
          <w:b/>
          <w:bCs/>
          <w:sz w:val="24"/>
          <w:szCs w:val="24"/>
          <w:lang w:val="en-US"/>
        </w:rPr>
        <w:t xml:space="preserve"> 2013</w:t>
      </w:r>
    </w:p>
    <w:p w14:paraId="7C4F663E" w14:textId="746EEFE7" w:rsidR="008E63BE" w:rsidRPr="00121A6A" w:rsidRDefault="008E63BE" w:rsidP="00030EF2">
      <w:pPr>
        <w:spacing w:after="0"/>
        <w:jc w:val="both"/>
        <w:rPr>
          <w:sz w:val="24"/>
          <w:szCs w:val="24"/>
          <w:lang w:val="en-GB"/>
        </w:rPr>
      </w:pPr>
      <w:r w:rsidRPr="00121A6A">
        <w:rPr>
          <w:sz w:val="24"/>
          <w:szCs w:val="24"/>
          <w:lang w:val="en-GB"/>
        </w:rPr>
        <w:t xml:space="preserve">D. </w:t>
      </w:r>
      <w:proofErr w:type="spellStart"/>
      <w:r w:rsidRPr="00121A6A">
        <w:rPr>
          <w:sz w:val="24"/>
          <w:szCs w:val="24"/>
          <w:lang w:val="en-GB"/>
        </w:rPr>
        <w:t>Ashiagbor</w:t>
      </w:r>
      <w:proofErr w:type="spellEnd"/>
      <w:r w:rsidRPr="00121A6A">
        <w:rPr>
          <w:sz w:val="24"/>
          <w:szCs w:val="24"/>
          <w:lang w:val="en-GB"/>
        </w:rPr>
        <w:t xml:space="preserve">, ‘Unravelling the Embedded Liberal Bargain: Labour and Social Welfare Law in the Context of EU Market Integration’, </w:t>
      </w:r>
      <w:r w:rsidRPr="00121A6A">
        <w:rPr>
          <w:i/>
          <w:iCs/>
          <w:sz w:val="24"/>
          <w:szCs w:val="24"/>
          <w:lang w:val="en-GB"/>
        </w:rPr>
        <w:t>European Law Journal</w:t>
      </w:r>
      <w:r w:rsidRPr="00121A6A">
        <w:rPr>
          <w:sz w:val="24"/>
          <w:szCs w:val="24"/>
          <w:lang w:val="en-GB"/>
        </w:rPr>
        <w:t xml:space="preserve"> 2013,</w:t>
      </w:r>
      <w:r w:rsidR="00C55BCB" w:rsidRPr="00121A6A">
        <w:rPr>
          <w:sz w:val="24"/>
          <w:szCs w:val="24"/>
          <w:lang w:val="en-GB"/>
        </w:rPr>
        <w:t xml:space="preserve"> </w:t>
      </w:r>
      <w:proofErr w:type="spellStart"/>
      <w:r w:rsidR="00C55BCB" w:rsidRPr="00121A6A">
        <w:rPr>
          <w:sz w:val="24"/>
          <w:szCs w:val="24"/>
          <w:lang w:val="en-GB"/>
        </w:rPr>
        <w:t>afl</w:t>
      </w:r>
      <w:proofErr w:type="spellEnd"/>
      <w:r w:rsidR="00C55BCB" w:rsidRPr="00121A6A">
        <w:rPr>
          <w:sz w:val="24"/>
          <w:szCs w:val="24"/>
          <w:lang w:val="en-GB"/>
        </w:rPr>
        <w:t>. 3,</w:t>
      </w:r>
      <w:r w:rsidRPr="00121A6A">
        <w:rPr>
          <w:sz w:val="24"/>
          <w:szCs w:val="24"/>
          <w:lang w:val="en-GB"/>
        </w:rPr>
        <w:t xml:space="preserve"> p. 303-324.</w:t>
      </w:r>
    </w:p>
    <w:p w14:paraId="535B8945" w14:textId="77777777" w:rsidR="00FD7050" w:rsidRPr="00121A6A" w:rsidRDefault="00FD7050" w:rsidP="00030EF2">
      <w:pPr>
        <w:spacing w:after="0"/>
        <w:jc w:val="both"/>
        <w:rPr>
          <w:sz w:val="24"/>
          <w:szCs w:val="24"/>
          <w:lang w:val="en-GB"/>
        </w:rPr>
      </w:pPr>
    </w:p>
    <w:p w14:paraId="3FC5C2E1" w14:textId="77777777" w:rsidR="00FD7050" w:rsidRPr="00121A6A" w:rsidRDefault="00FD7050" w:rsidP="00FD7050">
      <w:pPr>
        <w:spacing w:after="0"/>
        <w:jc w:val="both"/>
        <w:rPr>
          <w:b/>
          <w:bCs/>
          <w:sz w:val="24"/>
          <w:szCs w:val="24"/>
        </w:rPr>
      </w:pPr>
      <w:r w:rsidRPr="00121A6A">
        <w:rPr>
          <w:b/>
          <w:bCs/>
          <w:sz w:val="24"/>
          <w:szCs w:val="24"/>
        </w:rPr>
        <w:t xml:space="preserve">Asser/Hartkamp </w:t>
      </w:r>
      <w:r w:rsidRPr="00121A6A">
        <w:rPr>
          <w:b/>
          <w:bCs/>
          <w:i/>
          <w:iCs/>
          <w:sz w:val="24"/>
          <w:szCs w:val="24"/>
        </w:rPr>
        <w:t>3-I</w:t>
      </w:r>
      <w:r w:rsidRPr="00121A6A">
        <w:rPr>
          <w:b/>
          <w:bCs/>
          <w:sz w:val="24"/>
          <w:szCs w:val="24"/>
        </w:rPr>
        <w:t xml:space="preserve"> 2023/231f-231g</w:t>
      </w:r>
    </w:p>
    <w:p w14:paraId="24C1F44C" w14:textId="651BFAE9" w:rsidR="00FD7050" w:rsidRPr="00121A6A" w:rsidRDefault="00FD7050" w:rsidP="00030EF2">
      <w:pPr>
        <w:spacing w:after="0"/>
        <w:jc w:val="both"/>
        <w:rPr>
          <w:sz w:val="24"/>
          <w:szCs w:val="24"/>
        </w:rPr>
      </w:pPr>
      <w:r w:rsidRPr="00121A6A">
        <w:rPr>
          <w:sz w:val="24"/>
          <w:szCs w:val="24"/>
        </w:rPr>
        <w:t>A.S</w:t>
      </w:r>
      <w:r w:rsidR="00380380" w:rsidRPr="00121A6A">
        <w:rPr>
          <w:sz w:val="24"/>
          <w:szCs w:val="24"/>
        </w:rPr>
        <w:t>.</w:t>
      </w:r>
      <w:r w:rsidRPr="00121A6A">
        <w:rPr>
          <w:sz w:val="24"/>
          <w:szCs w:val="24"/>
        </w:rPr>
        <w:t xml:space="preserve"> Hartkamp, </w:t>
      </w:r>
      <w:r w:rsidRPr="00121A6A">
        <w:rPr>
          <w:i/>
          <w:iCs/>
          <w:sz w:val="24"/>
          <w:szCs w:val="24"/>
        </w:rPr>
        <w:t>Mr. C. Assers Handleiding tot de beoefening van het Nederlands Burgerlijk Recht. 3. Vermogensrecht algemeen. Deel I. Europees recht en Nederlands vermogensrecht</w:t>
      </w:r>
      <w:r w:rsidRPr="00121A6A">
        <w:rPr>
          <w:sz w:val="24"/>
          <w:szCs w:val="24"/>
        </w:rPr>
        <w:t>, Deventer: Wolters Kluwer 2023.</w:t>
      </w:r>
    </w:p>
    <w:p w14:paraId="12BD7683" w14:textId="77777777" w:rsidR="008E63BE" w:rsidRPr="00121A6A" w:rsidRDefault="008E63BE" w:rsidP="00030EF2">
      <w:pPr>
        <w:spacing w:after="0"/>
        <w:jc w:val="both"/>
        <w:rPr>
          <w:b/>
          <w:bCs/>
          <w:sz w:val="24"/>
          <w:szCs w:val="24"/>
        </w:rPr>
      </w:pPr>
    </w:p>
    <w:p w14:paraId="07FF4650" w14:textId="575D5913" w:rsidR="008E63BE" w:rsidRPr="00121A6A" w:rsidRDefault="008E63BE" w:rsidP="00030EF2">
      <w:pPr>
        <w:spacing w:after="0"/>
        <w:jc w:val="both"/>
        <w:rPr>
          <w:b/>
          <w:bCs/>
          <w:sz w:val="24"/>
          <w:szCs w:val="24"/>
          <w:lang w:val="en-GB"/>
        </w:rPr>
      </w:pPr>
      <w:r w:rsidRPr="00121A6A">
        <w:rPr>
          <w:b/>
          <w:bCs/>
          <w:sz w:val="24"/>
          <w:szCs w:val="24"/>
          <w:lang w:val="en-GB"/>
        </w:rPr>
        <w:t xml:space="preserve">Azoulai, </w:t>
      </w:r>
      <w:r w:rsidRPr="00121A6A">
        <w:rPr>
          <w:b/>
          <w:bCs/>
          <w:i/>
          <w:iCs/>
          <w:sz w:val="24"/>
          <w:szCs w:val="24"/>
          <w:lang w:val="en-GB"/>
        </w:rPr>
        <w:t>CMLR</w:t>
      </w:r>
      <w:r w:rsidRPr="00121A6A">
        <w:rPr>
          <w:b/>
          <w:bCs/>
          <w:sz w:val="24"/>
          <w:szCs w:val="24"/>
          <w:lang w:val="en-GB"/>
        </w:rPr>
        <w:t xml:space="preserve"> 2008</w:t>
      </w:r>
    </w:p>
    <w:p w14:paraId="31024E00" w14:textId="0ED73F14" w:rsidR="008E63BE" w:rsidRPr="00121A6A" w:rsidRDefault="008E63BE" w:rsidP="00030EF2">
      <w:pPr>
        <w:spacing w:after="0"/>
        <w:jc w:val="both"/>
        <w:rPr>
          <w:b/>
          <w:bCs/>
          <w:sz w:val="24"/>
          <w:szCs w:val="24"/>
          <w:lang w:val="en-GB"/>
        </w:rPr>
      </w:pPr>
      <w:r w:rsidRPr="00121A6A">
        <w:rPr>
          <w:sz w:val="24"/>
          <w:szCs w:val="24"/>
          <w:lang w:val="en-GB"/>
        </w:rPr>
        <w:t xml:space="preserve">L. Azoulai, ‘The Court of Justice and the Social Market Economy: The Emergence of an Ideal and the Conditions for its Realization’, </w:t>
      </w:r>
      <w:r w:rsidRPr="00121A6A">
        <w:rPr>
          <w:i/>
          <w:iCs/>
          <w:sz w:val="24"/>
          <w:szCs w:val="24"/>
          <w:lang w:val="en-GB"/>
        </w:rPr>
        <w:t>Common Market La</w:t>
      </w:r>
      <w:r w:rsidR="00116392" w:rsidRPr="00121A6A">
        <w:rPr>
          <w:i/>
          <w:iCs/>
          <w:sz w:val="24"/>
          <w:szCs w:val="24"/>
          <w:lang w:val="en-GB"/>
        </w:rPr>
        <w:t>w</w:t>
      </w:r>
      <w:r w:rsidRPr="00121A6A">
        <w:rPr>
          <w:i/>
          <w:iCs/>
          <w:sz w:val="24"/>
          <w:szCs w:val="24"/>
          <w:lang w:val="en-GB"/>
        </w:rPr>
        <w:t xml:space="preserve"> Review</w:t>
      </w:r>
      <w:r w:rsidRPr="00121A6A">
        <w:rPr>
          <w:sz w:val="24"/>
          <w:szCs w:val="24"/>
          <w:lang w:val="en-GB"/>
        </w:rPr>
        <w:t xml:space="preserve"> 2008,</w:t>
      </w:r>
      <w:r w:rsidR="00C55BCB" w:rsidRPr="00121A6A">
        <w:rPr>
          <w:sz w:val="24"/>
          <w:szCs w:val="24"/>
          <w:lang w:val="en-GB"/>
        </w:rPr>
        <w:t xml:space="preserve"> </w:t>
      </w:r>
      <w:proofErr w:type="spellStart"/>
      <w:r w:rsidR="00C55BCB" w:rsidRPr="00121A6A">
        <w:rPr>
          <w:sz w:val="24"/>
          <w:szCs w:val="24"/>
          <w:lang w:val="en-GB"/>
        </w:rPr>
        <w:t>afl</w:t>
      </w:r>
      <w:proofErr w:type="spellEnd"/>
      <w:r w:rsidR="00C55BCB" w:rsidRPr="00121A6A">
        <w:rPr>
          <w:sz w:val="24"/>
          <w:szCs w:val="24"/>
          <w:lang w:val="en-GB"/>
        </w:rPr>
        <w:t>. 5,</w:t>
      </w:r>
      <w:r w:rsidRPr="00121A6A">
        <w:rPr>
          <w:sz w:val="24"/>
          <w:szCs w:val="24"/>
          <w:lang w:val="en-GB"/>
        </w:rPr>
        <w:t xml:space="preserve"> p. 1335-1356.</w:t>
      </w:r>
      <w:r w:rsidRPr="00121A6A">
        <w:rPr>
          <w:b/>
          <w:bCs/>
          <w:sz w:val="24"/>
          <w:szCs w:val="24"/>
          <w:lang w:val="en-GB"/>
        </w:rPr>
        <w:t xml:space="preserve"> </w:t>
      </w:r>
    </w:p>
    <w:p w14:paraId="37242E94" w14:textId="77777777" w:rsidR="00D160AE" w:rsidRPr="00121A6A" w:rsidRDefault="00D160AE" w:rsidP="00030EF2">
      <w:pPr>
        <w:spacing w:after="0"/>
        <w:jc w:val="both"/>
        <w:rPr>
          <w:b/>
          <w:bCs/>
          <w:sz w:val="24"/>
          <w:szCs w:val="24"/>
          <w:lang w:val="en-GB"/>
        </w:rPr>
      </w:pPr>
    </w:p>
    <w:p w14:paraId="106BCCB1" w14:textId="77777777" w:rsidR="00D160AE" w:rsidRPr="00121A6A" w:rsidRDefault="00D160AE" w:rsidP="00D160AE">
      <w:pPr>
        <w:spacing w:after="0"/>
        <w:jc w:val="both"/>
        <w:rPr>
          <w:b/>
          <w:bCs/>
          <w:sz w:val="24"/>
          <w:szCs w:val="24"/>
        </w:rPr>
      </w:pPr>
      <w:r w:rsidRPr="00121A6A">
        <w:rPr>
          <w:b/>
          <w:bCs/>
          <w:sz w:val="24"/>
          <w:szCs w:val="24"/>
        </w:rPr>
        <w:t>Barentsen 2020</w:t>
      </w:r>
    </w:p>
    <w:p w14:paraId="79C4DD54" w14:textId="48C4301E" w:rsidR="00D160AE" w:rsidRPr="00B252AD" w:rsidRDefault="00D160AE" w:rsidP="00030EF2">
      <w:pPr>
        <w:spacing w:after="0"/>
        <w:jc w:val="both"/>
        <w:rPr>
          <w:sz w:val="24"/>
          <w:szCs w:val="24"/>
          <w:lang w:val="fr-BE"/>
        </w:rPr>
      </w:pPr>
      <w:r w:rsidRPr="006E1C92">
        <w:rPr>
          <w:sz w:val="24"/>
          <w:szCs w:val="24"/>
        </w:rPr>
        <w:t xml:space="preserve">B. Barentsen, ‘Recht op collectieve actie’, in: </w:t>
      </w:r>
      <w:r w:rsidR="00380380" w:rsidRPr="006E1C92">
        <w:rPr>
          <w:sz w:val="24"/>
          <w:szCs w:val="24"/>
        </w:rPr>
        <w:t xml:space="preserve">J. </w:t>
      </w:r>
      <w:r w:rsidRPr="006E1C92">
        <w:rPr>
          <w:sz w:val="24"/>
          <w:szCs w:val="24"/>
        </w:rPr>
        <w:t xml:space="preserve">Gerards (red.), </w:t>
      </w:r>
      <w:r w:rsidRPr="006E1C92">
        <w:rPr>
          <w:i/>
          <w:iCs/>
          <w:sz w:val="24"/>
          <w:szCs w:val="24"/>
        </w:rPr>
        <w:t xml:space="preserve">Grondrechten. </w:t>
      </w:r>
      <w:r w:rsidRPr="00B252AD">
        <w:rPr>
          <w:i/>
          <w:iCs/>
          <w:sz w:val="24"/>
          <w:szCs w:val="24"/>
          <w:lang w:val="fr-BE"/>
        </w:rPr>
        <w:t xml:space="preserve">De nationale, </w:t>
      </w:r>
      <w:proofErr w:type="spellStart"/>
      <w:r w:rsidRPr="00B252AD">
        <w:rPr>
          <w:i/>
          <w:iCs/>
          <w:sz w:val="24"/>
          <w:szCs w:val="24"/>
          <w:lang w:val="fr-BE"/>
        </w:rPr>
        <w:t>Europese</w:t>
      </w:r>
      <w:proofErr w:type="spellEnd"/>
      <w:r w:rsidRPr="00B252AD">
        <w:rPr>
          <w:i/>
          <w:iCs/>
          <w:sz w:val="24"/>
          <w:szCs w:val="24"/>
          <w:lang w:val="fr-BE"/>
        </w:rPr>
        <w:t xml:space="preserve"> en internationale </w:t>
      </w:r>
      <w:proofErr w:type="spellStart"/>
      <w:r w:rsidRPr="00B252AD">
        <w:rPr>
          <w:i/>
          <w:iCs/>
          <w:sz w:val="24"/>
          <w:szCs w:val="24"/>
          <w:lang w:val="fr-BE"/>
        </w:rPr>
        <w:t>dimensie</w:t>
      </w:r>
      <w:proofErr w:type="spellEnd"/>
      <w:r w:rsidRPr="00B252AD">
        <w:rPr>
          <w:sz w:val="24"/>
          <w:szCs w:val="24"/>
          <w:lang w:val="fr-BE"/>
        </w:rPr>
        <w:t xml:space="preserve">, Nijmegen: Ars </w:t>
      </w:r>
      <w:proofErr w:type="spellStart"/>
      <w:r w:rsidRPr="00B252AD">
        <w:rPr>
          <w:sz w:val="24"/>
          <w:szCs w:val="24"/>
          <w:lang w:val="fr-BE"/>
        </w:rPr>
        <w:t>Aequi</w:t>
      </w:r>
      <w:proofErr w:type="spellEnd"/>
      <w:r w:rsidRPr="00B252AD">
        <w:rPr>
          <w:sz w:val="24"/>
          <w:szCs w:val="24"/>
          <w:lang w:val="fr-BE"/>
        </w:rPr>
        <w:t xml:space="preserve"> </w:t>
      </w:r>
      <w:proofErr w:type="spellStart"/>
      <w:r w:rsidRPr="00B252AD">
        <w:rPr>
          <w:sz w:val="24"/>
          <w:szCs w:val="24"/>
          <w:lang w:val="fr-BE"/>
        </w:rPr>
        <w:t>Libri</w:t>
      </w:r>
      <w:proofErr w:type="spellEnd"/>
      <w:r w:rsidRPr="00B252AD">
        <w:rPr>
          <w:sz w:val="24"/>
          <w:szCs w:val="24"/>
          <w:lang w:val="fr-BE"/>
        </w:rPr>
        <w:t xml:space="preserve"> 2020</w:t>
      </w:r>
      <w:r w:rsidR="00380380" w:rsidRPr="00B252AD">
        <w:rPr>
          <w:sz w:val="24"/>
          <w:szCs w:val="24"/>
          <w:lang w:val="fr-BE"/>
        </w:rPr>
        <w:t>, p. 415-427.</w:t>
      </w:r>
    </w:p>
    <w:p w14:paraId="71D06027" w14:textId="77777777" w:rsidR="00B525F4" w:rsidRPr="00121A6A" w:rsidRDefault="00B525F4" w:rsidP="00030EF2">
      <w:pPr>
        <w:spacing w:after="0"/>
        <w:jc w:val="both"/>
        <w:rPr>
          <w:b/>
          <w:bCs/>
          <w:sz w:val="24"/>
          <w:szCs w:val="24"/>
          <w:lang w:val="fr-BE"/>
        </w:rPr>
      </w:pPr>
    </w:p>
    <w:p w14:paraId="016B3FC5" w14:textId="77777777" w:rsidR="00B525F4" w:rsidRPr="00121A6A" w:rsidRDefault="00B525F4" w:rsidP="00030EF2">
      <w:pPr>
        <w:spacing w:after="0"/>
        <w:jc w:val="both"/>
        <w:rPr>
          <w:b/>
          <w:bCs/>
          <w:sz w:val="24"/>
          <w:szCs w:val="24"/>
        </w:rPr>
      </w:pPr>
      <w:bookmarkStart w:id="94" w:name="_Hlk150430032"/>
      <w:proofErr w:type="spellStart"/>
      <w:r w:rsidRPr="00121A6A">
        <w:rPr>
          <w:b/>
          <w:bCs/>
          <w:sz w:val="24"/>
          <w:szCs w:val="24"/>
        </w:rPr>
        <w:t>Barkhuysen</w:t>
      </w:r>
      <w:proofErr w:type="spellEnd"/>
      <w:r w:rsidRPr="00121A6A">
        <w:rPr>
          <w:b/>
          <w:bCs/>
          <w:sz w:val="24"/>
          <w:szCs w:val="24"/>
        </w:rPr>
        <w:t xml:space="preserve">, Bos &amp; Ten Have, </w:t>
      </w:r>
      <w:r w:rsidRPr="00121A6A">
        <w:rPr>
          <w:b/>
          <w:bCs/>
          <w:i/>
          <w:iCs/>
          <w:sz w:val="24"/>
          <w:szCs w:val="24"/>
        </w:rPr>
        <w:t>NTBR</w:t>
      </w:r>
      <w:r w:rsidRPr="00121A6A">
        <w:rPr>
          <w:b/>
          <w:bCs/>
          <w:sz w:val="24"/>
          <w:szCs w:val="24"/>
        </w:rPr>
        <w:t xml:space="preserve"> 2011/76</w:t>
      </w:r>
    </w:p>
    <w:bookmarkEnd w:id="94"/>
    <w:p w14:paraId="0E4B7F9C" w14:textId="6EFCDB4E" w:rsidR="00B525F4" w:rsidRPr="00121A6A" w:rsidRDefault="00B525F4" w:rsidP="00030EF2">
      <w:pPr>
        <w:spacing w:after="0"/>
        <w:jc w:val="both"/>
        <w:rPr>
          <w:sz w:val="24"/>
          <w:szCs w:val="24"/>
        </w:rPr>
      </w:pPr>
      <w:r w:rsidRPr="00121A6A">
        <w:rPr>
          <w:sz w:val="24"/>
          <w:szCs w:val="24"/>
        </w:rPr>
        <w:t xml:space="preserve">T. </w:t>
      </w:r>
      <w:proofErr w:type="spellStart"/>
      <w:r w:rsidRPr="00121A6A">
        <w:rPr>
          <w:sz w:val="24"/>
          <w:szCs w:val="24"/>
        </w:rPr>
        <w:t>Barkhuysen</w:t>
      </w:r>
      <w:proofErr w:type="spellEnd"/>
      <w:r w:rsidRPr="00121A6A">
        <w:rPr>
          <w:sz w:val="24"/>
          <w:szCs w:val="24"/>
        </w:rPr>
        <w:t>, A.W. Bos &amp; F. ten Have, ‘Een verkenning van de betekenis van het Handvest van de Grondrechten van de Europese Unie voor het privaatrecht</w:t>
      </w:r>
      <w:r w:rsidR="00380380" w:rsidRPr="00121A6A">
        <w:rPr>
          <w:sz w:val="24"/>
          <w:szCs w:val="24"/>
        </w:rPr>
        <w:t>. Deel 2: De verhouding van het Handvest tot het EVRM en de meerwaarde van het Handvest</w:t>
      </w:r>
      <w:r w:rsidRPr="00121A6A">
        <w:rPr>
          <w:sz w:val="24"/>
          <w:szCs w:val="24"/>
        </w:rPr>
        <w:t xml:space="preserve">’, </w:t>
      </w:r>
      <w:r w:rsidRPr="00121A6A">
        <w:rPr>
          <w:i/>
          <w:iCs/>
          <w:sz w:val="24"/>
          <w:szCs w:val="24"/>
        </w:rPr>
        <w:t xml:space="preserve">Nederlands Tijdschrift voor Burgerlijk Recht </w:t>
      </w:r>
      <w:r w:rsidRPr="00121A6A">
        <w:rPr>
          <w:sz w:val="24"/>
          <w:szCs w:val="24"/>
        </w:rPr>
        <w:t xml:space="preserve">2011/76, </w:t>
      </w:r>
      <w:r w:rsidR="003156A4" w:rsidRPr="00121A6A">
        <w:rPr>
          <w:sz w:val="24"/>
          <w:szCs w:val="24"/>
        </w:rPr>
        <w:t>a</w:t>
      </w:r>
      <w:r w:rsidRPr="00121A6A">
        <w:rPr>
          <w:sz w:val="24"/>
          <w:szCs w:val="24"/>
        </w:rPr>
        <w:t>fl. 10</w:t>
      </w:r>
      <w:r w:rsidR="00380380" w:rsidRPr="00121A6A">
        <w:rPr>
          <w:sz w:val="24"/>
          <w:szCs w:val="24"/>
        </w:rPr>
        <w:t>, p. 547-557.</w:t>
      </w:r>
    </w:p>
    <w:p w14:paraId="3153BCBF" w14:textId="77777777" w:rsidR="00325AB3" w:rsidRPr="00121A6A" w:rsidRDefault="00325AB3" w:rsidP="00030EF2">
      <w:pPr>
        <w:spacing w:after="0"/>
        <w:jc w:val="both"/>
        <w:rPr>
          <w:sz w:val="24"/>
          <w:szCs w:val="24"/>
        </w:rPr>
      </w:pPr>
    </w:p>
    <w:p w14:paraId="6D46062D" w14:textId="3267E80E" w:rsidR="00325AB3" w:rsidRPr="00121A6A" w:rsidRDefault="00325AB3" w:rsidP="00030EF2">
      <w:pPr>
        <w:spacing w:after="0"/>
        <w:jc w:val="both"/>
        <w:rPr>
          <w:b/>
          <w:bCs/>
          <w:sz w:val="24"/>
          <w:szCs w:val="24"/>
          <w:lang w:val="en-US"/>
        </w:rPr>
      </w:pPr>
      <w:proofErr w:type="spellStart"/>
      <w:r w:rsidRPr="00121A6A">
        <w:rPr>
          <w:b/>
          <w:bCs/>
          <w:sz w:val="24"/>
          <w:szCs w:val="24"/>
          <w:lang w:val="en-US"/>
        </w:rPr>
        <w:t>Barkhuysen</w:t>
      </w:r>
      <w:proofErr w:type="spellEnd"/>
      <w:r w:rsidRPr="00121A6A">
        <w:rPr>
          <w:b/>
          <w:bCs/>
          <w:sz w:val="24"/>
          <w:szCs w:val="24"/>
          <w:lang w:val="en-US"/>
        </w:rPr>
        <w:t xml:space="preserve"> &amp; Van Emmerik 2023</w:t>
      </w:r>
    </w:p>
    <w:p w14:paraId="692AF35F" w14:textId="37E1AF49" w:rsidR="00DC3A37" w:rsidRPr="00121A6A" w:rsidRDefault="00325AB3" w:rsidP="00030EF2">
      <w:pPr>
        <w:spacing w:after="0"/>
        <w:jc w:val="both"/>
        <w:rPr>
          <w:sz w:val="24"/>
          <w:szCs w:val="24"/>
          <w:lang w:val="en-US"/>
        </w:rPr>
      </w:pPr>
      <w:r w:rsidRPr="00121A6A">
        <w:rPr>
          <w:sz w:val="24"/>
          <w:szCs w:val="24"/>
          <w:lang w:val="en-US"/>
        </w:rPr>
        <w:t xml:space="preserve">T. </w:t>
      </w:r>
      <w:proofErr w:type="spellStart"/>
      <w:r w:rsidRPr="00121A6A">
        <w:rPr>
          <w:sz w:val="24"/>
          <w:szCs w:val="24"/>
          <w:lang w:val="en-US"/>
        </w:rPr>
        <w:t>Barkhuysen</w:t>
      </w:r>
      <w:proofErr w:type="spellEnd"/>
      <w:r w:rsidRPr="00121A6A">
        <w:rPr>
          <w:sz w:val="24"/>
          <w:szCs w:val="24"/>
          <w:lang w:val="en-US"/>
        </w:rPr>
        <w:t xml:space="preserve"> &amp; M. van Emmerik, ‘Procedural Rights’, in: J. Gerards (red.), </w:t>
      </w:r>
      <w:r w:rsidRPr="00121A6A">
        <w:rPr>
          <w:i/>
          <w:iCs/>
          <w:sz w:val="24"/>
          <w:szCs w:val="24"/>
          <w:lang w:val="en-US"/>
        </w:rPr>
        <w:t>Fundamental Rights. The European and International Dimension</w:t>
      </w:r>
      <w:r w:rsidRPr="00121A6A">
        <w:rPr>
          <w:sz w:val="24"/>
          <w:szCs w:val="24"/>
          <w:lang w:val="en-US"/>
        </w:rPr>
        <w:t>, Cambridge University Press 2023</w:t>
      </w:r>
      <w:r w:rsidR="00380380" w:rsidRPr="00121A6A">
        <w:rPr>
          <w:sz w:val="24"/>
          <w:szCs w:val="24"/>
          <w:lang w:val="en-US"/>
        </w:rPr>
        <w:t xml:space="preserve">, p. </w:t>
      </w:r>
      <w:r w:rsidR="003156A4" w:rsidRPr="00121A6A">
        <w:rPr>
          <w:sz w:val="24"/>
          <w:szCs w:val="24"/>
          <w:lang w:val="en-US"/>
        </w:rPr>
        <w:t>282-308.</w:t>
      </w:r>
    </w:p>
    <w:p w14:paraId="664AC99C" w14:textId="77777777" w:rsidR="0031639C" w:rsidRPr="00121A6A" w:rsidRDefault="0031639C" w:rsidP="00DC3A37">
      <w:pPr>
        <w:spacing w:after="0"/>
        <w:jc w:val="both"/>
        <w:rPr>
          <w:sz w:val="24"/>
          <w:szCs w:val="24"/>
          <w:lang w:val="en-US"/>
        </w:rPr>
      </w:pPr>
    </w:p>
    <w:p w14:paraId="3BD93EBB" w14:textId="6714369D" w:rsidR="0031639C" w:rsidRPr="00121A6A" w:rsidRDefault="0031639C" w:rsidP="0031639C">
      <w:pPr>
        <w:spacing w:after="0"/>
        <w:jc w:val="both"/>
        <w:rPr>
          <w:b/>
          <w:bCs/>
          <w:sz w:val="24"/>
          <w:szCs w:val="24"/>
          <w:lang w:val="en-US"/>
        </w:rPr>
      </w:pPr>
      <w:r w:rsidRPr="00121A6A">
        <w:rPr>
          <w:b/>
          <w:bCs/>
          <w:sz w:val="24"/>
          <w:szCs w:val="24"/>
          <w:lang w:val="en-US"/>
        </w:rPr>
        <w:t xml:space="preserve">Barnard, </w:t>
      </w:r>
      <w:r w:rsidRPr="00121A6A">
        <w:rPr>
          <w:b/>
          <w:bCs/>
          <w:i/>
          <w:iCs/>
          <w:sz w:val="24"/>
          <w:szCs w:val="24"/>
          <w:lang w:val="en-US"/>
        </w:rPr>
        <w:t>CLJ</w:t>
      </w:r>
      <w:r w:rsidRPr="00121A6A">
        <w:rPr>
          <w:b/>
          <w:bCs/>
          <w:sz w:val="24"/>
          <w:szCs w:val="24"/>
          <w:lang w:val="en-US"/>
        </w:rPr>
        <w:t xml:space="preserve"> 2008</w:t>
      </w:r>
    </w:p>
    <w:p w14:paraId="6E416842" w14:textId="0064CDF1" w:rsidR="0031639C" w:rsidRPr="00121A6A" w:rsidRDefault="0031639C" w:rsidP="0031639C">
      <w:pPr>
        <w:spacing w:after="0"/>
        <w:jc w:val="both"/>
        <w:rPr>
          <w:sz w:val="24"/>
          <w:szCs w:val="24"/>
          <w:lang w:val="en-US"/>
        </w:rPr>
      </w:pPr>
      <w:r w:rsidRPr="00121A6A">
        <w:rPr>
          <w:sz w:val="24"/>
          <w:szCs w:val="24"/>
          <w:lang w:val="en-US"/>
        </w:rPr>
        <w:t xml:space="preserve">C. Barnard, ‘Social dumping or Dumping socialism?’, </w:t>
      </w:r>
      <w:r w:rsidRPr="00121A6A">
        <w:rPr>
          <w:i/>
          <w:iCs/>
          <w:sz w:val="24"/>
          <w:szCs w:val="24"/>
          <w:lang w:val="en-US"/>
        </w:rPr>
        <w:t>Cambridge Law Journal</w:t>
      </w:r>
      <w:r w:rsidRPr="00121A6A">
        <w:rPr>
          <w:sz w:val="24"/>
          <w:szCs w:val="24"/>
          <w:lang w:val="en-US"/>
        </w:rPr>
        <w:t xml:space="preserve"> 2008</w:t>
      </w:r>
      <w:r w:rsidR="00C55BCB" w:rsidRPr="00121A6A">
        <w:rPr>
          <w:sz w:val="24"/>
          <w:szCs w:val="24"/>
          <w:lang w:val="en-US"/>
        </w:rPr>
        <w:t xml:space="preserve">, </w:t>
      </w:r>
      <w:proofErr w:type="spellStart"/>
      <w:r w:rsidR="00C55BCB" w:rsidRPr="00121A6A">
        <w:rPr>
          <w:sz w:val="24"/>
          <w:szCs w:val="24"/>
          <w:lang w:val="en-US"/>
        </w:rPr>
        <w:t>afl</w:t>
      </w:r>
      <w:proofErr w:type="spellEnd"/>
      <w:r w:rsidR="00C55BCB" w:rsidRPr="00121A6A">
        <w:rPr>
          <w:sz w:val="24"/>
          <w:szCs w:val="24"/>
          <w:lang w:val="en-US"/>
        </w:rPr>
        <w:t xml:space="preserve">. 2, </w:t>
      </w:r>
      <w:r w:rsidRPr="00121A6A">
        <w:rPr>
          <w:sz w:val="24"/>
          <w:szCs w:val="24"/>
          <w:lang w:val="en-US"/>
        </w:rPr>
        <w:t>p. 262-264.</w:t>
      </w:r>
    </w:p>
    <w:p w14:paraId="18484D33" w14:textId="77777777" w:rsidR="0031639C" w:rsidRPr="00121A6A" w:rsidRDefault="0031639C" w:rsidP="0031639C">
      <w:pPr>
        <w:spacing w:after="0"/>
        <w:jc w:val="both"/>
        <w:rPr>
          <w:sz w:val="24"/>
          <w:szCs w:val="24"/>
          <w:lang w:val="en-US"/>
        </w:rPr>
      </w:pPr>
    </w:p>
    <w:p w14:paraId="28C65906" w14:textId="22C28B5B" w:rsidR="0031639C" w:rsidRPr="00121A6A" w:rsidRDefault="0031639C" w:rsidP="0031639C">
      <w:pPr>
        <w:spacing w:after="0"/>
        <w:jc w:val="both"/>
        <w:rPr>
          <w:b/>
          <w:bCs/>
          <w:sz w:val="24"/>
          <w:szCs w:val="24"/>
          <w:lang w:val="en-US"/>
        </w:rPr>
      </w:pPr>
      <w:r w:rsidRPr="00121A6A">
        <w:rPr>
          <w:b/>
          <w:bCs/>
          <w:sz w:val="24"/>
          <w:szCs w:val="24"/>
          <w:lang w:val="en-US"/>
        </w:rPr>
        <w:t xml:space="preserve">Barnard, </w:t>
      </w:r>
      <w:r w:rsidRPr="00121A6A">
        <w:rPr>
          <w:b/>
          <w:bCs/>
          <w:i/>
          <w:iCs/>
          <w:sz w:val="24"/>
          <w:szCs w:val="24"/>
          <w:lang w:val="en-US"/>
        </w:rPr>
        <w:t>CLP</w:t>
      </w:r>
      <w:r w:rsidRPr="00121A6A">
        <w:rPr>
          <w:b/>
          <w:bCs/>
          <w:sz w:val="24"/>
          <w:szCs w:val="24"/>
          <w:lang w:val="en-US"/>
        </w:rPr>
        <w:t xml:space="preserve"> 2014</w:t>
      </w:r>
    </w:p>
    <w:p w14:paraId="5A3845C3" w14:textId="0BDC8D84" w:rsidR="0031639C" w:rsidRDefault="0031639C" w:rsidP="00DC3A37">
      <w:pPr>
        <w:spacing w:after="0"/>
        <w:jc w:val="both"/>
        <w:rPr>
          <w:sz w:val="24"/>
          <w:szCs w:val="24"/>
          <w:lang w:val="en-US"/>
        </w:rPr>
      </w:pPr>
      <w:bookmarkStart w:id="95" w:name="_Hlk155951866"/>
      <w:r w:rsidRPr="00121A6A">
        <w:rPr>
          <w:sz w:val="24"/>
          <w:szCs w:val="24"/>
          <w:lang w:val="en-US"/>
        </w:rPr>
        <w:t xml:space="preserve">C. Barnard, ‘EU Employment Law and the European Social Model: The Past, the Present and the Future’, </w:t>
      </w:r>
      <w:r w:rsidRPr="00121A6A">
        <w:rPr>
          <w:i/>
          <w:iCs/>
          <w:sz w:val="24"/>
          <w:szCs w:val="24"/>
          <w:lang w:val="en-US"/>
        </w:rPr>
        <w:t>Current Legal Problems</w:t>
      </w:r>
      <w:r w:rsidRPr="00121A6A">
        <w:rPr>
          <w:sz w:val="24"/>
          <w:szCs w:val="24"/>
          <w:lang w:val="en-US"/>
        </w:rPr>
        <w:t xml:space="preserve"> 2014</w:t>
      </w:r>
      <w:r w:rsidR="00C55BCB" w:rsidRPr="00121A6A">
        <w:rPr>
          <w:sz w:val="24"/>
          <w:szCs w:val="24"/>
          <w:lang w:val="en-US"/>
        </w:rPr>
        <w:t xml:space="preserve">, </w:t>
      </w:r>
      <w:proofErr w:type="spellStart"/>
      <w:r w:rsidR="00C55BCB" w:rsidRPr="00121A6A">
        <w:rPr>
          <w:sz w:val="24"/>
          <w:szCs w:val="24"/>
          <w:lang w:val="en-US"/>
        </w:rPr>
        <w:t>afl</w:t>
      </w:r>
      <w:proofErr w:type="spellEnd"/>
      <w:r w:rsidR="00C55BCB" w:rsidRPr="00121A6A">
        <w:rPr>
          <w:sz w:val="24"/>
          <w:szCs w:val="24"/>
          <w:lang w:val="en-US"/>
        </w:rPr>
        <w:t>. 1,</w:t>
      </w:r>
      <w:r w:rsidRPr="00121A6A">
        <w:rPr>
          <w:sz w:val="24"/>
          <w:szCs w:val="24"/>
          <w:lang w:val="en-US"/>
        </w:rPr>
        <w:t xml:space="preserve"> p. 199-237.</w:t>
      </w:r>
      <w:bookmarkEnd w:id="95"/>
    </w:p>
    <w:p w14:paraId="3A2A7A6C" w14:textId="77777777" w:rsidR="000A53D3" w:rsidRDefault="000A53D3" w:rsidP="00DC3A37">
      <w:pPr>
        <w:spacing w:after="0"/>
        <w:jc w:val="both"/>
        <w:rPr>
          <w:sz w:val="24"/>
          <w:szCs w:val="24"/>
          <w:lang w:val="en-US"/>
        </w:rPr>
      </w:pPr>
    </w:p>
    <w:p w14:paraId="4F8EEE65" w14:textId="4E8A984A" w:rsidR="000A53D3" w:rsidRPr="000A53D3" w:rsidRDefault="000A53D3" w:rsidP="00DC3A37">
      <w:pPr>
        <w:spacing w:after="0"/>
        <w:jc w:val="both"/>
        <w:rPr>
          <w:b/>
          <w:bCs/>
          <w:sz w:val="24"/>
          <w:szCs w:val="24"/>
          <w:lang w:val="en-US"/>
        </w:rPr>
      </w:pPr>
      <w:r w:rsidRPr="000A53D3">
        <w:rPr>
          <w:b/>
          <w:bCs/>
          <w:sz w:val="24"/>
          <w:szCs w:val="24"/>
          <w:lang w:val="en-US"/>
        </w:rPr>
        <w:t>Barnard 2021</w:t>
      </w:r>
    </w:p>
    <w:p w14:paraId="3725A0C4" w14:textId="36FC9938" w:rsidR="00CD76EA" w:rsidRPr="00EF245F" w:rsidRDefault="000A53D3" w:rsidP="00DC3A37">
      <w:pPr>
        <w:spacing w:after="0"/>
        <w:jc w:val="both"/>
        <w:rPr>
          <w:sz w:val="24"/>
          <w:szCs w:val="24"/>
          <w:lang w:val="en-US"/>
        </w:rPr>
      </w:pPr>
      <w:r>
        <w:rPr>
          <w:sz w:val="24"/>
          <w:szCs w:val="24"/>
          <w:lang w:val="en-US"/>
        </w:rPr>
        <w:t xml:space="preserve">C. Barnard, ‘Right of Collective Bargaining and Action’, </w:t>
      </w:r>
      <w:r w:rsidRPr="00121A6A">
        <w:rPr>
          <w:sz w:val="24"/>
          <w:szCs w:val="24"/>
          <w:lang w:val="en-US"/>
        </w:rPr>
        <w:t xml:space="preserve">in: S. Peers </w:t>
      </w:r>
      <w:proofErr w:type="spellStart"/>
      <w:r w:rsidRPr="00121A6A">
        <w:rPr>
          <w:sz w:val="24"/>
          <w:szCs w:val="24"/>
          <w:lang w:val="en-US"/>
        </w:rPr>
        <w:t>e.a.</w:t>
      </w:r>
      <w:proofErr w:type="spellEnd"/>
      <w:r w:rsidRPr="00121A6A">
        <w:rPr>
          <w:sz w:val="24"/>
          <w:szCs w:val="24"/>
          <w:lang w:val="en-US"/>
        </w:rPr>
        <w:t xml:space="preserve"> (</w:t>
      </w:r>
      <w:r w:rsidR="00F14AC5">
        <w:rPr>
          <w:sz w:val="24"/>
          <w:szCs w:val="24"/>
          <w:lang w:val="en-US"/>
        </w:rPr>
        <w:t>eds</w:t>
      </w:r>
      <w:r w:rsidRPr="00121A6A">
        <w:rPr>
          <w:sz w:val="24"/>
          <w:szCs w:val="24"/>
          <w:lang w:val="en-US"/>
        </w:rPr>
        <w:t xml:space="preserve">.), </w:t>
      </w:r>
      <w:r w:rsidRPr="00121A6A">
        <w:rPr>
          <w:i/>
          <w:iCs/>
          <w:sz w:val="24"/>
          <w:szCs w:val="24"/>
          <w:lang w:val="en-US"/>
        </w:rPr>
        <w:t xml:space="preserve">The EU Charter of Fundamental Rights: </w:t>
      </w:r>
      <w:r>
        <w:rPr>
          <w:i/>
          <w:iCs/>
          <w:sz w:val="24"/>
          <w:szCs w:val="24"/>
          <w:lang w:val="en-US"/>
        </w:rPr>
        <w:t>A</w:t>
      </w:r>
      <w:r w:rsidRPr="00121A6A">
        <w:rPr>
          <w:i/>
          <w:iCs/>
          <w:sz w:val="24"/>
          <w:szCs w:val="24"/>
          <w:lang w:val="en-US"/>
        </w:rPr>
        <w:t xml:space="preserve"> commentary</w:t>
      </w:r>
      <w:r w:rsidRPr="00121A6A">
        <w:rPr>
          <w:sz w:val="24"/>
          <w:szCs w:val="24"/>
          <w:lang w:val="en-US"/>
        </w:rPr>
        <w:t xml:space="preserve">, Oxford, </w:t>
      </w:r>
      <w:r w:rsidR="00BF18AC">
        <w:rPr>
          <w:sz w:val="24"/>
          <w:szCs w:val="24"/>
          <w:lang w:val="en-US"/>
        </w:rPr>
        <w:t>UK</w:t>
      </w:r>
      <w:r w:rsidRPr="00121A6A">
        <w:rPr>
          <w:sz w:val="24"/>
          <w:szCs w:val="24"/>
          <w:lang w:val="en-US"/>
        </w:rPr>
        <w:t>: Hart Publishing 2021,</w:t>
      </w:r>
      <w:r>
        <w:rPr>
          <w:sz w:val="24"/>
          <w:szCs w:val="24"/>
          <w:lang w:val="en-US"/>
        </w:rPr>
        <w:t xml:space="preserve"> p. 805-826.</w:t>
      </w:r>
    </w:p>
    <w:p w14:paraId="2E07D4E4" w14:textId="77777777" w:rsidR="00CD76EA" w:rsidRDefault="00CD76EA" w:rsidP="00DC3A37">
      <w:pPr>
        <w:spacing w:after="0"/>
        <w:jc w:val="both"/>
        <w:rPr>
          <w:b/>
          <w:bCs/>
          <w:sz w:val="24"/>
          <w:szCs w:val="24"/>
          <w:lang w:val="en-US"/>
        </w:rPr>
      </w:pPr>
    </w:p>
    <w:p w14:paraId="69F7DBDB" w14:textId="77777777" w:rsidR="00EF245F" w:rsidRDefault="00EF245F" w:rsidP="00DC3A37">
      <w:pPr>
        <w:spacing w:after="0"/>
        <w:jc w:val="both"/>
        <w:rPr>
          <w:b/>
          <w:bCs/>
          <w:sz w:val="24"/>
          <w:szCs w:val="24"/>
          <w:lang w:val="en-US"/>
        </w:rPr>
      </w:pPr>
    </w:p>
    <w:p w14:paraId="59E02FE3" w14:textId="77777777" w:rsidR="00EF245F" w:rsidRDefault="00EF245F" w:rsidP="00DC3A37">
      <w:pPr>
        <w:spacing w:after="0"/>
        <w:jc w:val="both"/>
        <w:rPr>
          <w:b/>
          <w:bCs/>
          <w:sz w:val="24"/>
          <w:szCs w:val="24"/>
          <w:lang w:val="en-US"/>
        </w:rPr>
      </w:pPr>
    </w:p>
    <w:p w14:paraId="46D1AB51" w14:textId="64BA4B1B" w:rsidR="005973F9" w:rsidRPr="00121A6A" w:rsidRDefault="005973F9" w:rsidP="00DC3A37">
      <w:pPr>
        <w:spacing w:after="0"/>
        <w:jc w:val="both"/>
        <w:rPr>
          <w:b/>
          <w:bCs/>
          <w:sz w:val="24"/>
          <w:szCs w:val="24"/>
          <w:lang w:val="en-US"/>
        </w:rPr>
      </w:pPr>
      <w:proofErr w:type="spellStart"/>
      <w:r w:rsidRPr="00121A6A">
        <w:rPr>
          <w:b/>
          <w:bCs/>
          <w:sz w:val="24"/>
          <w:szCs w:val="24"/>
          <w:lang w:val="en-US"/>
        </w:rPr>
        <w:lastRenderedPageBreak/>
        <w:t>Bercusson</w:t>
      </w:r>
      <w:proofErr w:type="spellEnd"/>
      <w:r w:rsidRPr="00121A6A">
        <w:rPr>
          <w:b/>
          <w:bCs/>
          <w:sz w:val="24"/>
          <w:szCs w:val="24"/>
          <w:lang w:val="en-US"/>
        </w:rPr>
        <w:t xml:space="preserve">, </w:t>
      </w:r>
      <w:r w:rsidRPr="00121A6A">
        <w:rPr>
          <w:b/>
          <w:bCs/>
          <w:i/>
          <w:iCs/>
          <w:sz w:val="24"/>
          <w:szCs w:val="24"/>
          <w:lang w:val="en-US"/>
        </w:rPr>
        <w:t xml:space="preserve">ELJ </w:t>
      </w:r>
      <w:r w:rsidRPr="00121A6A">
        <w:rPr>
          <w:b/>
          <w:bCs/>
          <w:sz w:val="24"/>
          <w:szCs w:val="24"/>
          <w:lang w:val="en-US"/>
        </w:rPr>
        <w:t>2007</w:t>
      </w:r>
    </w:p>
    <w:p w14:paraId="6E335FAA" w14:textId="5587CCD7" w:rsidR="005973F9" w:rsidRDefault="005973F9" w:rsidP="00DC3A37">
      <w:pPr>
        <w:spacing w:after="0"/>
        <w:jc w:val="both"/>
        <w:rPr>
          <w:sz w:val="24"/>
          <w:szCs w:val="24"/>
          <w:lang w:val="en-US"/>
        </w:rPr>
      </w:pPr>
      <w:r w:rsidRPr="00121A6A">
        <w:rPr>
          <w:sz w:val="24"/>
          <w:szCs w:val="24"/>
          <w:lang w:val="en-US"/>
        </w:rPr>
        <w:t xml:space="preserve">B. </w:t>
      </w:r>
      <w:proofErr w:type="spellStart"/>
      <w:r w:rsidRPr="00121A6A">
        <w:rPr>
          <w:sz w:val="24"/>
          <w:szCs w:val="24"/>
          <w:lang w:val="en-US"/>
        </w:rPr>
        <w:t>Bercusson</w:t>
      </w:r>
      <w:proofErr w:type="spellEnd"/>
      <w:r w:rsidRPr="00121A6A">
        <w:rPr>
          <w:sz w:val="24"/>
          <w:szCs w:val="24"/>
          <w:lang w:val="en-US"/>
        </w:rPr>
        <w:t xml:space="preserve">, ‘The Trade Union Movement and the European Union: Judgment Day’, </w:t>
      </w:r>
      <w:r w:rsidRPr="00121A6A">
        <w:rPr>
          <w:i/>
          <w:iCs/>
          <w:sz w:val="24"/>
          <w:szCs w:val="24"/>
          <w:lang w:val="en-US"/>
        </w:rPr>
        <w:t>European Law Journal</w:t>
      </w:r>
      <w:r w:rsidRPr="00121A6A">
        <w:rPr>
          <w:sz w:val="24"/>
          <w:szCs w:val="24"/>
          <w:lang w:val="en-US"/>
        </w:rPr>
        <w:t xml:space="preserve"> 2007</w:t>
      </w:r>
      <w:r w:rsidR="00C55BCB" w:rsidRPr="00121A6A">
        <w:rPr>
          <w:sz w:val="24"/>
          <w:szCs w:val="24"/>
          <w:lang w:val="en-US"/>
        </w:rPr>
        <w:t xml:space="preserve">, </w:t>
      </w:r>
      <w:proofErr w:type="spellStart"/>
      <w:r w:rsidR="00C55BCB" w:rsidRPr="00121A6A">
        <w:rPr>
          <w:sz w:val="24"/>
          <w:szCs w:val="24"/>
          <w:lang w:val="en-US"/>
        </w:rPr>
        <w:t>afl</w:t>
      </w:r>
      <w:proofErr w:type="spellEnd"/>
      <w:r w:rsidR="00C55BCB" w:rsidRPr="00121A6A">
        <w:rPr>
          <w:sz w:val="24"/>
          <w:szCs w:val="24"/>
          <w:lang w:val="en-US"/>
        </w:rPr>
        <w:t>. 3</w:t>
      </w:r>
      <w:r w:rsidRPr="00121A6A">
        <w:rPr>
          <w:sz w:val="24"/>
          <w:szCs w:val="24"/>
          <w:lang w:val="en-US"/>
        </w:rPr>
        <w:t>, p. 279-308.</w:t>
      </w:r>
    </w:p>
    <w:p w14:paraId="601CCF00" w14:textId="77777777" w:rsidR="008A28A9" w:rsidRDefault="008A28A9" w:rsidP="00DC3A37">
      <w:pPr>
        <w:spacing w:after="0"/>
        <w:jc w:val="both"/>
        <w:rPr>
          <w:sz w:val="24"/>
          <w:szCs w:val="24"/>
          <w:lang w:val="en-US"/>
        </w:rPr>
      </w:pPr>
    </w:p>
    <w:p w14:paraId="055C9050" w14:textId="10A46129" w:rsidR="008A28A9" w:rsidRDefault="008A28A9" w:rsidP="00DC3A37">
      <w:pPr>
        <w:spacing w:after="0"/>
        <w:jc w:val="both"/>
        <w:rPr>
          <w:b/>
          <w:bCs/>
          <w:sz w:val="24"/>
          <w:szCs w:val="24"/>
          <w:lang w:val="en-US"/>
        </w:rPr>
      </w:pPr>
      <w:r w:rsidRPr="008A28A9">
        <w:rPr>
          <w:b/>
          <w:bCs/>
          <w:sz w:val="24"/>
          <w:szCs w:val="24"/>
          <w:lang w:val="en-US"/>
        </w:rPr>
        <w:t>Besselink 2012</w:t>
      </w:r>
    </w:p>
    <w:p w14:paraId="0ABBD7A6" w14:textId="00CAF957" w:rsidR="008A28A9" w:rsidRPr="008A28A9" w:rsidRDefault="008A28A9" w:rsidP="00DC3A37">
      <w:pPr>
        <w:spacing w:after="0"/>
        <w:jc w:val="both"/>
        <w:rPr>
          <w:sz w:val="24"/>
          <w:szCs w:val="24"/>
          <w:lang w:val="en-US"/>
        </w:rPr>
      </w:pPr>
      <w:r>
        <w:rPr>
          <w:sz w:val="24"/>
          <w:szCs w:val="24"/>
          <w:lang w:val="en-US"/>
        </w:rPr>
        <w:t>L.F.M.</w:t>
      </w:r>
      <w:r w:rsidRPr="008A28A9">
        <w:rPr>
          <w:sz w:val="24"/>
          <w:szCs w:val="24"/>
          <w:lang w:val="en-US"/>
        </w:rPr>
        <w:t xml:space="preserve"> Besselink, ‘The Protection of Fundamental Rights post-Lisbon: The Interaction between the Charter of Fundamental Rights of the European Union, the European Convention on Human Rights and National Constitutions’</w:t>
      </w:r>
      <w:r>
        <w:rPr>
          <w:sz w:val="24"/>
          <w:szCs w:val="24"/>
          <w:lang w:val="en-US"/>
        </w:rPr>
        <w:t>, in:</w:t>
      </w:r>
      <w:r w:rsidRPr="008A28A9">
        <w:rPr>
          <w:sz w:val="24"/>
          <w:szCs w:val="24"/>
          <w:lang w:val="en-US"/>
        </w:rPr>
        <w:t xml:space="preserve"> </w:t>
      </w:r>
      <w:r w:rsidRPr="008A28A9">
        <w:rPr>
          <w:i/>
          <w:iCs/>
          <w:sz w:val="24"/>
          <w:szCs w:val="24"/>
          <w:lang w:val="en-US"/>
        </w:rPr>
        <w:t>Reports of the XXV FIDE Congress</w:t>
      </w:r>
      <w:r>
        <w:rPr>
          <w:i/>
          <w:iCs/>
          <w:sz w:val="24"/>
          <w:szCs w:val="24"/>
          <w:lang w:val="en-US"/>
        </w:rPr>
        <w:t xml:space="preserve"> </w:t>
      </w:r>
      <w:r w:rsidRPr="008A28A9">
        <w:rPr>
          <w:i/>
          <w:iCs/>
          <w:sz w:val="24"/>
          <w:szCs w:val="24"/>
          <w:lang w:val="en-US"/>
        </w:rPr>
        <w:t>Tallinn</w:t>
      </w:r>
      <w:r>
        <w:rPr>
          <w:i/>
          <w:iCs/>
          <w:sz w:val="24"/>
          <w:szCs w:val="24"/>
          <w:lang w:val="en-US"/>
        </w:rPr>
        <w:t xml:space="preserve"> 2012</w:t>
      </w:r>
      <w:r>
        <w:rPr>
          <w:sz w:val="24"/>
          <w:szCs w:val="24"/>
          <w:lang w:val="en-US"/>
        </w:rPr>
        <w:t xml:space="preserve">, Tallinn: </w:t>
      </w:r>
      <w:r w:rsidRPr="008A28A9">
        <w:rPr>
          <w:sz w:val="24"/>
          <w:szCs w:val="24"/>
          <w:lang w:val="en-US"/>
        </w:rPr>
        <w:t>Tartu University Press 2012</w:t>
      </w:r>
      <w:r>
        <w:rPr>
          <w:sz w:val="24"/>
          <w:szCs w:val="24"/>
          <w:lang w:val="en-US"/>
        </w:rPr>
        <w:t>, p. 63-139.</w:t>
      </w:r>
    </w:p>
    <w:p w14:paraId="1873B52C" w14:textId="77777777" w:rsidR="00956E5D" w:rsidRPr="00121A6A" w:rsidRDefault="00956E5D" w:rsidP="00DC3A37">
      <w:pPr>
        <w:spacing w:after="0"/>
        <w:jc w:val="both"/>
        <w:rPr>
          <w:sz w:val="24"/>
          <w:szCs w:val="24"/>
          <w:lang w:val="en-US"/>
        </w:rPr>
      </w:pPr>
    </w:p>
    <w:p w14:paraId="7B6BDDA0" w14:textId="22A26081" w:rsidR="00956E5D" w:rsidRPr="00121A6A" w:rsidRDefault="00956E5D" w:rsidP="00DC3A37">
      <w:pPr>
        <w:spacing w:after="0"/>
        <w:jc w:val="both"/>
        <w:rPr>
          <w:b/>
          <w:bCs/>
          <w:sz w:val="24"/>
          <w:szCs w:val="24"/>
          <w:lang w:val="en-US"/>
        </w:rPr>
      </w:pPr>
      <w:r w:rsidRPr="00121A6A">
        <w:rPr>
          <w:b/>
          <w:bCs/>
          <w:sz w:val="24"/>
          <w:szCs w:val="24"/>
          <w:lang w:val="en-US"/>
        </w:rPr>
        <w:t>Bobek 2011</w:t>
      </w:r>
    </w:p>
    <w:p w14:paraId="3C1F70C5" w14:textId="1EC493C6" w:rsidR="00956E5D" w:rsidRPr="00121A6A" w:rsidRDefault="00956E5D" w:rsidP="00DC3A37">
      <w:pPr>
        <w:spacing w:after="0"/>
        <w:jc w:val="both"/>
        <w:rPr>
          <w:sz w:val="24"/>
          <w:szCs w:val="24"/>
          <w:lang w:val="en-GB"/>
        </w:rPr>
      </w:pPr>
      <w:r w:rsidRPr="00121A6A">
        <w:rPr>
          <w:sz w:val="24"/>
          <w:szCs w:val="24"/>
          <w:lang w:val="en-GB"/>
        </w:rPr>
        <w:t xml:space="preserve">M. Bobek, ‘Why There Is No Principle of </w:t>
      </w:r>
      <w:r w:rsidR="003156A4" w:rsidRPr="00121A6A">
        <w:rPr>
          <w:sz w:val="24"/>
          <w:szCs w:val="24"/>
          <w:lang w:val="en-GB"/>
        </w:rPr>
        <w:t>‘</w:t>
      </w:r>
      <w:r w:rsidRPr="00121A6A">
        <w:rPr>
          <w:sz w:val="24"/>
          <w:szCs w:val="24"/>
          <w:lang w:val="en-GB"/>
        </w:rPr>
        <w:t>Procedural Autonomy</w:t>
      </w:r>
      <w:r w:rsidR="003156A4" w:rsidRPr="00121A6A">
        <w:rPr>
          <w:sz w:val="24"/>
          <w:szCs w:val="24"/>
          <w:lang w:val="en-GB"/>
        </w:rPr>
        <w:t>’</w:t>
      </w:r>
      <w:r w:rsidRPr="00121A6A">
        <w:rPr>
          <w:sz w:val="24"/>
          <w:szCs w:val="24"/>
          <w:lang w:val="en-GB"/>
        </w:rPr>
        <w:t xml:space="preserve"> of the Member States’, in: B. de Witte &amp; H. </w:t>
      </w:r>
      <w:proofErr w:type="spellStart"/>
      <w:r w:rsidRPr="00121A6A">
        <w:rPr>
          <w:sz w:val="24"/>
          <w:szCs w:val="24"/>
          <w:lang w:val="en-GB"/>
        </w:rPr>
        <w:t>Micklitz</w:t>
      </w:r>
      <w:proofErr w:type="spellEnd"/>
      <w:r w:rsidRPr="00121A6A">
        <w:rPr>
          <w:sz w:val="24"/>
          <w:szCs w:val="24"/>
          <w:lang w:val="en-GB"/>
        </w:rPr>
        <w:t xml:space="preserve"> (</w:t>
      </w:r>
      <w:r w:rsidR="00F14AC5">
        <w:rPr>
          <w:sz w:val="24"/>
          <w:szCs w:val="24"/>
          <w:lang w:val="en-GB"/>
        </w:rPr>
        <w:t>eds</w:t>
      </w:r>
      <w:r w:rsidRPr="00121A6A">
        <w:rPr>
          <w:sz w:val="24"/>
          <w:szCs w:val="24"/>
          <w:lang w:val="en-GB"/>
        </w:rPr>
        <w:t xml:space="preserve">.), </w:t>
      </w:r>
      <w:r w:rsidRPr="00121A6A">
        <w:rPr>
          <w:i/>
          <w:iCs/>
          <w:sz w:val="24"/>
          <w:szCs w:val="24"/>
          <w:lang w:val="en-GB"/>
        </w:rPr>
        <w:t>The European Court of Justice and the Autonomy of the Member States</w:t>
      </w:r>
      <w:r w:rsidRPr="00121A6A">
        <w:rPr>
          <w:sz w:val="24"/>
          <w:szCs w:val="24"/>
          <w:lang w:val="en-GB"/>
        </w:rPr>
        <w:t xml:space="preserve">, Antwerp: </w:t>
      </w:r>
      <w:proofErr w:type="spellStart"/>
      <w:r w:rsidRPr="00121A6A">
        <w:rPr>
          <w:sz w:val="24"/>
          <w:szCs w:val="24"/>
          <w:lang w:val="en-GB"/>
        </w:rPr>
        <w:t>Intersentia</w:t>
      </w:r>
      <w:proofErr w:type="spellEnd"/>
      <w:r w:rsidRPr="00121A6A">
        <w:rPr>
          <w:sz w:val="24"/>
          <w:szCs w:val="24"/>
          <w:lang w:val="en-GB"/>
        </w:rPr>
        <w:t xml:space="preserve"> 2011</w:t>
      </w:r>
      <w:r w:rsidR="003156A4" w:rsidRPr="00121A6A">
        <w:rPr>
          <w:sz w:val="24"/>
          <w:szCs w:val="24"/>
          <w:lang w:val="en-GB"/>
        </w:rPr>
        <w:t>, p. 305-322.</w:t>
      </w:r>
    </w:p>
    <w:p w14:paraId="69E7902C" w14:textId="77777777" w:rsidR="00C869AE" w:rsidRPr="00121A6A" w:rsidRDefault="00C869AE" w:rsidP="00030EF2">
      <w:pPr>
        <w:spacing w:after="0"/>
        <w:jc w:val="both"/>
        <w:rPr>
          <w:b/>
          <w:bCs/>
          <w:sz w:val="24"/>
          <w:szCs w:val="24"/>
          <w:lang w:val="en-US"/>
        </w:rPr>
      </w:pPr>
    </w:p>
    <w:p w14:paraId="47721848" w14:textId="5CC8F655" w:rsidR="00827D1E" w:rsidRPr="00121A6A" w:rsidRDefault="00827D1E" w:rsidP="00030EF2">
      <w:pPr>
        <w:spacing w:after="0"/>
        <w:jc w:val="both"/>
        <w:rPr>
          <w:b/>
          <w:bCs/>
          <w:sz w:val="24"/>
          <w:szCs w:val="24"/>
          <w:lang w:val="en-US"/>
        </w:rPr>
      </w:pPr>
      <w:r w:rsidRPr="00121A6A">
        <w:rPr>
          <w:b/>
          <w:bCs/>
          <w:sz w:val="24"/>
          <w:szCs w:val="24"/>
          <w:lang w:val="en-US"/>
        </w:rPr>
        <w:t>Bodnar 201</w:t>
      </w:r>
      <w:r w:rsidR="00732740" w:rsidRPr="00121A6A">
        <w:rPr>
          <w:b/>
          <w:bCs/>
          <w:sz w:val="24"/>
          <w:szCs w:val="24"/>
          <w:lang w:val="en-US"/>
        </w:rPr>
        <w:t>4</w:t>
      </w:r>
    </w:p>
    <w:p w14:paraId="1254FA4B" w14:textId="6537D86C" w:rsidR="00827D1E" w:rsidRPr="00121A6A" w:rsidRDefault="00827D1E" w:rsidP="00030EF2">
      <w:pPr>
        <w:spacing w:after="0"/>
        <w:jc w:val="both"/>
        <w:rPr>
          <w:sz w:val="24"/>
          <w:szCs w:val="24"/>
          <w:lang w:val="en-US"/>
        </w:rPr>
      </w:pPr>
      <w:r w:rsidRPr="00121A6A">
        <w:rPr>
          <w:sz w:val="24"/>
          <w:szCs w:val="24"/>
          <w:lang w:val="en-US"/>
        </w:rPr>
        <w:t xml:space="preserve">A. Bodnar, ‘Res </w:t>
      </w:r>
      <w:proofErr w:type="spellStart"/>
      <w:r w:rsidRPr="00121A6A">
        <w:rPr>
          <w:sz w:val="24"/>
          <w:szCs w:val="24"/>
          <w:lang w:val="en-US"/>
        </w:rPr>
        <w:t>Interpretata</w:t>
      </w:r>
      <w:proofErr w:type="spellEnd"/>
      <w:r w:rsidRPr="00121A6A">
        <w:rPr>
          <w:sz w:val="24"/>
          <w:szCs w:val="24"/>
          <w:lang w:val="en-US"/>
        </w:rPr>
        <w:t>. Legal Effect of the European Court of Human Rights' Judgments for Other States than Those Which Were Party to the Proceedings’, in: Y. Haeck &amp; E. Brems (</w:t>
      </w:r>
      <w:r w:rsidR="00F14AC5">
        <w:rPr>
          <w:sz w:val="24"/>
          <w:szCs w:val="24"/>
          <w:lang w:val="en-US"/>
        </w:rPr>
        <w:t>eds</w:t>
      </w:r>
      <w:r w:rsidRPr="00121A6A">
        <w:rPr>
          <w:sz w:val="24"/>
          <w:szCs w:val="24"/>
          <w:lang w:val="en-US"/>
        </w:rPr>
        <w:t xml:space="preserve">.), </w:t>
      </w:r>
      <w:r w:rsidRPr="00121A6A">
        <w:rPr>
          <w:i/>
          <w:iCs/>
          <w:sz w:val="24"/>
          <w:szCs w:val="24"/>
          <w:lang w:val="en-US"/>
        </w:rPr>
        <w:t>Human Rights and Civil Liberties in the 21st Century</w:t>
      </w:r>
      <w:r w:rsidRPr="00121A6A">
        <w:rPr>
          <w:sz w:val="24"/>
          <w:szCs w:val="24"/>
          <w:lang w:val="en-US"/>
        </w:rPr>
        <w:t>, Dordrecht: Springer 2013, p. 223-262.</w:t>
      </w:r>
    </w:p>
    <w:p w14:paraId="31E196D4" w14:textId="77777777" w:rsidR="00FC05F4" w:rsidRPr="00121A6A" w:rsidRDefault="00FC05F4" w:rsidP="00030EF2">
      <w:pPr>
        <w:spacing w:after="0"/>
        <w:jc w:val="both"/>
        <w:rPr>
          <w:sz w:val="24"/>
          <w:szCs w:val="24"/>
          <w:lang w:val="en-US"/>
        </w:rPr>
      </w:pPr>
    </w:p>
    <w:p w14:paraId="368EF371" w14:textId="1F2AD823" w:rsidR="00FC05F4" w:rsidRPr="00121A6A" w:rsidRDefault="00FC05F4" w:rsidP="00030EF2">
      <w:pPr>
        <w:spacing w:after="0"/>
        <w:jc w:val="both"/>
        <w:rPr>
          <w:b/>
          <w:bCs/>
          <w:sz w:val="24"/>
          <w:szCs w:val="24"/>
        </w:rPr>
      </w:pPr>
      <w:r w:rsidRPr="00121A6A">
        <w:rPr>
          <w:b/>
          <w:bCs/>
          <w:sz w:val="24"/>
          <w:szCs w:val="24"/>
        </w:rPr>
        <w:t>Boonstra, Helmer &amp; Houwerzijl 2014</w:t>
      </w:r>
    </w:p>
    <w:p w14:paraId="5D5B8311" w14:textId="18A2B364" w:rsidR="00FC05F4" w:rsidRPr="00121A6A" w:rsidRDefault="00FC05F4" w:rsidP="00030EF2">
      <w:pPr>
        <w:spacing w:after="0"/>
        <w:jc w:val="both"/>
        <w:rPr>
          <w:sz w:val="24"/>
          <w:szCs w:val="24"/>
        </w:rPr>
      </w:pPr>
      <w:r w:rsidRPr="00121A6A">
        <w:rPr>
          <w:sz w:val="24"/>
          <w:szCs w:val="24"/>
        </w:rPr>
        <w:t>K. Boonstra, J.L.A. Helmer</w:t>
      </w:r>
      <w:r w:rsidR="00C869AE" w:rsidRPr="00121A6A">
        <w:rPr>
          <w:sz w:val="24"/>
          <w:szCs w:val="24"/>
        </w:rPr>
        <w:t xml:space="preserve"> &amp;</w:t>
      </w:r>
      <w:r w:rsidRPr="00121A6A">
        <w:rPr>
          <w:sz w:val="24"/>
          <w:szCs w:val="24"/>
        </w:rPr>
        <w:t xml:space="preserve"> M.S. Houwerzijl, ‘Kroniek van ontwikkelingen na ‘Viking/Laval’ in het (</w:t>
      </w:r>
      <w:proofErr w:type="spellStart"/>
      <w:r w:rsidRPr="00121A6A">
        <w:rPr>
          <w:sz w:val="24"/>
          <w:szCs w:val="24"/>
        </w:rPr>
        <w:t>stakings</w:t>
      </w:r>
      <w:proofErr w:type="spellEnd"/>
      <w:r w:rsidRPr="00121A6A">
        <w:rPr>
          <w:sz w:val="24"/>
          <w:szCs w:val="24"/>
        </w:rPr>
        <w:t xml:space="preserve">)recht van de EU, de ILO en de Raad van Europa’, in: L.C.J. Sprengers &amp; G.W. van der Voet (red.), </w:t>
      </w:r>
      <w:r w:rsidRPr="00121A6A">
        <w:rPr>
          <w:i/>
          <w:iCs/>
          <w:sz w:val="24"/>
          <w:szCs w:val="24"/>
        </w:rPr>
        <w:t xml:space="preserve">Arbeidsrechtelijke reflecties </w:t>
      </w:r>
      <w:r w:rsidRPr="00121A6A">
        <w:rPr>
          <w:sz w:val="24"/>
          <w:szCs w:val="24"/>
        </w:rPr>
        <w:t xml:space="preserve">(reeks </w:t>
      </w:r>
      <w:proofErr w:type="spellStart"/>
      <w:r w:rsidRPr="00121A6A">
        <w:rPr>
          <w:sz w:val="24"/>
          <w:szCs w:val="24"/>
        </w:rPr>
        <w:t>VvA</w:t>
      </w:r>
      <w:proofErr w:type="spellEnd"/>
      <w:r w:rsidRPr="00121A6A">
        <w:rPr>
          <w:sz w:val="24"/>
          <w:szCs w:val="24"/>
        </w:rPr>
        <w:t xml:space="preserve"> 42), Deventer: Kluwer 2014, p. 317-349.</w:t>
      </w:r>
    </w:p>
    <w:p w14:paraId="54D3FDB9" w14:textId="77777777" w:rsidR="006C1830" w:rsidRPr="00121A6A" w:rsidRDefault="006C1830" w:rsidP="00030EF2">
      <w:pPr>
        <w:spacing w:after="0"/>
        <w:jc w:val="both"/>
        <w:rPr>
          <w:bCs/>
          <w:sz w:val="24"/>
          <w:szCs w:val="24"/>
        </w:rPr>
      </w:pPr>
    </w:p>
    <w:p w14:paraId="5CDE9548" w14:textId="6211D1CE" w:rsidR="006C1830" w:rsidRPr="00121A6A" w:rsidRDefault="006C1830" w:rsidP="00030EF2">
      <w:pPr>
        <w:spacing w:after="0"/>
        <w:jc w:val="both"/>
        <w:rPr>
          <w:b/>
          <w:bCs/>
          <w:sz w:val="24"/>
          <w:szCs w:val="24"/>
          <w:lang w:val="en-US"/>
        </w:rPr>
      </w:pPr>
      <w:r w:rsidRPr="00121A6A">
        <w:rPr>
          <w:b/>
          <w:bCs/>
          <w:sz w:val="24"/>
          <w:szCs w:val="24"/>
          <w:lang w:val="en-US"/>
        </w:rPr>
        <w:t xml:space="preserve">Cecchetti, </w:t>
      </w:r>
      <w:r w:rsidRPr="00121A6A">
        <w:rPr>
          <w:b/>
          <w:bCs/>
          <w:i/>
          <w:iCs/>
          <w:sz w:val="24"/>
          <w:szCs w:val="24"/>
          <w:lang w:val="en-US"/>
        </w:rPr>
        <w:t>YEL</w:t>
      </w:r>
      <w:r w:rsidRPr="00121A6A">
        <w:rPr>
          <w:b/>
          <w:bCs/>
          <w:sz w:val="24"/>
          <w:szCs w:val="24"/>
          <w:lang w:val="en-US"/>
        </w:rPr>
        <w:t xml:space="preserve"> 2023</w:t>
      </w:r>
    </w:p>
    <w:p w14:paraId="0CD0A639" w14:textId="22BCEA38" w:rsidR="006C1830" w:rsidRPr="00121A6A" w:rsidRDefault="006C1830" w:rsidP="006C1830">
      <w:pPr>
        <w:spacing w:after="0"/>
        <w:jc w:val="both"/>
        <w:rPr>
          <w:sz w:val="24"/>
          <w:szCs w:val="24"/>
          <w:lang w:val="en-US"/>
        </w:rPr>
      </w:pPr>
      <w:r w:rsidRPr="00121A6A">
        <w:rPr>
          <w:sz w:val="24"/>
          <w:szCs w:val="24"/>
          <w:lang w:val="en-US"/>
        </w:rPr>
        <w:t>L. Cecchetti, ‘Unravelling horizontal direct effect in EU law: the case of the fundamental right to paid annual leave between ‘myth’ and ‘practice’</w:t>
      </w:r>
      <w:r w:rsidR="008F549C">
        <w:rPr>
          <w:sz w:val="24"/>
          <w:szCs w:val="24"/>
          <w:lang w:val="en-US"/>
        </w:rPr>
        <w:t>’</w:t>
      </w:r>
      <w:r w:rsidRPr="00121A6A">
        <w:rPr>
          <w:sz w:val="24"/>
          <w:szCs w:val="24"/>
          <w:lang w:val="en-US"/>
        </w:rPr>
        <w:t xml:space="preserve">, </w:t>
      </w:r>
      <w:r w:rsidRPr="00121A6A">
        <w:rPr>
          <w:i/>
          <w:iCs/>
          <w:sz w:val="24"/>
          <w:szCs w:val="24"/>
          <w:lang w:val="en-US"/>
        </w:rPr>
        <w:t>Yearbook of European Law</w:t>
      </w:r>
      <w:r w:rsidRPr="00121A6A">
        <w:rPr>
          <w:sz w:val="24"/>
          <w:szCs w:val="24"/>
          <w:lang w:val="en-US"/>
        </w:rPr>
        <w:t xml:space="preserve"> 2023, p. 1-42.</w:t>
      </w:r>
    </w:p>
    <w:p w14:paraId="7193275D" w14:textId="77777777" w:rsidR="00604216" w:rsidRPr="00121A6A" w:rsidRDefault="00604216" w:rsidP="00030EF2">
      <w:pPr>
        <w:spacing w:after="0"/>
        <w:jc w:val="both"/>
        <w:rPr>
          <w:sz w:val="24"/>
          <w:szCs w:val="24"/>
          <w:lang w:val="en-US"/>
        </w:rPr>
      </w:pPr>
    </w:p>
    <w:p w14:paraId="565C9B01" w14:textId="5466B51E" w:rsidR="00D46AF4" w:rsidRPr="00121A6A" w:rsidRDefault="00D46AF4" w:rsidP="00604216">
      <w:pPr>
        <w:spacing w:after="0"/>
        <w:jc w:val="both"/>
        <w:rPr>
          <w:b/>
          <w:bCs/>
          <w:sz w:val="24"/>
          <w:szCs w:val="24"/>
          <w:lang w:val="en-US"/>
        </w:rPr>
      </w:pPr>
      <w:r w:rsidRPr="00121A6A">
        <w:rPr>
          <w:b/>
          <w:bCs/>
          <w:sz w:val="24"/>
          <w:szCs w:val="24"/>
          <w:lang w:val="en-US"/>
        </w:rPr>
        <w:t xml:space="preserve">De </w:t>
      </w:r>
      <w:proofErr w:type="spellStart"/>
      <w:r w:rsidRPr="00121A6A">
        <w:rPr>
          <w:b/>
          <w:bCs/>
          <w:sz w:val="24"/>
          <w:szCs w:val="24"/>
          <w:lang w:val="en-US"/>
        </w:rPr>
        <w:t>Búrca</w:t>
      </w:r>
      <w:proofErr w:type="spellEnd"/>
      <w:r w:rsidRPr="00121A6A">
        <w:rPr>
          <w:b/>
          <w:bCs/>
          <w:sz w:val="24"/>
          <w:szCs w:val="24"/>
          <w:lang w:val="en-US"/>
        </w:rPr>
        <w:t xml:space="preserve">, </w:t>
      </w:r>
      <w:r w:rsidRPr="00121A6A">
        <w:rPr>
          <w:b/>
          <w:bCs/>
          <w:i/>
          <w:iCs/>
          <w:sz w:val="24"/>
          <w:szCs w:val="24"/>
          <w:lang w:val="en-US"/>
        </w:rPr>
        <w:t>MJECL</w:t>
      </w:r>
      <w:r w:rsidRPr="00121A6A">
        <w:rPr>
          <w:b/>
          <w:bCs/>
          <w:sz w:val="24"/>
          <w:szCs w:val="24"/>
          <w:lang w:val="en-US"/>
        </w:rPr>
        <w:t xml:space="preserve"> 2013</w:t>
      </w:r>
    </w:p>
    <w:p w14:paraId="64E866AC" w14:textId="254E2112" w:rsidR="00D46AF4" w:rsidRPr="00121A6A" w:rsidRDefault="00D46AF4" w:rsidP="00604216">
      <w:pPr>
        <w:spacing w:after="0"/>
        <w:jc w:val="both"/>
        <w:rPr>
          <w:sz w:val="24"/>
          <w:szCs w:val="24"/>
          <w:lang w:val="en-US"/>
        </w:rPr>
      </w:pPr>
      <w:r w:rsidRPr="00121A6A">
        <w:rPr>
          <w:sz w:val="24"/>
          <w:szCs w:val="24"/>
          <w:lang w:val="en-US"/>
        </w:rPr>
        <w:t xml:space="preserve">G. de </w:t>
      </w:r>
      <w:proofErr w:type="spellStart"/>
      <w:r w:rsidRPr="00121A6A">
        <w:rPr>
          <w:sz w:val="24"/>
          <w:szCs w:val="24"/>
          <w:lang w:val="en-US"/>
        </w:rPr>
        <w:t>Búrca</w:t>
      </w:r>
      <w:proofErr w:type="spellEnd"/>
      <w:r w:rsidRPr="00121A6A">
        <w:rPr>
          <w:sz w:val="24"/>
          <w:szCs w:val="24"/>
          <w:lang w:val="en-US"/>
        </w:rPr>
        <w:t>, ‘After the EU Charter of Fundamental Rights: The Court of Justice as a Human Rights Adjudicator?’,</w:t>
      </w:r>
      <w:r w:rsidRPr="00121A6A">
        <w:rPr>
          <w:b/>
          <w:bCs/>
          <w:sz w:val="24"/>
          <w:szCs w:val="24"/>
          <w:lang w:val="en-US"/>
        </w:rPr>
        <w:t xml:space="preserve"> </w:t>
      </w:r>
      <w:r w:rsidRPr="00121A6A">
        <w:rPr>
          <w:i/>
          <w:iCs/>
          <w:sz w:val="24"/>
          <w:szCs w:val="24"/>
          <w:lang w:val="en-US"/>
        </w:rPr>
        <w:t>Maastricht Journal of European and Comparative Law</w:t>
      </w:r>
      <w:r w:rsidRPr="00121A6A">
        <w:rPr>
          <w:sz w:val="24"/>
          <w:szCs w:val="24"/>
          <w:lang w:val="en-US"/>
        </w:rPr>
        <w:t xml:space="preserve"> 2013</w:t>
      </w:r>
      <w:r w:rsidR="00C55BCB" w:rsidRPr="00121A6A">
        <w:rPr>
          <w:sz w:val="24"/>
          <w:szCs w:val="24"/>
          <w:lang w:val="en-US"/>
        </w:rPr>
        <w:t xml:space="preserve">, </w:t>
      </w:r>
      <w:proofErr w:type="spellStart"/>
      <w:r w:rsidR="00C55BCB" w:rsidRPr="00121A6A">
        <w:rPr>
          <w:sz w:val="24"/>
          <w:szCs w:val="24"/>
          <w:lang w:val="en-US"/>
        </w:rPr>
        <w:t>afl</w:t>
      </w:r>
      <w:proofErr w:type="spellEnd"/>
      <w:r w:rsidR="00C55BCB" w:rsidRPr="00121A6A">
        <w:rPr>
          <w:sz w:val="24"/>
          <w:szCs w:val="24"/>
          <w:lang w:val="en-US"/>
        </w:rPr>
        <w:t xml:space="preserve">. </w:t>
      </w:r>
      <w:r w:rsidR="00941093" w:rsidRPr="00121A6A">
        <w:rPr>
          <w:sz w:val="24"/>
          <w:szCs w:val="24"/>
          <w:lang w:val="en-US"/>
        </w:rPr>
        <w:t>2</w:t>
      </w:r>
      <w:r w:rsidRPr="00121A6A">
        <w:rPr>
          <w:sz w:val="24"/>
          <w:szCs w:val="24"/>
          <w:lang w:val="en-US"/>
        </w:rPr>
        <w:t>, p. 168-</w:t>
      </w:r>
      <w:r w:rsidR="00BF6C9A" w:rsidRPr="00121A6A">
        <w:rPr>
          <w:sz w:val="24"/>
          <w:szCs w:val="24"/>
          <w:lang w:val="en-US"/>
        </w:rPr>
        <w:t>184.</w:t>
      </w:r>
    </w:p>
    <w:p w14:paraId="5FF3649C" w14:textId="77777777" w:rsidR="003E0FE5" w:rsidRPr="00121A6A" w:rsidRDefault="003E0FE5" w:rsidP="00604216">
      <w:pPr>
        <w:spacing w:after="0"/>
        <w:jc w:val="both"/>
        <w:rPr>
          <w:sz w:val="24"/>
          <w:szCs w:val="24"/>
          <w:lang w:val="en-US"/>
        </w:rPr>
      </w:pPr>
    </w:p>
    <w:p w14:paraId="7DA768AB" w14:textId="08835C1A" w:rsidR="003E0FE5" w:rsidRPr="00121A6A" w:rsidRDefault="003E0FE5" w:rsidP="00604216">
      <w:pPr>
        <w:spacing w:after="0"/>
        <w:jc w:val="both"/>
        <w:rPr>
          <w:b/>
          <w:bCs/>
          <w:sz w:val="24"/>
          <w:szCs w:val="24"/>
        </w:rPr>
      </w:pPr>
      <w:r w:rsidRPr="00121A6A">
        <w:rPr>
          <w:b/>
          <w:bCs/>
          <w:sz w:val="24"/>
          <w:szCs w:val="24"/>
        </w:rPr>
        <w:t>De Mol 2014</w:t>
      </w:r>
    </w:p>
    <w:p w14:paraId="3F03DBAF" w14:textId="5BCC4803" w:rsidR="00E75BB2" w:rsidRPr="00121A6A" w:rsidRDefault="003E0FE5" w:rsidP="00604216">
      <w:pPr>
        <w:spacing w:after="0"/>
        <w:jc w:val="both"/>
        <w:rPr>
          <w:sz w:val="24"/>
          <w:szCs w:val="24"/>
        </w:rPr>
      </w:pPr>
      <w:r w:rsidRPr="00121A6A">
        <w:rPr>
          <w:sz w:val="24"/>
          <w:szCs w:val="24"/>
        </w:rPr>
        <w:t xml:space="preserve">M. de Mol, </w:t>
      </w:r>
      <w:r w:rsidRPr="00121A6A">
        <w:rPr>
          <w:i/>
          <w:iCs/>
          <w:sz w:val="24"/>
          <w:szCs w:val="24"/>
        </w:rPr>
        <w:t xml:space="preserve">De directe werking van de grondrechten van de Europese Unie </w:t>
      </w:r>
      <w:r w:rsidRPr="00121A6A">
        <w:rPr>
          <w:sz w:val="24"/>
          <w:szCs w:val="24"/>
        </w:rPr>
        <w:t>(</w:t>
      </w:r>
      <w:proofErr w:type="spellStart"/>
      <w:r w:rsidRPr="00121A6A">
        <w:rPr>
          <w:sz w:val="24"/>
          <w:szCs w:val="24"/>
        </w:rPr>
        <w:t>diss</w:t>
      </w:r>
      <w:proofErr w:type="spellEnd"/>
      <w:r w:rsidRPr="00121A6A">
        <w:rPr>
          <w:sz w:val="24"/>
          <w:szCs w:val="24"/>
        </w:rPr>
        <w:t>. Maastricht), Oisterwijk</w:t>
      </w:r>
      <w:r w:rsidR="003408C1" w:rsidRPr="00121A6A">
        <w:rPr>
          <w:sz w:val="24"/>
          <w:szCs w:val="24"/>
        </w:rPr>
        <w:t>:</w:t>
      </w:r>
      <w:r w:rsidRPr="00121A6A">
        <w:rPr>
          <w:sz w:val="24"/>
          <w:szCs w:val="24"/>
        </w:rPr>
        <w:t xml:space="preserve"> Wolf Legal </w:t>
      </w:r>
      <w:proofErr w:type="spellStart"/>
      <w:r w:rsidRPr="00121A6A">
        <w:rPr>
          <w:sz w:val="24"/>
          <w:szCs w:val="24"/>
        </w:rPr>
        <w:t>Publishers</w:t>
      </w:r>
      <w:proofErr w:type="spellEnd"/>
      <w:r w:rsidR="003408C1" w:rsidRPr="00121A6A">
        <w:rPr>
          <w:sz w:val="24"/>
          <w:szCs w:val="24"/>
        </w:rPr>
        <w:t xml:space="preserve"> 2014</w:t>
      </w:r>
      <w:r w:rsidRPr="00121A6A">
        <w:rPr>
          <w:sz w:val="24"/>
          <w:szCs w:val="24"/>
        </w:rPr>
        <w:t>.</w:t>
      </w:r>
    </w:p>
    <w:p w14:paraId="0A0421C2" w14:textId="77777777" w:rsidR="00CD76EA" w:rsidRDefault="00CD76EA" w:rsidP="00030EF2">
      <w:pPr>
        <w:spacing w:after="0"/>
        <w:jc w:val="both"/>
        <w:rPr>
          <w:b/>
          <w:bCs/>
          <w:sz w:val="24"/>
          <w:szCs w:val="24"/>
        </w:rPr>
      </w:pPr>
    </w:p>
    <w:p w14:paraId="3932A3B0" w14:textId="7D7EF183" w:rsidR="00014696" w:rsidRPr="00121A6A" w:rsidRDefault="00E75BB2" w:rsidP="00030EF2">
      <w:pPr>
        <w:spacing w:after="0"/>
        <w:jc w:val="both"/>
        <w:rPr>
          <w:b/>
          <w:bCs/>
          <w:sz w:val="24"/>
          <w:szCs w:val="24"/>
        </w:rPr>
      </w:pPr>
      <w:r w:rsidRPr="00121A6A">
        <w:rPr>
          <w:b/>
          <w:bCs/>
          <w:sz w:val="24"/>
          <w:szCs w:val="24"/>
        </w:rPr>
        <w:t xml:space="preserve">De Mol, </w:t>
      </w:r>
      <w:r w:rsidRPr="00121A6A">
        <w:rPr>
          <w:b/>
          <w:bCs/>
          <w:i/>
          <w:iCs/>
          <w:sz w:val="24"/>
          <w:szCs w:val="24"/>
        </w:rPr>
        <w:t>AA</w:t>
      </w:r>
      <w:r w:rsidRPr="00121A6A">
        <w:rPr>
          <w:b/>
          <w:bCs/>
          <w:sz w:val="24"/>
          <w:szCs w:val="24"/>
        </w:rPr>
        <w:t xml:space="preserve"> 2019</w:t>
      </w:r>
    </w:p>
    <w:p w14:paraId="03DB1A35" w14:textId="0843DFDF" w:rsidR="00E75BB2" w:rsidRPr="00121A6A" w:rsidRDefault="00E75BB2" w:rsidP="00E75BB2">
      <w:pPr>
        <w:spacing w:after="0"/>
        <w:jc w:val="both"/>
        <w:rPr>
          <w:sz w:val="24"/>
          <w:szCs w:val="24"/>
        </w:rPr>
      </w:pPr>
      <w:r w:rsidRPr="00121A6A">
        <w:rPr>
          <w:sz w:val="24"/>
          <w:szCs w:val="24"/>
        </w:rPr>
        <w:t xml:space="preserve">M. de Mol, ‘Het leerstuk van de horizontale directe werking van Uniegrondrechten op de voet gevolgd’, </w:t>
      </w:r>
      <w:r w:rsidRPr="00121A6A">
        <w:rPr>
          <w:i/>
          <w:iCs/>
          <w:sz w:val="24"/>
          <w:szCs w:val="24"/>
        </w:rPr>
        <w:t xml:space="preserve">Ars </w:t>
      </w:r>
      <w:proofErr w:type="spellStart"/>
      <w:r w:rsidRPr="00121A6A">
        <w:rPr>
          <w:i/>
          <w:iCs/>
          <w:sz w:val="24"/>
          <w:szCs w:val="24"/>
        </w:rPr>
        <w:t>Aequi</w:t>
      </w:r>
      <w:proofErr w:type="spellEnd"/>
      <w:r w:rsidRPr="00121A6A">
        <w:rPr>
          <w:sz w:val="24"/>
          <w:szCs w:val="24"/>
        </w:rPr>
        <w:t xml:space="preserve"> 2019</w:t>
      </w:r>
      <w:r w:rsidR="00C55BCB" w:rsidRPr="00121A6A">
        <w:rPr>
          <w:sz w:val="24"/>
          <w:szCs w:val="24"/>
        </w:rPr>
        <w:t xml:space="preserve">, afl. </w:t>
      </w:r>
      <w:r w:rsidRPr="00121A6A">
        <w:rPr>
          <w:sz w:val="24"/>
          <w:szCs w:val="24"/>
        </w:rPr>
        <w:t>5, p. 371-382.</w:t>
      </w:r>
    </w:p>
    <w:p w14:paraId="32539FED" w14:textId="77777777" w:rsidR="00E75BB2" w:rsidRPr="00121A6A" w:rsidRDefault="00E75BB2" w:rsidP="00030EF2">
      <w:pPr>
        <w:spacing w:after="0"/>
        <w:jc w:val="both"/>
        <w:rPr>
          <w:sz w:val="24"/>
          <w:szCs w:val="24"/>
        </w:rPr>
      </w:pPr>
    </w:p>
    <w:p w14:paraId="292D7ECB" w14:textId="77777777" w:rsidR="00217971" w:rsidRPr="00A872BE" w:rsidRDefault="00217971" w:rsidP="00030EF2">
      <w:pPr>
        <w:spacing w:after="0"/>
        <w:jc w:val="both"/>
        <w:rPr>
          <w:b/>
          <w:bCs/>
          <w:sz w:val="24"/>
          <w:szCs w:val="24"/>
        </w:rPr>
      </w:pPr>
    </w:p>
    <w:p w14:paraId="31C5D8CF" w14:textId="7F6D8FAB" w:rsidR="00014696" w:rsidRPr="00121A6A" w:rsidRDefault="00014696" w:rsidP="00030EF2">
      <w:pPr>
        <w:spacing w:after="0"/>
        <w:jc w:val="both"/>
        <w:rPr>
          <w:b/>
          <w:bCs/>
          <w:sz w:val="24"/>
          <w:szCs w:val="24"/>
          <w:lang w:val="en-US"/>
        </w:rPr>
      </w:pPr>
      <w:r w:rsidRPr="00121A6A">
        <w:rPr>
          <w:b/>
          <w:bCs/>
          <w:sz w:val="24"/>
          <w:szCs w:val="24"/>
          <w:lang w:val="en-US"/>
        </w:rPr>
        <w:lastRenderedPageBreak/>
        <w:t>De Schutter 2013</w:t>
      </w:r>
    </w:p>
    <w:p w14:paraId="395FA6C0" w14:textId="6BF4A23C" w:rsidR="00014696" w:rsidRPr="00121A6A" w:rsidRDefault="00014696" w:rsidP="00030EF2">
      <w:pPr>
        <w:spacing w:after="0"/>
        <w:jc w:val="both"/>
        <w:rPr>
          <w:sz w:val="24"/>
          <w:szCs w:val="24"/>
          <w:lang w:val="en-US"/>
        </w:rPr>
      </w:pPr>
      <w:r w:rsidRPr="00121A6A">
        <w:rPr>
          <w:sz w:val="24"/>
          <w:szCs w:val="24"/>
          <w:lang w:val="en-US"/>
        </w:rPr>
        <w:t xml:space="preserve">O. de Schutter, ‘Human Rights in Employment Relationships: Contracts as Power’, in: F. </w:t>
      </w:r>
      <w:proofErr w:type="spellStart"/>
      <w:r w:rsidRPr="00121A6A">
        <w:rPr>
          <w:sz w:val="24"/>
          <w:szCs w:val="24"/>
          <w:lang w:val="en-US"/>
        </w:rPr>
        <w:t>Dorssemont</w:t>
      </w:r>
      <w:proofErr w:type="spellEnd"/>
      <w:r w:rsidRPr="00121A6A">
        <w:rPr>
          <w:sz w:val="24"/>
          <w:szCs w:val="24"/>
          <w:lang w:val="en-US"/>
        </w:rPr>
        <w:t xml:space="preserve">, K. </w:t>
      </w:r>
      <w:proofErr w:type="spellStart"/>
      <w:r w:rsidRPr="00121A6A">
        <w:rPr>
          <w:sz w:val="24"/>
          <w:szCs w:val="24"/>
          <w:lang w:val="en-US"/>
        </w:rPr>
        <w:t>Lörcher</w:t>
      </w:r>
      <w:proofErr w:type="spellEnd"/>
      <w:r w:rsidRPr="00121A6A">
        <w:rPr>
          <w:sz w:val="24"/>
          <w:szCs w:val="24"/>
          <w:lang w:val="en-US"/>
        </w:rPr>
        <w:t xml:space="preserve"> &amp; </w:t>
      </w:r>
      <w:r w:rsidR="00191F65" w:rsidRPr="00121A6A">
        <w:rPr>
          <w:sz w:val="24"/>
          <w:szCs w:val="24"/>
          <w:lang w:val="en-US"/>
        </w:rPr>
        <w:t xml:space="preserve">I. </w:t>
      </w:r>
      <w:proofErr w:type="spellStart"/>
      <w:r w:rsidR="00191F65" w:rsidRPr="00121A6A">
        <w:rPr>
          <w:sz w:val="24"/>
          <w:szCs w:val="24"/>
          <w:lang w:val="en-US"/>
        </w:rPr>
        <w:t>Schömann</w:t>
      </w:r>
      <w:proofErr w:type="spellEnd"/>
      <w:r w:rsidR="00191F65" w:rsidRPr="00121A6A">
        <w:rPr>
          <w:sz w:val="24"/>
          <w:szCs w:val="24"/>
          <w:lang w:val="en-US"/>
        </w:rPr>
        <w:t xml:space="preserve"> (</w:t>
      </w:r>
      <w:r w:rsidR="00F14AC5">
        <w:rPr>
          <w:sz w:val="24"/>
          <w:szCs w:val="24"/>
          <w:lang w:val="en-US"/>
        </w:rPr>
        <w:t>eds</w:t>
      </w:r>
      <w:r w:rsidR="00191F65" w:rsidRPr="00121A6A">
        <w:rPr>
          <w:sz w:val="24"/>
          <w:szCs w:val="24"/>
          <w:lang w:val="en-US"/>
        </w:rPr>
        <w:t xml:space="preserve">.), </w:t>
      </w:r>
      <w:r w:rsidR="00191F65" w:rsidRPr="00121A6A">
        <w:rPr>
          <w:i/>
          <w:iCs/>
          <w:sz w:val="24"/>
          <w:szCs w:val="24"/>
          <w:lang w:val="en-US"/>
        </w:rPr>
        <w:t>The European Convention and the Employment Relation</w:t>
      </w:r>
      <w:r w:rsidR="00191F65" w:rsidRPr="00121A6A">
        <w:rPr>
          <w:sz w:val="24"/>
          <w:szCs w:val="24"/>
          <w:lang w:val="en-US"/>
        </w:rPr>
        <w:t>, Oxford</w:t>
      </w:r>
      <w:r w:rsidR="00D160AE" w:rsidRPr="00121A6A">
        <w:rPr>
          <w:sz w:val="24"/>
          <w:szCs w:val="24"/>
          <w:lang w:val="en-US"/>
        </w:rPr>
        <w:t xml:space="preserve">, </w:t>
      </w:r>
      <w:r w:rsidR="00F14AC5">
        <w:rPr>
          <w:sz w:val="24"/>
          <w:szCs w:val="24"/>
          <w:lang w:val="en-US"/>
        </w:rPr>
        <w:t>UK</w:t>
      </w:r>
      <w:r w:rsidR="00191F65" w:rsidRPr="00121A6A">
        <w:rPr>
          <w:sz w:val="24"/>
          <w:szCs w:val="24"/>
          <w:lang w:val="en-US"/>
        </w:rPr>
        <w:t>: Hart Publishing 2013</w:t>
      </w:r>
      <w:r w:rsidR="006665E7" w:rsidRPr="00121A6A">
        <w:rPr>
          <w:sz w:val="24"/>
          <w:szCs w:val="24"/>
          <w:lang w:val="en-US"/>
        </w:rPr>
        <w:t>, p. 105-1</w:t>
      </w:r>
      <w:r w:rsidR="004D06FC" w:rsidRPr="00121A6A">
        <w:rPr>
          <w:sz w:val="24"/>
          <w:szCs w:val="24"/>
          <w:lang w:val="en-US"/>
        </w:rPr>
        <w:t>39.</w:t>
      </w:r>
    </w:p>
    <w:p w14:paraId="535AFF39" w14:textId="77777777" w:rsidR="006F42E2" w:rsidRPr="00121A6A" w:rsidRDefault="006F42E2" w:rsidP="00030EF2">
      <w:pPr>
        <w:spacing w:after="0"/>
        <w:jc w:val="both"/>
        <w:rPr>
          <w:sz w:val="24"/>
          <w:szCs w:val="24"/>
          <w:lang w:val="en-US"/>
        </w:rPr>
      </w:pPr>
    </w:p>
    <w:p w14:paraId="0162ECCD" w14:textId="4B232AB8" w:rsidR="006F42E2" w:rsidRPr="00121A6A" w:rsidRDefault="006F42E2" w:rsidP="00030EF2">
      <w:pPr>
        <w:spacing w:after="0"/>
        <w:jc w:val="both"/>
        <w:rPr>
          <w:b/>
          <w:bCs/>
          <w:sz w:val="24"/>
          <w:szCs w:val="24"/>
          <w:lang w:val="en-US"/>
        </w:rPr>
      </w:pPr>
      <w:r w:rsidRPr="00121A6A">
        <w:rPr>
          <w:b/>
          <w:bCs/>
          <w:sz w:val="24"/>
          <w:szCs w:val="24"/>
          <w:lang w:val="en-US"/>
        </w:rPr>
        <w:t>De Schutter 2017</w:t>
      </w:r>
    </w:p>
    <w:p w14:paraId="1BAE1017" w14:textId="248BCC93" w:rsidR="006F42E2" w:rsidRPr="00121A6A" w:rsidRDefault="006F42E2" w:rsidP="00030EF2">
      <w:pPr>
        <w:spacing w:after="0"/>
        <w:jc w:val="both"/>
        <w:rPr>
          <w:sz w:val="24"/>
          <w:szCs w:val="24"/>
          <w:lang w:val="en-US"/>
        </w:rPr>
      </w:pPr>
      <w:bookmarkStart w:id="96" w:name="_Hlk155958165"/>
      <w:r w:rsidRPr="00121A6A">
        <w:rPr>
          <w:sz w:val="24"/>
          <w:szCs w:val="24"/>
          <w:lang w:val="en-US"/>
        </w:rPr>
        <w:t xml:space="preserve">O. de Schutter, ‘The European Social Charter as the Social Constitution of Europe’, in: N. Bruun </w:t>
      </w:r>
      <w:proofErr w:type="spellStart"/>
      <w:r w:rsidRPr="00121A6A">
        <w:rPr>
          <w:sz w:val="24"/>
          <w:szCs w:val="24"/>
          <w:lang w:val="en-US"/>
        </w:rPr>
        <w:t>e.a.</w:t>
      </w:r>
      <w:proofErr w:type="spellEnd"/>
      <w:r w:rsidRPr="00121A6A">
        <w:rPr>
          <w:sz w:val="24"/>
          <w:szCs w:val="24"/>
          <w:lang w:val="en-US"/>
        </w:rPr>
        <w:t xml:space="preserve"> (</w:t>
      </w:r>
      <w:r w:rsidR="00F14AC5">
        <w:rPr>
          <w:sz w:val="24"/>
          <w:szCs w:val="24"/>
          <w:lang w:val="en-US"/>
        </w:rPr>
        <w:t>eds</w:t>
      </w:r>
      <w:r w:rsidRPr="00121A6A">
        <w:rPr>
          <w:sz w:val="24"/>
          <w:szCs w:val="24"/>
          <w:lang w:val="en-US"/>
        </w:rPr>
        <w:t xml:space="preserve">.), </w:t>
      </w:r>
      <w:r w:rsidRPr="00121A6A">
        <w:rPr>
          <w:i/>
          <w:iCs/>
          <w:sz w:val="24"/>
          <w:szCs w:val="24"/>
          <w:lang w:val="en-US"/>
        </w:rPr>
        <w:t>The European Social Charter and the Employment Relation</w:t>
      </w:r>
      <w:r w:rsidRPr="00121A6A">
        <w:rPr>
          <w:sz w:val="24"/>
          <w:szCs w:val="24"/>
          <w:lang w:val="en-US"/>
        </w:rPr>
        <w:t>, Oxford</w:t>
      </w:r>
      <w:r w:rsidR="00D160AE" w:rsidRPr="00121A6A">
        <w:rPr>
          <w:sz w:val="24"/>
          <w:szCs w:val="24"/>
          <w:lang w:val="en-US"/>
        </w:rPr>
        <w:t xml:space="preserve">, </w:t>
      </w:r>
      <w:r w:rsidR="00F14AC5">
        <w:rPr>
          <w:sz w:val="24"/>
          <w:szCs w:val="24"/>
          <w:lang w:val="en-US"/>
        </w:rPr>
        <w:t>UK</w:t>
      </w:r>
      <w:r w:rsidRPr="00121A6A">
        <w:rPr>
          <w:sz w:val="24"/>
          <w:szCs w:val="24"/>
          <w:lang w:val="en-US"/>
        </w:rPr>
        <w:t>: Hart Publishing 2017, p. 11-51.</w:t>
      </w:r>
    </w:p>
    <w:bookmarkEnd w:id="96"/>
    <w:p w14:paraId="09CBF685" w14:textId="77777777" w:rsidR="00014696" w:rsidRPr="00121A6A" w:rsidRDefault="00014696" w:rsidP="00030EF2">
      <w:pPr>
        <w:spacing w:after="0"/>
        <w:jc w:val="both"/>
        <w:rPr>
          <w:sz w:val="24"/>
          <w:szCs w:val="24"/>
          <w:lang w:val="en-US"/>
        </w:rPr>
      </w:pPr>
    </w:p>
    <w:p w14:paraId="202C03B6" w14:textId="66335F94" w:rsidR="00014696" w:rsidRPr="00121A6A" w:rsidRDefault="00014696" w:rsidP="00030EF2">
      <w:pPr>
        <w:spacing w:after="0"/>
        <w:jc w:val="both"/>
        <w:rPr>
          <w:b/>
          <w:bCs/>
          <w:sz w:val="24"/>
          <w:szCs w:val="24"/>
        </w:rPr>
      </w:pPr>
      <w:r w:rsidRPr="00121A6A">
        <w:rPr>
          <w:b/>
          <w:bCs/>
          <w:sz w:val="24"/>
          <w:szCs w:val="24"/>
        </w:rPr>
        <w:t>De Vos 2010</w:t>
      </w:r>
    </w:p>
    <w:p w14:paraId="049D23B8" w14:textId="34692449" w:rsidR="00014696" w:rsidRPr="00121A6A" w:rsidRDefault="00014696" w:rsidP="00030EF2">
      <w:pPr>
        <w:spacing w:after="0"/>
        <w:jc w:val="both"/>
        <w:rPr>
          <w:sz w:val="24"/>
          <w:szCs w:val="24"/>
        </w:rPr>
      </w:pPr>
      <w:r w:rsidRPr="00121A6A">
        <w:rPr>
          <w:sz w:val="24"/>
          <w:szCs w:val="24"/>
        </w:rPr>
        <w:t xml:space="preserve">B.J. de Vos, </w:t>
      </w:r>
      <w:r w:rsidRPr="00121A6A">
        <w:rPr>
          <w:i/>
          <w:iCs/>
          <w:sz w:val="24"/>
          <w:szCs w:val="24"/>
        </w:rPr>
        <w:t>Horizontale werking van grondrechten</w:t>
      </w:r>
      <w:r w:rsidR="00C32ACC" w:rsidRPr="00121A6A">
        <w:rPr>
          <w:i/>
          <w:iCs/>
          <w:sz w:val="24"/>
          <w:szCs w:val="24"/>
        </w:rPr>
        <w:t xml:space="preserve">. Een kritiek </w:t>
      </w:r>
      <w:r w:rsidR="00C32ACC" w:rsidRPr="00121A6A">
        <w:rPr>
          <w:sz w:val="24"/>
          <w:szCs w:val="24"/>
        </w:rPr>
        <w:t>(</w:t>
      </w:r>
      <w:proofErr w:type="spellStart"/>
      <w:r w:rsidR="00C32ACC" w:rsidRPr="00121A6A">
        <w:rPr>
          <w:sz w:val="24"/>
          <w:szCs w:val="24"/>
        </w:rPr>
        <w:t>diss</w:t>
      </w:r>
      <w:proofErr w:type="spellEnd"/>
      <w:r w:rsidR="00C32ACC" w:rsidRPr="00121A6A">
        <w:rPr>
          <w:sz w:val="24"/>
          <w:szCs w:val="24"/>
        </w:rPr>
        <w:t>. Leiden)</w:t>
      </w:r>
      <w:r w:rsidRPr="00121A6A">
        <w:rPr>
          <w:sz w:val="24"/>
          <w:szCs w:val="24"/>
        </w:rPr>
        <w:t xml:space="preserve">, Apeldoorn: </w:t>
      </w:r>
      <w:proofErr w:type="spellStart"/>
      <w:r w:rsidRPr="00121A6A">
        <w:rPr>
          <w:sz w:val="24"/>
          <w:szCs w:val="24"/>
        </w:rPr>
        <w:t>Maklu</w:t>
      </w:r>
      <w:proofErr w:type="spellEnd"/>
      <w:r w:rsidRPr="00121A6A">
        <w:rPr>
          <w:sz w:val="24"/>
          <w:szCs w:val="24"/>
        </w:rPr>
        <w:t xml:space="preserve"> 2010.</w:t>
      </w:r>
    </w:p>
    <w:p w14:paraId="2FDA9086" w14:textId="77777777" w:rsidR="008E63BE" w:rsidRPr="00121A6A" w:rsidRDefault="008E63BE" w:rsidP="00030EF2">
      <w:pPr>
        <w:spacing w:after="0"/>
        <w:jc w:val="both"/>
        <w:rPr>
          <w:b/>
          <w:bCs/>
          <w:sz w:val="24"/>
          <w:szCs w:val="24"/>
        </w:rPr>
      </w:pPr>
    </w:p>
    <w:p w14:paraId="032FFA3F" w14:textId="304978E4" w:rsidR="008E63BE" w:rsidRPr="00121A6A" w:rsidRDefault="008E63BE" w:rsidP="00030EF2">
      <w:pPr>
        <w:spacing w:after="0"/>
        <w:jc w:val="both"/>
        <w:rPr>
          <w:b/>
          <w:bCs/>
          <w:sz w:val="24"/>
          <w:szCs w:val="24"/>
          <w:lang w:val="en-US"/>
        </w:rPr>
      </w:pPr>
      <w:r w:rsidRPr="00121A6A">
        <w:rPr>
          <w:b/>
          <w:bCs/>
          <w:sz w:val="24"/>
          <w:szCs w:val="24"/>
          <w:lang w:val="en-US"/>
        </w:rPr>
        <w:t xml:space="preserve">De Vries, </w:t>
      </w:r>
      <w:r w:rsidRPr="00121A6A">
        <w:rPr>
          <w:b/>
          <w:bCs/>
          <w:i/>
          <w:iCs/>
          <w:sz w:val="24"/>
          <w:szCs w:val="24"/>
          <w:lang w:val="en-US"/>
        </w:rPr>
        <w:t>ULR</w:t>
      </w:r>
      <w:r w:rsidRPr="00121A6A">
        <w:rPr>
          <w:b/>
          <w:bCs/>
          <w:sz w:val="24"/>
          <w:szCs w:val="24"/>
          <w:lang w:val="en-US"/>
        </w:rPr>
        <w:t xml:space="preserve"> 2013</w:t>
      </w:r>
    </w:p>
    <w:p w14:paraId="34AEC173" w14:textId="27CA6997" w:rsidR="008E63BE" w:rsidRPr="00121A6A" w:rsidRDefault="008E63BE" w:rsidP="00030EF2">
      <w:pPr>
        <w:spacing w:after="0"/>
        <w:jc w:val="both"/>
        <w:rPr>
          <w:sz w:val="24"/>
          <w:szCs w:val="24"/>
          <w:lang w:val="en-US"/>
        </w:rPr>
      </w:pPr>
      <w:r w:rsidRPr="00121A6A">
        <w:rPr>
          <w:sz w:val="24"/>
          <w:szCs w:val="24"/>
          <w:lang w:val="en-US"/>
        </w:rPr>
        <w:t xml:space="preserve">S.A. de Vries, ‘Balancing Fundamental Rights with Economic Freedoms According to the European Court of Justice’, </w:t>
      </w:r>
      <w:r w:rsidRPr="00121A6A">
        <w:rPr>
          <w:i/>
          <w:iCs/>
          <w:sz w:val="24"/>
          <w:szCs w:val="24"/>
          <w:lang w:val="en-US"/>
        </w:rPr>
        <w:t>Utrecht Law Review</w:t>
      </w:r>
      <w:r w:rsidRPr="00121A6A">
        <w:rPr>
          <w:sz w:val="24"/>
          <w:szCs w:val="24"/>
          <w:lang w:val="en-US"/>
        </w:rPr>
        <w:t xml:space="preserve"> 2013</w:t>
      </w:r>
      <w:r w:rsidR="00C55BCB" w:rsidRPr="00121A6A">
        <w:rPr>
          <w:sz w:val="24"/>
          <w:szCs w:val="24"/>
          <w:lang w:val="en-US"/>
        </w:rPr>
        <w:t xml:space="preserve">, </w:t>
      </w:r>
      <w:proofErr w:type="spellStart"/>
      <w:r w:rsidR="00C55BCB" w:rsidRPr="00121A6A">
        <w:rPr>
          <w:sz w:val="24"/>
          <w:szCs w:val="24"/>
          <w:lang w:val="en-US"/>
        </w:rPr>
        <w:t>afl</w:t>
      </w:r>
      <w:proofErr w:type="spellEnd"/>
      <w:r w:rsidR="00C55BCB" w:rsidRPr="00121A6A">
        <w:rPr>
          <w:sz w:val="24"/>
          <w:szCs w:val="24"/>
          <w:lang w:val="en-US"/>
        </w:rPr>
        <w:t xml:space="preserve">. </w:t>
      </w:r>
      <w:r w:rsidRPr="00121A6A">
        <w:rPr>
          <w:sz w:val="24"/>
          <w:szCs w:val="24"/>
          <w:lang w:val="en-US"/>
        </w:rPr>
        <w:t>1</w:t>
      </w:r>
      <w:r w:rsidR="00C55BCB" w:rsidRPr="00121A6A">
        <w:rPr>
          <w:sz w:val="24"/>
          <w:szCs w:val="24"/>
          <w:lang w:val="en-US"/>
        </w:rPr>
        <w:t>,</w:t>
      </w:r>
      <w:r w:rsidRPr="00121A6A">
        <w:rPr>
          <w:sz w:val="24"/>
          <w:szCs w:val="24"/>
          <w:lang w:val="en-US"/>
        </w:rPr>
        <w:t xml:space="preserve"> p. 169-192.</w:t>
      </w:r>
    </w:p>
    <w:p w14:paraId="4CC02A9F" w14:textId="77777777" w:rsidR="008E63BE" w:rsidRPr="00121A6A" w:rsidRDefault="008E63BE" w:rsidP="00030EF2">
      <w:pPr>
        <w:spacing w:after="0"/>
        <w:jc w:val="both"/>
        <w:rPr>
          <w:b/>
          <w:bCs/>
          <w:sz w:val="24"/>
          <w:szCs w:val="24"/>
          <w:lang w:val="en-US"/>
        </w:rPr>
      </w:pPr>
    </w:p>
    <w:p w14:paraId="7708A298" w14:textId="435160E3" w:rsidR="008E63BE" w:rsidRPr="00121A6A" w:rsidRDefault="008E63BE" w:rsidP="00030EF2">
      <w:pPr>
        <w:spacing w:after="0"/>
        <w:jc w:val="both"/>
        <w:rPr>
          <w:b/>
          <w:bCs/>
          <w:sz w:val="24"/>
          <w:szCs w:val="24"/>
        </w:rPr>
      </w:pPr>
      <w:r w:rsidRPr="00121A6A">
        <w:rPr>
          <w:b/>
          <w:bCs/>
          <w:sz w:val="24"/>
          <w:szCs w:val="24"/>
        </w:rPr>
        <w:t xml:space="preserve">De Vries, </w:t>
      </w:r>
      <w:proofErr w:type="spellStart"/>
      <w:r w:rsidRPr="00121A6A">
        <w:rPr>
          <w:b/>
          <w:bCs/>
          <w:i/>
          <w:iCs/>
          <w:sz w:val="24"/>
          <w:szCs w:val="24"/>
        </w:rPr>
        <w:t>N</w:t>
      </w:r>
      <w:r w:rsidR="00577940" w:rsidRPr="00121A6A">
        <w:rPr>
          <w:b/>
          <w:bCs/>
          <w:i/>
          <w:iCs/>
          <w:sz w:val="24"/>
          <w:szCs w:val="24"/>
        </w:rPr>
        <w:t>t</w:t>
      </w:r>
      <w:r w:rsidRPr="00121A6A">
        <w:rPr>
          <w:b/>
          <w:bCs/>
          <w:i/>
          <w:iCs/>
          <w:sz w:val="24"/>
          <w:szCs w:val="24"/>
        </w:rPr>
        <w:t>E</w:t>
      </w:r>
      <w:r w:rsidR="00487646" w:rsidRPr="00121A6A">
        <w:rPr>
          <w:b/>
          <w:bCs/>
          <w:i/>
          <w:iCs/>
          <w:sz w:val="24"/>
          <w:szCs w:val="24"/>
        </w:rPr>
        <w:t>r</w:t>
      </w:r>
      <w:proofErr w:type="spellEnd"/>
      <w:r w:rsidRPr="00121A6A">
        <w:rPr>
          <w:b/>
          <w:bCs/>
          <w:sz w:val="24"/>
          <w:szCs w:val="24"/>
        </w:rPr>
        <w:t xml:space="preserve"> 2013</w:t>
      </w:r>
    </w:p>
    <w:p w14:paraId="21529B18" w14:textId="3C330801" w:rsidR="008E63BE" w:rsidRPr="00121A6A" w:rsidRDefault="008E63BE" w:rsidP="00030EF2">
      <w:pPr>
        <w:spacing w:after="0"/>
        <w:jc w:val="both"/>
        <w:rPr>
          <w:sz w:val="24"/>
          <w:szCs w:val="24"/>
        </w:rPr>
      </w:pPr>
      <w:r w:rsidRPr="00121A6A">
        <w:rPr>
          <w:sz w:val="24"/>
          <w:szCs w:val="24"/>
        </w:rPr>
        <w:t xml:space="preserve">S.A. de Vries, ‘Het ex-Monti II-voorstel: ‘Paard van Troje’ of zege voor sociale grondrechten?’, </w:t>
      </w:r>
      <w:r w:rsidRPr="00121A6A">
        <w:rPr>
          <w:i/>
          <w:iCs/>
          <w:sz w:val="24"/>
          <w:szCs w:val="24"/>
        </w:rPr>
        <w:t>Nederlands tijdschrift voor Europees recht</w:t>
      </w:r>
      <w:r w:rsidRPr="00121A6A">
        <w:rPr>
          <w:sz w:val="24"/>
          <w:szCs w:val="24"/>
        </w:rPr>
        <w:t xml:space="preserve"> 2013</w:t>
      </w:r>
      <w:r w:rsidR="00C55BCB" w:rsidRPr="00121A6A">
        <w:rPr>
          <w:sz w:val="24"/>
          <w:szCs w:val="24"/>
        </w:rPr>
        <w:t xml:space="preserve">, afl. </w:t>
      </w:r>
      <w:r w:rsidRPr="00121A6A">
        <w:rPr>
          <w:sz w:val="24"/>
          <w:szCs w:val="24"/>
        </w:rPr>
        <w:t>4, p. 123-134.</w:t>
      </w:r>
    </w:p>
    <w:p w14:paraId="2A4CF493" w14:textId="77777777" w:rsidR="007B7E6E" w:rsidRPr="00121A6A" w:rsidRDefault="007B7E6E" w:rsidP="00030EF2">
      <w:pPr>
        <w:spacing w:after="0"/>
        <w:jc w:val="both"/>
        <w:rPr>
          <w:sz w:val="24"/>
          <w:szCs w:val="24"/>
        </w:rPr>
      </w:pPr>
    </w:p>
    <w:p w14:paraId="35197FD2" w14:textId="35526A94" w:rsidR="007B7E6E" w:rsidRPr="00121A6A" w:rsidRDefault="007B7E6E" w:rsidP="00030EF2">
      <w:pPr>
        <w:spacing w:after="0"/>
        <w:jc w:val="both"/>
        <w:rPr>
          <w:b/>
          <w:bCs/>
          <w:sz w:val="24"/>
          <w:szCs w:val="24"/>
        </w:rPr>
      </w:pPr>
      <w:proofErr w:type="spellStart"/>
      <w:r w:rsidRPr="00121A6A">
        <w:rPr>
          <w:b/>
          <w:bCs/>
          <w:sz w:val="24"/>
          <w:szCs w:val="24"/>
        </w:rPr>
        <w:t>Devroe</w:t>
      </w:r>
      <w:proofErr w:type="spellEnd"/>
      <w:r w:rsidRPr="00121A6A">
        <w:rPr>
          <w:b/>
          <w:bCs/>
          <w:sz w:val="24"/>
          <w:szCs w:val="24"/>
        </w:rPr>
        <w:t xml:space="preserve"> &amp; </w:t>
      </w:r>
      <w:proofErr w:type="spellStart"/>
      <w:r w:rsidRPr="00121A6A">
        <w:rPr>
          <w:b/>
          <w:bCs/>
          <w:sz w:val="24"/>
          <w:szCs w:val="24"/>
        </w:rPr>
        <w:t>Stuyck</w:t>
      </w:r>
      <w:proofErr w:type="spellEnd"/>
      <w:r w:rsidRPr="00121A6A">
        <w:rPr>
          <w:b/>
          <w:bCs/>
          <w:sz w:val="24"/>
          <w:szCs w:val="24"/>
        </w:rPr>
        <w:t xml:space="preserve"> 2011</w:t>
      </w:r>
    </w:p>
    <w:p w14:paraId="668BB41C" w14:textId="6D834828" w:rsidR="00B525F4" w:rsidRPr="00121A6A" w:rsidRDefault="007B7E6E" w:rsidP="007B7E6E">
      <w:pPr>
        <w:spacing w:after="0"/>
        <w:jc w:val="both"/>
        <w:rPr>
          <w:sz w:val="24"/>
          <w:szCs w:val="24"/>
        </w:rPr>
      </w:pPr>
      <w:r w:rsidRPr="00121A6A">
        <w:rPr>
          <w:sz w:val="24"/>
          <w:szCs w:val="24"/>
        </w:rPr>
        <w:t xml:space="preserve">W. </w:t>
      </w:r>
      <w:proofErr w:type="spellStart"/>
      <w:r w:rsidRPr="00121A6A">
        <w:rPr>
          <w:sz w:val="24"/>
          <w:szCs w:val="24"/>
        </w:rPr>
        <w:t>Devroe</w:t>
      </w:r>
      <w:proofErr w:type="spellEnd"/>
      <w:r w:rsidRPr="00121A6A">
        <w:rPr>
          <w:sz w:val="24"/>
          <w:szCs w:val="24"/>
        </w:rPr>
        <w:t xml:space="preserve"> &amp; J. </w:t>
      </w:r>
      <w:proofErr w:type="spellStart"/>
      <w:r w:rsidRPr="00121A6A">
        <w:rPr>
          <w:sz w:val="24"/>
          <w:szCs w:val="24"/>
        </w:rPr>
        <w:t>Stuyck</w:t>
      </w:r>
      <w:proofErr w:type="spellEnd"/>
      <w:r w:rsidRPr="00121A6A">
        <w:rPr>
          <w:sz w:val="24"/>
          <w:szCs w:val="24"/>
        </w:rPr>
        <w:t xml:space="preserve">, ‘De horizontale werking van het (primaire) recht van de Europese Unie en het Belgische vermogensrecht’, in: </w:t>
      </w:r>
      <w:r w:rsidRPr="00121A6A">
        <w:rPr>
          <w:i/>
          <w:iCs/>
          <w:sz w:val="24"/>
          <w:szCs w:val="24"/>
        </w:rPr>
        <w:t>Preadviezen</w:t>
      </w:r>
      <w:r w:rsidR="0043270C" w:rsidRPr="00121A6A">
        <w:rPr>
          <w:i/>
          <w:iCs/>
          <w:sz w:val="24"/>
          <w:szCs w:val="24"/>
        </w:rPr>
        <w:t xml:space="preserve"> </w:t>
      </w:r>
      <w:r w:rsidR="00A264FF" w:rsidRPr="00121A6A">
        <w:rPr>
          <w:i/>
          <w:iCs/>
          <w:sz w:val="24"/>
          <w:szCs w:val="24"/>
        </w:rPr>
        <w:t xml:space="preserve">Vereniging </w:t>
      </w:r>
      <w:r w:rsidRPr="00121A6A">
        <w:rPr>
          <w:i/>
          <w:iCs/>
          <w:sz w:val="24"/>
          <w:szCs w:val="24"/>
        </w:rPr>
        <w:t>voor de vergelijkende studie van het recht van België en Nederland</w:t>
      </w:r>
      <w:r w:rsidRPr="00121A6A">
        <w:rPr>
          <w:sz w:val="24"/>
          <w:szCs w:val="24"/>
        </w:rPr>
        <w:t>, Den Haag: Boom Juridisch 2011, p. 241-303.</w:t>
      </w:r>
    </w:p>
    <w:p w14:paraId="6F4B32E5" w14:textId="77777777" w:rsidR="00730D13" w:rsidRPr="00121A6A" w:rsidRDefault="00730D13" w:rsidP="007B7E6E">
      <w:pPr>
        <w:spacing w:after="0"/>
        <w:jc w:val="both"/>
        <w:rPr>
          <w:sz w:val="24"/>
          <w:szCs w:val="24"/>
        </w:rPr>
      </w:pPr>
    </w:p>
    <w:p w14:paraId="31C8AB96" w14:textId="7A6B5C2D" w:rsidR="00730D13" w:rsidRPr="00121A6A" w:rsidRDefault="00730D13" w:rsidP="007B7E6E">
      <w:pPr>
        <w:spacing w:after="0"/>
        <w:jc w:val="both"/>
        <w:rPr>
          <w:b/>
          <w:bCs/>
          <w:sz w:val="24"/>
          <w:szCs w:val="24"/>
          <w:lang w:val="en-US"/>
        </w:rPr>
      </w:pPr>
      <w:r w:rsidRPr="00121A6A">
        <w:rPr>
          <w:b/>
          <w:bCs/>
          <w:sz w:val="24"/>
          <w:szCs w:val="24"/>
          <w:lang w:val="en-US"/>
        </w:rPr>
        <w:t>De Witte 2011</w:t>
      </w:r>
    </w:p>
    <w:p w14:paraId="62C50B78" w14:textId="15CEDC3D" w:rsidR="00730D13" w:rsidRPr="00121A6A" w:rsidRDefault="00730D13" w:rsidP="00730D13">
      <w:pPr>
        <w:spacing w:after="0"/>
        <w:jc w:val="both"/>
        <w:rPr>
          <w:sz w:val="24"/>
          <w:szCs w:val="24"/>
          <w:lang w:val="en-US"/>
        </w:rPr>
      </w:pPr>
      <w:r w:rsidRPr="00121A6A">
        <w:rPr>
          <w:sz w:val="24"/>
          <w:szCs w:val="24"/>
          <w:lang w:val="en-US"/>
        </w:rPr>
        <w:t>B. de Witte, ‘The use of the ECHR and Convention case law by the European Court of Justice’, in</w:t>
      </w:r>
      <w:r w:rsidR="00E15A23" w:rsidRPr="00121A6A">
        <w:rPr>
          <w:sz w:val="24"/>
          <w:szCs w:val="24"/>
          <w:lang w:val="en-US"/>
        </w:rPr>
        <w:t>:</w:t>
      </w:r>
      <w:r w:rsidRPr="00121A6A">
        <w:rPr>
          <w:sz w:val="24"/>
          <w:szCs w:val="24"/>
          <w:lang w:val="en-US"/>
        </w:rPr>
        <w:t xml:space="preserve"> P. Popelier</w:t>
      </w:r>
      <w:r w:rsidR="00E15A23" w:rsidRPr="00121A6A">
        <w:rPr>
          <w:sz w:val="24"/>
          <w:szCs w:val="24"/>
          <w:lang w:val="en-US"/>
        </w:rPr>
        <w:t xml:space="preserve">, C. van de </w:t>
      </w:r>
      <w:proofErr w:type="spellStart"/>
      <w:r w:rsidR="00E15A23" w:rsidRPr="00121A6A">
        <w:rPr>
          <w:sz w:val="24"/>
          <w:szCs w:val="24"/>
          <w:lang w:val="en-US"/>
        </w:rPr>
        <w:t>Heyning</w:t>
      </w:r>
      <w:proofErr w:type="spellEnd"/>
      <w:r w:rsidR="00E15A23" w:rsidRPr="00121A6A">
        <w:rPr>
          <w:sz w:val="24"/>
          <w:szCs w:val="24"/>
          <w:lang w:val="en-US"/>
        </w:rPr>
        <w:t xml:space="preserve"> &amp; P. van </w:t>
      </w:r>
      <w:proofErr w:type="spellStart"/>
      <w:r w:rsidR="00E15A23" w:rsidRPr="00121A6A">
        <w:rPr>
          <w:sz w:val="24"/>
          <w:szCs w:val="24"/>
          <w:lang w:val="en-US"/>
        </w:rPr>
        <w:t>Nuffel</w:t>
      </w:r>
      <w:proofErr w:type="spellEnd"/>
      <w:r w:rsidRPr="00121A6A">
        <w:rPr>
          <w:sz w:val="24"/>
          <w:szCs w:val="24"/>
          <w:lang w:val="en-US"/>
        </w:rPr>
        <w:t xml:space="preserve"> (</w:t>
      </w:r>
      <w:r w:rsidR="00F14AC5">
        <w:rPr>
          <w:sz w:val="24"/>
          <w:szCs w:val="24"/>
          <w:lang w:val="en-US"/>
        </w:rPr>
        <w:t>eds</w:t>
      </w:r>
      <w:r w:rsidR="00E15A23" w:rsidRPr="00121A6A">
        <w:rPr>
          <w:sz w:val="24"/>
          <w:szCs w:val="24"/>
          <w:lang w:val="en-US"/>
        </w:rPr>
        <w:t>.</w:t>
      </w:r>
      <w:r w:rsidRPr="00121A6A">
        <w:rPr>
          <w:sz w:val="24"/>
          <w:szCs w:val="24"/>
          <w:lang w:val="en-US"/>
        </w:rPr>
        <w:t xml:space="preserve">), </w:t>
      </w:r>
      <w:r w:rsidRPr="00121A6A">
        <w:rPr>
          <w:i/>
          <w:iCs/>
          <w:sz w:val="24"/>
          <w:szCs w:val="24"/>
          <w:lang w:val="en-US"/>
        </w:rPr>
        <w:t>Human rights protection in the European legal order: the interaction between the European and the</w:t>
      </w:r>
      <w:r w:rsidR="00E15A23" w:rsidRPr="00121A6A">
        <w:rPr>
          <w:i/>
          <w:iCs/>
          <w:sz w:val="24"/>
          <w:szCs w:val="24"/>
          <w:lang w:val="en-US"/>
        </w:rPr>
        <w:t xml:space="preserve"> </w:t>
      </w:r>
      <w:r w:rsidRPr="00121A6A">
        <w:rPr>
          <w:i/>
          <w:iCs/>
          <w:sz w:val="24"/>
          <w:szCs w:val="24"/>
          <w:lang w:val="en-US"/>
        </w:rPr>
        <w:t>national courts</w:t>
      </w:r>
      <w:r w:rsidR="00E15A23" w:rsidRPr="00121A6A">
        <w:rPr>
          <w:sz w:val="24"/>
          <w:szCs w:val="24"/>
          <w:lang w:val="en-US"/>
        </w:rPr>
        <w:t xml:space="preserve">, </w:t>
      </w:r>
      <w:r w:rsidRPr="00121A6A">
        <w:rPr>
          <w:sz w:val="24"/>
          <w:szCs w:val="24"/>
          <w:lang w:val="en-US"/>
        </w:rPr>
        <w:t xml:space="preserve">Antwerp: </w:t>
      </w:r>
      <w:proofErr w:type="spellStart"/>
      <w:r w:rsidRPr="00121A6A">
        <w:rPr>
          <w:sz w:val="24"/>
          <w:szCs w:val="24"/>
          <w:lang w:val="en-US"/>
        </w:rPr>
        <w:t>Intersentia</w:t>
      </w:r>
      <w:proofErr w:type="spellEnd"/>
      <w:r w:rsidRPr="00121A6A">
        <w:rPr>
          <w:sz w:val="24"/>
          <w:szCs w:val="24"/>
          <w:lang w:val="en-US"/>
        </w:rPr>
        <w:t xml:space="preserve"> 2011,</w:t>
      </w:r>
      <w:r w:rsidR="00E15A23" w:rsidRPr="00121A6A">
        <w:rPr>
          <w:sz w:val="24"/>
          <w:szCs w:val="24"/>
          <w:lang w:val="en-US"/>
        </w:rPr>
        <w:t xml:space="preserve"> p.</w:t>
      </w:r>
      <w:r w:rsidRPr="00121A6A">
        <w:rPr>
          <w:sz w:val="24"/>
          <w:szCs w:val="24"/>
          <w:lang w:val="en-US"/>
        </w:rPr>
        <w:t xml:space="preserve"> 17-34</w:t>
      </w:r>
      <w:r w:rsidR="00E15A23" w:rsidRPr="00121A6A">
        <w:rPr>
          <w:sz w:val="24"/>
          <w:szCs w:val="24"/>
          <w:lang w:val="en-US"/>
        </w:rPr>
        <w:t>.</w:t>
      </w:r>
    </w:p>
    <w:p w14:paraId="08E2CA58" w14:textId="77777777" w:rsidR="007B7E6E" w:rsidRPr="00121A6A" w:rsidRDefault="007B7E6E" w:rsidP="007B7E6E">
      <w:pPr>
        <w:spacing w:after="0"/>
        <w:jc w:val="both"/>
        <w:rPr>
          <w:sz w:val="24"/>
          <w:szCs w:val="24"/>
          <w:lang w:val="en-US"/>
        </w:rPr>
      </w:pPr>
    </w:p>
    <w:p w14:paraId="0F1A6CE8" w14:textId="77777777" w:rsidR="00B525F4" w:rsidRPr="00121A6A" w:rsidRDefault="00B525F4" w:rsidP="00030EF2">
      <w:pPr>
        <w:spacing w:after="0"/>
        <w:jc w:val="both"/>
        <w:rPr>
          <w:b/>
          <w:bCs/>
          <w:sz w:val="24"/>
          <w:szCs w:val="24"/>
          <w:lang w:val="en-US"/>
        </w:rPr>
      </w:pPr>
      <w:r w:rsidRPr="00121A6A">
        <w:rPr>
          <w:b/>
          <w:bCs/>
          <w:sz w:val="24"/>
          <w:szCs w:val="24"/>
          <w:lang w:val="en-US"/>
        </w:rPr>
        <w:t>De Witte 2021</w:t>
      </w:r>
    </w:p>
    <w:p w14:paraId="74493406" w14:textId="46F38590" w:rsidR="002C168A" w:rsidRDefault="00B525F4" w:rsidP="00030EF2">
      <w:pPr>
        <w:spacing w:after="0"/>
        <w:jc w:val="both"/>
        <w:rPr>
          <w:sz w:val="24"/>
          <w:szCs w:val="24"/>
          <w:lang w:val="en-US"/>
        </w:rPr>
      </w:pPr>
      <w:r w:rsidRPr="00121A6A">
        <w:rPr>
          <w:sz w:val="24"/>
          <w:szCs w:val="24"/>
          <w:lang w:val="en-US"/>
        </w:rPr>
        <w:t xml:space="preserve">B. de Witte, ‘Art. 53 – Level of Protection’, in: S. Peers </w:t>
      </w:r>
      <w:proofErr w:type="spellStart"/>
      <w:r w:rsidRPr="00121A6A">
        <w:rPr>
          <w:sz w:val="24"/>
          <w:szCs w:val="24"/>
          <w:lang w:val="en-US"/>
        </w:rPr>
        <w:t>e.a.</w:t>
      </w:r>
      <w:proofErr w:type="spellEnd"/>
      <w:r w:rsidR="00251E6D" w:rsidRPr="00121A6A">
        <w:rPr>
          <w:sz w:val="24"/>
          <w:szCs w:val="24"/>
          <w:lang w:val="en-US"/>
        </w:rPr>
        <w:t xml:space="preserve"> (</w:t>
      </w:r>
      <w:r w:rsidR="00F14AC5">
        <w:rPr>
          <w:sz w:val="24"/>
          <w:szCs w:val="24"/>
          <w:lang w:val="en-US"/>
        </w:rPr>
        <w:t>eds</w:t>
      </w:r>
      <w:r w:rsidR="00251E6D" w:rsidRPr="00121A6A">
        <w:rPr>
          <w:sz w:val="24"/>
          <w:szCs w:val="24"/>
          <w:lang w:val="en-US"/>
        </w:rPr>
        <w:t>.)</w:t>
      </w:r>
      <w:r w:rsidRPr="00121A6A">
        <w:rPr>
          <w:sz w:val="24"/>
          <w:szCs w:val="24"/>
          <w:lang w:val="en-US"/>
        </w:rPr>
        <w:t xml:space="preserve">, </w:t>
      </w:r>
      <w:r w:rsidRPr="00121A6A">
        <w:rPr>
          <w:i/>
          <w:iCs/>
          <w:sz w:val="24"/>
          <w:szCs w:val="24"/>
          <w:lang w:val="en-US"/>
        </w:rPr>
        <w:t xml:space="preserve">The EU Charter of Fundamental Rights: </w:t>
      </w:r>
      <w:r w:rsidR="000A53D3">
        <w:rPr>
          <w:i/>
          <w:iCs/>
          <w:sz w:val="24"/>
          <w:szCs w:val="24"/>
          <w:lang w:val="en-US"/>
        </w:rPr>
        <w:t>A</w:t>
      </w:r>
      <w:r w:rsidRPr="00121A6A">
        <w:rPr>
          <w:i/>
          <w:iCs/>
          <w:sz w:val="24"/>
          <w:szCs w:val="24"/>
          <w:lang w:val="en-US"/>
        </w:rPr>
        <w:t xml:space="preserve"> commentary</w:t>
      </w:r>
      <w:r w:rsidRPr="00121A6A">
        <w:rPr>
          <w:sz w:val="24"/>
          <w:szCs w:val="24"/>
          <w:lang w:val="en-US"/>
        </w:rPr>
        <w:t>, Oxford</w:t>
      </w:r>
      <w:r w:rsidR="00D160AE" w:rsidRPr="00121A6A">
        <w:rPr>
          <w:sz w:val="24"/>
          <w:szCs w:val="24"/>
          <w:lang w:val="en-US"/>
        </w:rPr>
        <w:t xml:space="preserve">, </w:t>
      </w:r>
      <w:r w:rsidR="00F14AC5">
        <w:rPr>
          <w:sz w:val="24"/>
          <w:szCs w:val="24"/>
          <w:lang w:val="en-US"/>
        </w:rPr>
        <w:t>UK</w:t>
      </w:r>
      <w:r w:rsidRPr="00121A6A">
        <w:rPr>
          <w:sz w:val="24"/>
          <w:szCs w:val="24"/>
          <w:lang w:val="en-US"/>
        </w:rPr>
        <w:t>: Hart Publishing 2021</w:t>
      </w:r>
      <w:r w:rsidR="00A264FF" w:rsidRPr="00121A6A">
        <w:rPr>
          <w:sz w:val="24"/>
          <w:szCs w:val="24"/>
          <w:lang w:val="en-US"/>
        </w:rPr>
        <w:t>, p. 1675-1690.</w:t>
      </w:r>
    </w:p>
    <w:p w14:paraId="456C1D6D" w14:textId="77777777" w:rsidR="00CD76EA" w:rsidRDefault="00CD76EA" w:rsidP="00030EF2">
      <w:pPr>
        <w:spacing w:after="0"/>
        <w:jc w:val="both"/>
        <w:rPr>
          <w:b/>
          <w:bCs/>
          <w:sz w:val="24"/>
          <w:szCs w:val="24"/>
          <w:lang w:val="en-US"/>
        </w:rPr>
      </w:pPr>
    </w:p>
    <w:p w14:paraId="0B50402E" w14:textId="1289A42D" w:rsidR="00B525F4" w:rsidRPr="00121A6A" w:rsidRDefault="00B525F4" w:rsidP="00030EF2">
      <w:pPr>
        <w:spacing w:after="0"/>
        <w:jc w:val="both"/>
        <w:rPr>
          <w:b/>
          <w:bCs/>
          <w:sz w:val="24"/>
          <w:szCs w:val="24"/>
          <w:lang w:val="en-US"/>
        </w:rPr>
      </w:pPr>
      <w:proofErr w:type="spellStart"/>
      <w:r w:rsidRPr="00121A6A">
        <w:rPr>
          <w:b/>
          <w:bCs/>
          <w:sz w:val="24"/>
          <w:szCs w:val="24"/>
          <w:lang w:val="en-US"/>
        </w:rPr>
        <w:t>Dorssemont</w:t>
      </w:r>
      <w:proofErr w:type="spellEnd"/>
      <w:r w:rsidRPr="00121A6A">
        <w:rPr>
          <w:b/>
          <w:bCs/>
          <w:sz w:val="24"/>
          <w:szCs w:val="24"/>
          <w:lang w:val="en-US"/>
        </w:rPr>
        <w:t xml:space="preserve">, </w:t>
      </w:r>
      <w:r w:rsidRPr="00121A6A">
        <w:rPr>
          <w:b/>
          <w:bCs/>
          <w:i/>
          <w:iCs/>
          <w:sz w:val="24"/>
          <w:szCs w:val="24"/>
          <w:lang w:val="en-US"/>
        </w:rPr>
        <w:t>ELLJ</w:t>
      </w:r>
      <w:r w:rsidRPr="00121A6A">
        <w:rPr>
          <w:b/>
          <w:bCs/>
          <w:sz w:val="24"/>
          <w:szCs w:val="24"/>
          <w:lang w:val="en-US"/>
        </w:rPr>
        <w:t xml:space="preserve"> 2010</w:t>
      </w:r>
    </w:p>
    <w:p w14:paraId="20BAEBD2" w14:textId="6B4F80FD" w:rsidR="00B525F4" w:rsidRPr="00121A6A" w:rsidRDefault="00B525F4" w:rsidP="00030EF2">
      <w:pPr>
        <w:spacing w:after="0"/>
        <w:jc w:val="both"/>
        <w:rPr>
          <w:sz w:val="24"/>
          <w:szCs w:val="24"/>
          <w:lang w:val="en-US"/>
        </w:rPr>
      </w:pPr>
      <w:r w:rsidRPr="00121A6A">
        <w:rPr>
          <w:sz w:val="24"/>
          <w:szCs w:val="24"/>
          <w:lang w:val="en-US"/>
        </w:rPr>
        <w:t xml:space="preserve">F. </w:t>
      </w:r>
      <w:proofErr w:type="spellStart"/>
      <w:r w:rsidRPr="00121A6A">
        <w:rPr>
          <w:sz w:val="24"/>
          <w:szCs w:val="24"/>
          <w:lang w:val="en-US"/>
        </w:rPr>
        <w:t>Dorssemont</w:t>
      </w:r>
      <w:proofErr w:type="spellEnd"/>
      <w:r w:rsidRPr="00121A6A">
        <w:rPr>
          <w:sz w:val="24"/>
          <w:szCs w:val="24"/>
          <w:lang w:val="en-US"/>
        </w:rPr>
        <w:t xml:space="preserve">, ‘The Right to Form and to Join Trade Unions for the Protection of His Interests under Article 11 ECHR. An Attempt “to Digest” the Case Law (1975–2009) of the European Court on Human Rights’, </w:t>
      </w:r>
      <w:r w:rsidRPr="00121A6A">
        <w:rPr>
          <w:i/>
          <w:iCs/>
          <w:sz w:val="24"/>
          <w:szCs w:val="24"/>
          <w:lang w:val="en-US"/>
        </w:rPr>
        <w:t xml:space="preserve">European </w:t>
      </w:r>
      <w:proofErr w:type="spellStart"/>
      <w:r w:rsidRPr="00121A6A">
        <w:rPr>
          <w:i/>
          <w:iCs/>
          <w:sz w:val="24"/>
          <w:szCs w:val="24"/>
          <w:lang w:val="en-US"/>
        </w:rPr>
        <w:t>Labour</w:t>
      </w:r>
      <w:proofErr w:type="spellEnd"/>
      <w:r w:rsidRPr="00121A6A">
        <w:rPr>
          <w:i/>
          <w:iCs/>
          <w:sz w:val="24"/>
          <w:szCs w:val="24"/>
          <w:lang w:val="en-US"/>
        </w:rPr>
        <w:t xml:space="preserve"> Law Journal </w:t>
      </w:r>
      <w:r w:rsidRPr="00121A6A">
        <w:rPr>
          <w:sz w:val="24"/>
          <w:szCs w:val="24"/>
          <w:lang w:val="en-US"/>
        </w:rPr>
        <w:t>2010</w:t>
      </w:r>
      <w:r w:rsidR="00C55BCB" w:rsidRPr="00121A6A">
        <w:rPr>
          <w:sz w:val="24"/>
          <w:szCs w:val="24"/>
          <w:lang w:val="en-US"/>
        </w:rPr>
        <w:t xml:space="preserve">, </w:t>
      </w:r>
      <w:proofErr w:type="spellStart"/>
      <w:r w:rsidR="00C55BCB" w:rsidRPr="00121A6A">
        <w:rPr>
          <w:sz w:val="24"/>
          <w:szCs w:val="24"/>
          <w:lang w:val="en-US"/>
        </w:rPr>
        <w:t>afl</w:t>
      </w:r>
      <w:proofErr w:type="spellEnd"/>
      <w:r w:rsidR="00C55BCB" w:rsidRPr="00121A6A">
        <w:rPr>
          <w:sz w:val="24"/>
          <w:szCs w:val="24"/>
          <w:lang w:val="en-US"/>
        </w:rPr>
        <w:t>. 2</w:t>
      </w:r>
      <w:r w:rsidRPr="00121A6A">
        <w:rPr>
          <w:sz w:val="24"/>
          <w:szCs w:val="24"/>
          <w:lang w:val="en-US"/>
        </w:rPr>
        <w:t>, p. 185-235.</w:t>
      </w:r>
    </w:p>
    <w:p w14:paraId="4069E99D" w14:textId="77777777" w:rsidR="00300364" w:rsidRPr="00121A6A" w:rsidRDefault="00300364" w:rsidP="00030EF2">
      <w:pPr>
        <w:spacing w:after="0"/>
        <w:jc w:val="both"/>
        <w:rPr>
          <w:sz w:val="24"/>
          <w:szCs w:val="24"/>
          <w:lang w:val="en-US"/>
        </w:rPr>
      </w:pPr>
    </w:p>
    <w:p w14:paraId="52F409DF" w14:textId="77777777" w:rsidR="00217971" w:rsidRDefault="00217971" w:rsidP="00030EF2">
      <w:pPr>
        <w:spacing w:after="0"/>
        <w:jc w:val="both"/>
        <w:rPr>
          <w:b/>
          <w:bCs/>
          <w:sz w:val="24"/>
          <w:szCs w:val="24"/>
          <w:lang w:val="en-US"/>
        </w:rPr>
      </w:pPr>
    </w:p>
    <w:p w14:paraId="77652478" w14:textId="51660C55" w:rsidR="00300364" w:rsidRPr="00121A6A" w:rsidRDefault="00300364" w:rsidP="00030EF2">
      <w:pPr>
        <w:spacing w:after="0"/>
        <w:jc w:val="both"/>
        <w:rPr>
          <w:b/>
          <w:bCs/>
          <w:sz w:val="24"/>
          <w:szCs w:val="24"/>
          <w:lang w:val="en-US"/>
        </w:rPr>
      </w:pPr>
      <w:proofErr w:type="spellStart"/>
      <w:r w:rsidRPr="00121A6A">
        <w:rPr>
          <w:b/>
          <w:bCs/>
          <w:sz w:val="24"/>
          <w:szCs w:val="24"/>
          <w:lang w:val="en-US"/>
        </w:rPr>
        <w:lastRenderedPageBreak/>
        <w:t>Dorssemont</w:t>
      </w:r>
      <w:proofErr w:type="spellEnd"/>
      <w:r w:rsidRPr="00121A6A">
        <w:rPr>
          <w:b/>
          <w:bCs/>
          <w:sz w:val="24"/>
          <w:szCs w:val="24"/>
          <w:lang w:val="en-US"/>
        </w:rPr>
        <w:t xml:space="preserve"> 2011</w:t>
      </w:r>
    </w:p>
    <w:p w14:paraId="75652286" w14:textId="06256E09" w:rsidR="00300364" w:rsidRPr="00121A6A" w:rsidRDefault="00300364" w:rsidP="00030EF2">
      <w:pPr>
        <w:spacing w:after="0"/>
        <w:jc w:val="both"/>
        <w:rPr>
          <w:sz w:val="24"/>
          <w:szCs w:val="24"/>
          <w:lang w:val="en-US"/>
        </w:rPr>
      </w:pPr>
      <w:r w:rsidRPr="00121A6A">
        <w:rPr>
          <w:sz w:val="24"/>
          <w:szCs w:val="24"/>
          <w:lang w:val="en-US"/>
        </w:rPr>
        <w:t xml:space="preserve">F. </w:t>
      </w:r>
      <w:proofErr w:type="spellStart"/>
      <w:r w:rsidRPr="00121A6A">
        <w:rPr>
          <w:sz w:val="24"/>
          <w:szCs w:val="24"/>
          <w:lang w:val="en-US"/>
        </w:rPr>
        <w:t>Dorssemont</w:t>
      </w:r>
      <w:proofErr w:type="spellEnd"/>
      <w:r w:rsidRPr="00121A6A">
        <w:rPr>
          <w:sz w:val="24"/>
          <w:szCs w:val="24"/>
          <w:lang w:val="en-US"/>
        </w:rPr>
        <w:t xml:space="preserve">, ‘How the European Court of Human Rights gave us </w:t>
      </w:r>
      <w:proofErr w:type="spellStart"/>
      <w:r w:rsidRPr="00121A6A">
        <w:rPr>
          <w:i/>
          <w:iCs/>
          <w:sz w:val="24"/>
          <w:szCs w:val="24"/>
          <w:lang w:val="en-US"/>
        </w:rPr>
        <w:t>Enerji</w:t>
      </w:r>
      <w:proofErr w:type="spellEnd"/>
      <w:r w:rsidRPr="00121A6A">
        <w:rPr>
          <w:sz w:val="24"/>
          <w:szCs w:val="24"/>
          <w:lang w:val="en-US"/>
        </w:rPr>
        <w:t xml:space="preserve"> to cope with </w:t>
      </w:r>
      <w:r w:rsidRPr="00121A6A">
        <w:rPr>
          <w:i/>
          <w:iCs/>
          <w:sz w:val="24"/>
          <w:szCs w:val="24"/>
          <w:lang w:val="en-US"/>
        </w:rPr>
        <w:t>Laval</w:t>
      </w:r>
      <w:r w:rsidRPr="00121A6A">
        <w:rPr>
          <w:sz w:val="24"/>
          <w:szCs w:val="24"/>
          <w:lang w:val="en-US"/>
        </w:rPr>
        <w:t xml:space="preserve"> and </w:t>
      </w:r>
      <w:r w:rsidRPr="00121A6A">
        <w:rPr>
          <w:i/>
          <w:iCs/>
          <w:sz w:val="24"/>
          <w:szCs w:val="24"/>
          <w:lang w:val="en-US"/>
        </w:rPr>
        <w:t>Viking</w:t>
      </w:r>
      <w:r w:rsidRPr="00121A6A">
        <w:rPr>
          <w:sz w:val="24"/>
          <w:szCs w:val="24"/>
          <w:lang w:val="en-US"/>
        </w:rPr>
        <w:t>’, in: M.-A. Moreau (</w:t>
      </w:r>
      <w:r w:rsidR="00F14AC5">
        <w:rPr>
          <w:sz w:val="24"/>
          <w:szCs w:val="24"/>
          <w:lang w:val="en-US"/>
        </w:rPr>
        <w:t>ed</w:t>
      </w:r>
      <w:r w:rsidRPr="00121A6A">
        <w:rPr>
          <w:sz w:val="24"/>
          <w:szCs w:val="24"/>
          <w:lang w:val="en-US"/>
        </w:rPr>
        <w:t xml:space="preserve">.), </w:t>
      </w:r>
      <w:r w:rsidRPr="00121A6A">
        <w:rPr>
          <w:i/>
          <w:iCs/>
          <w:sz w:val="24"/>
          <w:szCs w:val="24"/>
          <w:lang w:val="en-US"/>
        </w:rPr>
        <w:t>Before and After the Economic Crisis. What Implications for the ‘European Social Model’?</w:t>
      </w:r>
      <w:r w:rsidRPr="00121A6A">
        <w:rPr>
          <w:sz w:val="24"/>
          <w:szCs w:val="24"/>
          <w:lang w:val="en-US"/>
        </w:rPr>
        <w:t xml:space="preserve">, Cheltenham, </w:t>
      </w:r>
      <w:r w:rsidR="00F14AC5">
        <w:rPr>
          <w:sz w:val="24"/>
          <w:szCs w:val="24"/>
          <w:lang w:val="en-US"/>
        </w:rPr>
        <w:t>UK</w:t>
      </w:r>
      <w:r w:rsidRPr="00121A6A">
        <w:rPr>
          <w:sz w:val="24"/>
          <w:szCs w:val="24"/>
          <w:lang w:val="en-US"/>
        </w:rPr>
        <w:t>: Edward Elgar Publishing Limited 2011, p. 217-235.</w:t>
      </w:r>
    </w:p>
    <w:p w14:paraId="04ACB48C" w14:textId="77777777" w:rsidR="00861824" w:rsidRPr="00121A6A" w:rsidRDefault="00861824" w:rsidP="00030EF2">
      <w:pPr>
        <w:spacing w:after="0"/>
        <w:jc w:val="both"/>
        <w:rPr>
          <w:sz w:val="24"/>
          <w:szCs w:val="24"/>
          <w:lang w:val="en-US"/>
        </w:rPr>
      </w:pPr>
    </w:p>
    <w:p w14:paraId="707EA9B4" w14:textId="6D047AC0" w:rsidR="00861824" w:rsidRPr="00121A6A" w:rsidRDefault="00861824" w:rsidP="00030EF2">
      <w:pPr>
        <w:spacing w:after="0"/>
        <w:jc w:val="both"/>
        <w:rPr>
          <w:b/>
          <w:bCs/>
          <w:sz w:val="24"/>
          <w:szCs w:val="24"/>
        </w:rPr>
      </w:pPr>
      <w:proofErr w:type="spellStart"/>
      <w:r w:rsidRPr="00121A6A">
        <w:rPr>
          <w:b/>
          <w:bCs/>
          <w:sz w:val="24"/>
          <w:szCs w:val="24"/>
        </w:rPr>
        <w:t>Dorssemont</w:t>
      </w:r>
      <w:proofErr w:type="spellEnd"/>
      <w:r w:rsidRPr="00121A6A">
        <w:rPr>
          <w:b/>
          <w:bCs/>
          <w:sz w:val="24"/>
          <w:szCs w:val="24"/>
        </w:rPr>
        <w:t xml:space="preserve">, </w:t>
      </w:r>
      <w:proofErr w:type="spellStart"/>
      <w:r w:rsidRPr="00121A6A">
        <w:rPr>
          <w:b/>
          <w:bCs/>
          <w:i/>
          <w:iCs/>
          <w:sz w:val="24"/>
          <w:szCs w:val="24"/>
        </w:rPr>
        <w:t>ArA</w:t>
      </w:r>
      <w:proofErr w:type="spellEnd"/>
      <w:r w:rsidRPr="00121A6A">
        <w:rPr>
          <w:b/>
          <w:bCs/>
          <w:sz w:val="24"/>
          <w:szCs w:val="24"/>
        </w:rPr>
        <w:t xml:space="preserve"> 2012</w:t>
      </w:r>
    </w:p>
    <w:p w14:paraId="3301A2E8" w14:textId="50253196" w:rsidR="00861824" w:rsidRPr="00121A6A" w:rsidRDefault="00861824" w:rsidP="00861824">
      <w:pPr>
        <w:spacing w:after="0"/>
        <w:jc w:val="both"/>
        <w:rPr>
          <w:sz w:val="24"/>
          <w:szCs w:val="24"/>
        </w:rPr>
      </w:pPr>
      <w:r w:rsidRPr="00121A6A">
        <w:rPr>
          <w:sz w:val="24"/>
          <w:szCs w:val="24"/>
        </w:rPr>
        <w:t xml:space="preserve">F. </w:t>
      </w:r>
      <w:proofErr w:type="spellStart"/>
      <w:r w:rsidRPr="00121A6A">
        <w:rPr>
          <w:sz w:val="24"/>
          <w:szCs w:val="24"/>
        </w:rPr>
        <w:t>Dorssemont</w:t>
      </w:r>
      <w:proofErr w:type="spellEnd"/>
      <w:r w:rsidRPr="00121A6A">
        <w:rPr>
          <w:sz w:val="24"/>
          <w:szCs w:val="24"/>
        </w:rPr>
        <w:t xml:space="preserve">, ‘De </w:t>
      </w:r>
      <w:proofErr w:type="spellStart"/>
      <w:r w:rsidRPr="00121A6A">
        <w:rPr>
          <w:sz w:val="24"/>
          <w:szCs w:val="24"/>
        </w:rPr>
        <w:t>ontwerp-Verordening</w:t>
      </w:r>
      <w:proofErr w:type="spellEnd"/>
      <w:r w:rsidRPr="00121A6A">
        <w:rPr>
          <w:sz w:val="24"/>
          <w:szCs w:val="24"/>
        </w:rPr>
        <w:t xml:space="preserve"> Monti II, oude wijn (azijn) in nieuwe zakken? De uitoefening van het recht op collectieve actie in tijden van vrijheid van vestiging en van dienstverrichting’, </w:t>
      </w:r>
      <w:r w:rsidRPr="00121A6A">
        <w:rPr>
          <w:i/>
          <w:iCs/>
          <w:sz w:val="24"/>
          <w:szCs w:val="24"/>
        </w:rPr>
        <w:t xml:space="preserve">Arbeidsrechtelijke Annotaties </w:t>
      </w:r>
      <w:r w:rsidRPr="00121A6A">
        <w:rPr>
          <w:sz w:val="24"/>
          <w:szCs w:val="24"/>
        </w:rPr>
        <w:t>2012</w:t>
      </w:r>
      <w:r w:rsidR="003B2E36" w:rsidRPr="00121A6A">
        <w:rPr>
          <w:sz w:val="24"/>
          <w:szCs w:val="24"/>
        </w:rPr>
        <w:t xml:space="preserve">, afl. </w:t>
      </w:r>
      <w:r w:rsidRPr="00121A6A">
        <w:rPr>
          <w:sz w:val="24"/>
          <w:szCs w:val="24"/>
        </w:rPr>
        <w:t>2</w:t>
      </w:r>
      <w:r w:rsidR="003B2E36" w:rsidRPr="00121A6A">
        <w:rPr>
          <w:sz w:val="24"/>
          <w:szCs w:val="24"/>
        </w:rPr>
        <w:t>,</w:t>
      </w:r>
      <w:r w:rsidRPr="00121A6A">
        <w:rPr>
          <w:sz w:val="24"/>
          <w:szCs w:val="24"/>
        </w:rPr>
        <w:t xml:space="preserve"> p. 3-35.</w:t>
      </w:r>
    </w:p>
    <w:p w14:paraId="7FA3790C" w14:textId="77777777" w:rsidR="00191F65" w:rsidRPr="00121A6A" w:rsidRDefault="00191F65" w:rsidP="00861824">
      <w:pPr>
        <w:spacing w:after="0"/>
        <w:jc w:val="both"/>
        <w:rPr>
          <w:sz w:val="24"/>
          <w:szCs w:val="24"/>
        </w:rPr>
      </w:pPr>
    </w:p>
    <w:p w14:paraId="4D26A957" w14:textId="2EA8C6A4" w:rsidR="00191F65" w:rsidRPr="00121A6A" w:rsidRDefault="00191F65" w:rsidP="00861824">
      <w:pPr>
        <w:spacing w:after="0"/>
        <w:jc w:val="both"/>
        <w:rPr>
          <w:b/>
          <w:bCs/>
          <w:sz w:val="24"/>
          <w:szCs w:val="24"/>
          <w:lang w:val="en-US"/>
        </w:rPr>
      </w:pPr>
      <w:proofErr w:type="spellStart"/>
      <w:r w:rsidRPr="00121A6A">
        <w:rPr>
          <w:b/>
          <w:bCs/>
          <w:sz w:val="24"/>
          <w:szCs w:val="24"/>
          <w:lang w:val="en-US"/>
        </w:rPr>
        <w:t>Dorssemont</w:t>
      </w:r>
      <w:proofErr w:type="spellEnd"/>
      <w:r w:rsidRPr="00121A6A">
        <w:rPr>
          <w:b/>
          <w:bCs/>
          <w:sz w:val="24"/>
          <w:szCs w:val="24"/>
          <w:lang w:val="en-US"/>
        </w:rPr>
        <w:t xml:space="preserve"> 2013</w:t>
      </w:r>
    </w:p>
    <w:p w14:paraId="7B4D3848" w14:textId="072D39A4" w:rsidR="00191F65" w:rsidRPr="00121A6A" w:rsidRDefault="00191F65" w:rsidP="00861824">
      <w:pPr>
        <w:spacing w:after="0"/>
        <w:jc w:val="both"/>
        <w:rPr>
          <w:sz w:val="24"/>
          <w:szCs w:val="24"/>
          <w:lang w:val="en-US"/>
        </w:rPr>
      </w:pPr>
      <w:r w:rsidRPr="00121A6A">
        <w:rPr>
          <w:sz w:val="24"/>
          <w:szCs w:val="24"/>
          <w:lang w:val="en-US"/>
        </w:rPr>
        <w:t xml:space="preserve">F. </w:t>
      </w:r>
      <w:proofErr w:type="spellStart"/>
      <w:r w:rsidRPr="00121A6A">
        <w:rPr>
          <w:sz w:val="24"/>
          <w:szCs w:val="24"/>
          <w:lang w:val="en-US"/>
        </w:rPr>
        <w:t>Dorssemont</w:t>
      </w:r>
      <w:proofErr w:type="spellEnd"/>
      <w:r w:rsidRPr="00121A6A">
        <w:rPr>
          <w:sz w:val="24"/>
          <w:szCs w:val="24"/>
          <w:lang w:val="en-US"/>
        </w:rPr>
        <w:t xml:space="preserve">, ‘The Right to Take Collective Action under Article 11 ECHR’, in: F. </w:t>
      </w:r>
      <w:proofErr w:type="spellStart"/>
      <w:r w:rsidRPr="00121A6A">
        <w:rPr>
          <w:sz w:val="24"/>
          <w:szCs w:val="24"/>
          <w:lang w:val="en-US"/>
        </w:rPr>
        <w:t>Dorssemont</w:t>
      </w:r>
      <w:proofErr w:type="spellEnd"/>
      <w:r w:rsidRPr="00121A6A">
        <w:rPr>
          <w:sz w:val="24"/>
          <w:szCs w:val="24"/>
          <w:lang w:val="en-US"/>
        </w:rPr>
        <w:t xml:space="preserve">, K. </w:t>
      </w:r>
      <w:proofErr w:type="spellStart"/>
      <w:r w:rsidRPr="00121A6A">
        <w:rPr>
          <w:sz w:val="24"/>
          <w:szCs w:val="24"/>
          <w:lang w:val="en-US"/>
        </w:rPr>
        <w:t>Lörcher</w:t>
      </w:r>
      <w:proofErr w:type="spellEnd"/>
      <w:r w:rsidRPr="00121A6A">
        <w:rPr>
          <w:sz w:val="24"/>
          <w:szCs w:val="24"/>
          <w:lang w:val="en-US"/>
        </w:rPr>
        <w:t xml:space="preserve"> &amp; I. </w:t>
      </w:r>
      <w:proofErr w:type="spellStart"/>
      <w:r w:rsidRPr="00121A6A">
        <w:rPr>
          <w:sz w:val="24"/>
          <w:szCs w:val="24"/>
          <w:lang w:val="en-US"/>
        </w:rPr>
        <w:t>Schömann</w:t>
      </w:r>
      <w:proofErr w:type="spellEnd"/>
      <w:r w:rsidRPr="00121A6A">
        <w:rPr>
          <w:sz w:val="24"/>
          <w:szCs w:val="24"/>
          <w:lang w:val="en-US"/>
        </w:rPr>
        <w:t xml:space="preserve"> (</w:t>
      </w:r>
      <w:r w:rsidR="00F14AC5">
        <w:rPr>
          <w:sz w:val="24"/>
          <w:szCs w:val="24"/>
          <w:lang w:val="en-US"/>
        </w:rPr>
        <w:t>eds</w:t>
      </w:r>
      <w:r w:rsidRPr="00121A6A">
        <w:rPr>
          <w:sz w:val="24"/>
          <w:szCs w:val="24"/>
          <w:lang w:val="en-US"/>
        </w:rPr>
        <w:t xml:space="preserve">.), </w:t>
      </w:r>
      <w:r w:rsidRPr="00121A6A">
        <w:rPr>
          <w:i/>
          <w:iCs/>
          <w:sz w:val="24"/>
          <w:szCs w:val="24"/>
          <w:lang w:val="en-US"/>
        </w:rPr>
        <w:t>The European Convention on Human Rights and the Employment Relation</w:t>
      </w:r>
      <w:r w:rsidRPr="00121A6A">
        <w:rPr>
          <w:sz w:val="24"/>
          <w:szCs w:val="24"/>
          <w:lang w:val="en-US"/>
        </w:rPr>
        <w:t>, Oxford</w:t>
      </w:r>
      <w:r w:rsidR="00D160AE" w:rsidRPr="00121A6A">
        <w:rPr>
          <w:sz w:val="24"/>
          <w:szCs w:val="24"/>
          <w:lang w:val="en-US"/>
        </w:rPr>
        <w:t xml:space="preserve">, </w:t>
      </w:r>
      <w:r w:rsidR="00F14AC5">
        <w:rPr>
          <w:sz w:val="24"/>
          <w:szCs w:val="24"/>
          <w:lang w:val="en-US"/>
        </w:rPr>
        <w:t>UK</w:t>
      </w:r>
      <w:r w:rsidRPr="00121A6A">
        <w:rPr>
          <w:sz w:val="24"/>
          <w:szCs w:val="24"/>
          <w:lang w:val="en-US"/>
        </w:rPr>
        <w:t>: Hart Publishing 2013</w:t>
      </w:r>
      <w:r w:rsidR="006665E7" w:rsidRPr="00121A6A">
        <w:rPr>
          <w:sz w:val="24"/>
          <w:szCs w:val="24"/>
          <w:lang w:val="en-US"/>
        </w:rPr>
        <w:t>, p. 333-36</w:t>
      </w:r>
      <w:r w:rsidR="004D06FC" w:rsidRPr="00121A6A">
        <w:rPr>
          <w:sz w:val="24"/>
          <w:szCs w:val="24"/>
          <w:lang w:val="en-US"/>
        </w:rPr>
        <w:t>5</w:t>
      </w:r>
      <w:r w:rsidR="006665E7" w:rsidRPr="00121A6A">
        <w:rPr>
          <w:sz w:val="24"/>
          <w:szCs w:val="24"/>
          <w:lang w:val="en-US"/>
        </w:rPr>
        <w:t>.</w:t>
      </w:r>
    </w:p>
    <w:p w14:paraId="3DF5993A" w14:textId="77777777" w:rsidR="00B525F4" w:rsidRPr="00121A6A" w:rsidRDefault="00B525F4" w:rsidP="00030EF2">
      <w:pPr>
        <w:spacing w:after="0"/>
        <w:jc w:val="both"/>
        <w:rPr>
          <w:sz w:val="24"/>
          <w:szCs w:val="24"/>
          <w:lang w:val="en-US"/>
        </w:rPr>
      </w:pPr>
    </w:p>
    <w:p w14:paraId="120419EB" w14:textId="738C1C0A" w:rsidR="00B525F4" w:rsidRPr="00121A6A" w:rsidRDefault="00B525F4" w:rsidP="00030EF2">
      <w:pPr>
        <w:spacing w:after="0"/>
        <w:jc w:val="both"/>
        <w:rPr>
          <w:b/>
          <w:bCs/>
          <w:sz w:val="24"/>
          <w:szCs w:val="24"/>
        </w:rPr>
      </w:pPr>
      <w:proofErr w:type="spellStart"/>
      <w:r w:rsidRPr="00121A6A">
        <w:rPr>
          <w:b/>
          <w:bCs/>
          <w:sz w:val="24"/>
          <w:szCs w:val="24"/>
        </w:rPr>
        <w:t>Dorssemont</w:t>
      </w:r>
      <w:proofErr w:type="spellEnd"/>
      <w:r w:rsidRPr="00121A6A">
        <w:rPr>
          <w:b/>
          <w:bCs/>
          <w:sz w:val="24"/>
          <w:szCs w:val="24"/>
        </w:rPr>
        <w:t xml:space="preserve">, </w:t>
      </w:r>
      <w:proofErr w:type="spellStart"/>
      <w:r w:rsidRPr="00121A6A">
        <w:rPr>
          <w:b/>
          <w:bCs/>
          <w:i/>
          <w:iCs/>
          <w:sz w:val="24"/>
          <w:szCs w:val="24"/>
        </w:rPr>
        <w:t>ArA</w:t>
      </w:r>
      <w:proofErr w:type="spellEnd"/>
      <w:r w:rsidRPr="00121A6A">
        <w:rPr>
          <w:b/>
          <w:bCs/>
          <w:sz w:val="24"/>
          <w:szCs w:val="24"/>
        </w:rPr>
        <w:t xml:space="preserve"> 2015</w:t>
      </w:r>
    </w:p>
    <w:p w14:paraId="426309AA" w14:textId="06541D8A" w:rsidR="00B525F4" w:rsidRPr="00121A6A" w:rsidRDefault="00B525F4" w:rsidP="00030EF2">
      <w:pPr>
        <w:spacing w:after="0"/>
        <w:jc w:val="both"/>
        <w:rPr>
          <w:sz w:val="24"/>
          <w:szCs w:val="24"/>
        </w:rPr>
      </w:pPr>
      <w:r w:rsidRPr="00121A6A">
        <w:rPr>
          <w:sz w:val="24"/>
          <w:szCs w:val="24"/>
        </w:rPr>
        <w:t xml:space="preserve">F. </w:t>
      </w:r>
      <w:proofErr w:type="spellStart"/>
      <w:r w:rsidRPr="00121A6A">
        <w:rPr>
          <w:sz w:val="24"/>
          <w:szCs w:val="24"/>
        </w:rPr>
        <w:t>Dorssemont</w:t>
      </w:r>
      <w:proofErr w:type="spellEnd"/>
      <w:r w:rsidRPr="00121A6A">
        <w:rPr>
          <w:sz w:val="24"/>
          <w:szCs w:val="24"/>
        </w:rPr>
        <w:t xml:space="preserve">, ‘Collectieve acties uit solidariteit, als </w:t>
      </w:r>
      <w:r w:rsidR="00251E6D" w:rsidRPr="00121A6A">
        <w:rPr>
          <w:sz w:val="24"/>
          <w:szCs w:val="24"/>
        </w:rPr>
        <w:t>corollarium</w:t>
      </w:r>
      <w:r w:rsidRPr="00121A6A">
        <w:rPr>
          <w:sz w:val="24"/>
          <w:szCs w:val="24"/>
        </w:rPr>
        <w:t xml:space="preserve"> van de vrijheid van collectief overleg (artikel 6 ESH) en van de vrijheid van vakvereniging (artikel 11 EVRM)’, </w:t>
      </w:r>
      <w:r w:rsidRPr="00121A6A">
        <w:rPr>
          <w:i/>
          <w:iCs/>
          <w:sz w:val="24"/>
          <w:szCs w:val="24"/>
        </w:rPr>
        <w:t>Arbeidsrechtelijke Annotaties</w:t>
      </w:r>
      <w:r w:rsidRPr="00121A6A">
        <w:rPr>
          <w:sz w:val="24"/>
          <w:szCs w:val="24"/>
        </w:rPr>
        <w:t xml:space="preserve"> 2015</w:t>
      </w:r>
      <w:r w:rsidR="003B2E36" w:rsidRPr="00121A6A">
        <w:rPr>
          <w:sz w:val="24"/>
          <w:szCs w:val="24"/>
        </w:rPr>
        <w:t>, afl. 2</w:t>
      </w:r>
      <w:r w:rsidRPr="00121A6A">
        <w:rPr>
          <w:sz w:val="24"/>
          <w:szCs w:val="24"/>
        </w:rPr>
        <w:t>,</w:t>
      </w:r>
      <w:r w:rsidR="003B2E36" w:rsidRPr="00121A6A">
        <w:rPr>
          <w:sz w:val="24"/>
          <w:szCs w:val="24"/>
        </w:rPr>
        <w:t xml:space="preserve"> </w:t>
      </w:r>
      <w:r w:rsidRPr="00121A6A">
        <w:rPr>
          <w:sz w:val="24"/>
          <w:szCs w:val="24"/>
        </w:rPr>
        <w:t>p. 72-105.</w:t>
      </w:r>
    </w:p>
    <w:p w14:paraId="75841F0F" w14:textId="77777777" w:rsidR="00A81717" w:rsidRPr="00121A6A" w:rsidRDefault="00A81717" w:rsidP="00030EF2">
      <w:pPr>
        <w:spacing w:after="0"/>
        <w:jc w:val="both"/>
        <w:rPr>
          <w:sz w:val="24"/>
          <w:szCs w:val="24"/>
        </w:rPr>
      </w:pPr>
    </w:p>
    <w:p w14:paraId="245B4A66" w14:textId="2E92B35F" w:rsidR="00A81717" w:rsidRPr="00121A6A" w:rsidRDefault="00A81717" w:rsidP="00030EF2">
      <w:pPr>
        <w:spacing w:after="0"/>
        <w:jc w:val="both"/>
        <w:rPr>
          <w:b/>
          <w:bCs/>
          <w:sz w:val="24"/>
          <w:szCs w:val="24"/>
          <w:lang w:val="en-US"/>
        </w:rPr>
      </w:pPr>
      <w:proofErr w:type="spellStart"/>
      <w:r w:rsidRPr="00121A6A">
        <w:rPr>
          <w:b/>
          <w:bCs/>
          <w:sz w:val="24"/>
          <w:szCs w:val="24"/>
          <w:lang w:val="en-US"/>
        </w:rPr>
        <w:t>Dorssemont</w:t>
      </w:r>
      <w:proofErr w:type="spellEnd"/>
      <w:r w:rsidRPr="00121A6A">
        <w:rPr>
          <w:b/>
          <w:bCs/>
          <w:sz w:val="24"/>
          <w:szCs w:val="24"/>
          <w:lang w:val="en-US"/>
        </w:rPr>
        <w:t xml:space="preserve"> 2017</w:t>
      </w:r>
    </w:p>
    <w:p w14:paraId="639F5BDE" w14:textId="6DBB9B04" w:rsidR="00A81717" w:rsidRPr="00121A6A" w:rsidRDefault="00A81717" w:rsidP="00030EF2">
      <w:pPr>
        <w:spacing w:after="0"/>
        <w:jc w:val="both"/>
        <w:rPr>
          <w:sz w:val="24"/>
          <w:szCs w:val="24"/>
          <w:lang w:val="en-US"/>
        </w:rPr>
      </w:pPr>
      <w:r w:rsidRPr="00121A6A">
        <w:rPr>
          <w:sz w:val="24"/>
          <w:szCs w:val="24"/>
          <w:lang w:val="en-US"/>
        </w:rPr>
        <w:t xml:space="preserve">F. </w:t>
      </w:r>
      <w:proofErr w:type="spellStart"/>
      <w:r w:rsidRPr="00121A6A">
        <w:rPr>
          <w:sz w:val="24"/>
          <w:szCs w:val="24"/>
          <w:lang w:val="en-US"/>
        </w:rPr>
        <w:t>Dorssemont</w:t>
      </w:r>
      <w:proofErr w:type="spellEnd"/>
      <w:r w:rsidRPr="00121A6A">
        <w:rPr>
          <w:sz w:val="24"/>
          <w:szCs w:val="24"/>
          <w:lang w:val="en-US"/>
        </w:rPr>
        <w:t>, ‘Article 6: The Right to Bargain Collect</w:t>
      </w:r>
      <w:r w:rsidR="00191F65" w:rsidRPr="00121A6A">
        <w:rPr>
          <w:sz w:val="24"/>
          <w:szCs w:val="24"/>
          <w:lang w:val="en-US"/>
        </w:rPr>
        <w:t>i</w:t>
      </w:r>
      <w:r w:rsidRPr="00121A6A">
        <w:rPr>
          <w:sz w:val="24"/>
          <w:szCs w:val="24"/>
          <w:lang w:val="en-US"/>
        </w:rPr>
        <w:t>vely: A Matrix for Industrial Relations’, in:</w:t>
      </w:r>
      <w:r w:rsidR="006F42E2" w:rsidRPr="00121A6A">
        <w:rPr>
          <w:sz w:val="24"/>
          <w:szCs w:val="24"/>
          <w:lang w:val="en-US"/>
        </w:rPr>
        <w:t xml:space="preserve"> N.</w:t>
      </w:r>
      <w:r w:rsidRPr="00121A6A">
        <w:rPr>
          <w:sz w:val="24"/>
          <w:szCs w:val="24"/>
          <w:lang w:val="en-US"/>
        </w:rPr>
        <w:t xml:space="preserve"> Bruun </w:t>
      </w:r>
      <w:proofErr w:type="spellStart"/>
      <w:r w:rsidRPr="00121A6A">
        <w:rPr>
          <w:sz w:val="24"/>
          <w:szCs w:val="24"/>
          <w:lang w:val="en-US"/>
        </w:rPr>
        <w:t>e.a.</w:t>
      </w:r>
      <w:proofErr w:type="spellEnd"/>
      <w:r w:rsidRPr="00121A6A">
        <w:rPr>
          <w:sz w:val="24"/>
          <w:szCs w:val="24"/>
          <w:lang w:val="en-US"/>
        </w:rPr>
        <w:t xml:space="preserve"> (</w:t>
      </w:r>
      <w:r w:rsidR="00F14AC5">
        <w:rPr>
          <w:sz w:val="24"/>
          <w:szCs w:val="24"/>
          <w:lang w:val="en-US"/>
        </w:rPr>
        <w:t>eds</w:t>
      </w:r>
      <w:r w:rsidRPr="00121A6A">
        <w:rPr>
          <w:sz w:val="24"/>
          <w:szCs w:val="24"/>
          <w:lang w:val="en-US"/>
        </w:rPr>
        <w:t>.</w:t>
      </w:r>
      <w:r w:rsidR="00191F65" w:rsidRPr="00121A6A">
        <w:rPr>
          <w:sz w:val="24"/>
          <w:szCs w:val="24"/>
          <w:lang w:val="en-US"/>
        </w:rPr>
        <w:t>)</w:t>
      </w:r>
      <w:r w:rsidRPr="00121A6A">
        <w:rPr>
          <w:sz w:val="24"/>
          <w:szCs w:val="24"/>
          <w:lang w:val="en-US"/>
        </w:rPr>
        <w:t xml:space="preserve">, </w:t>
      </w:r>
      <w:r w:rsidRPr="00121A6A">
        <w:rPr>
          <w:i/>
          <w:iCs/>
          <w:sz w:val="24"/>
          <w:szCs w:val="24"/>
          <w:lang w:val="en-US"/>
        </w:rPr>
        <w:t>The European Social Charter and the Employment Relation</w:t>
      </w:r>
      <w:r w:rsidRPr="00121A6A">
        <w:rPr>
          <w:sz w:val="24"/>
          <w:szCs w:val="24"/>
          <w:lang w:val="en-US"/>
        </w:rPr>
        <w:t xml:space="preserve">, Oxford, </w:t>
      </w:r>
      <w:r w:rsidR="00F14AC5">
        <w:rPr>
          <w:sz w:val="24"/>
          <w:szCs w:val="24"/>
          <w:lang w:val="en-US"/>
        </w:rPr>
        <w:t>UK</w:t>
      </w:r>
      <w:r w:rsidRPr="00121A6A">
        <w:rPr>
          <w:sz w:val="24"/>
          <w:szCs w:val="24"/>
          <w:lang w:val="en-US"/>
        </w:rPr>
        <w:t>: Hart Publishing 2017, p. 249-288.</w:t>
      </w:r>
    </w:p>
    <w:p w14:paraId="2E03F657" w14:textId="77777777" w:rsidR="00D160AE" w:rsidRPr="00121A6A" w:rsidRDefault="00D160AE" w:rsidP="00030EF2">
      <w:pPr>
        <w:spacing w:after="0"/>
        <w:jc w:val="both"/>
        <w:rPr>
          <w:sz w:val="24"/>
          <w:szCs w:val="24"/>
          <w:lang w:val="en-US"/>
        </w:rPr>
      </w:pPr>
    </w:p>
    <w:p w14:paraId="62BAE68B" w14:textId="49942C59" w:rsidR="00D160AE" w:rsidRPr="00121A6A" w:rsidRDefault="00D160AE" w:rsidP="00030EF2">
      <w:pPr>
        <w:spacing w:after="0"/>
        <w:jc w:val="both"/>
        <w:rPr>
          <w:b/>
          <w:bCs/>
          <w:sz w:val="24"/>
          <w:szCs w:val="24"/>
          <w:lang w:val="en-US"/>
        </w:rPr>
      </w:pPr>
      <w:proofErr w:type="spellStart"/>
      <w:r w:rsidRPr="00121A6A">
        <w:rPr>
          <w:b/>
          <w:bCs/>
          <w:sz w:val="24"/>
          <w:szCs w:val="24"/>
          <w:lang w:val="en-US"/>
        </w:rPr>
        <w:t>Dorssemont</w:t>
      </w:r>
      <w:proofErr w:type="spellEnd"/>
      <w:r w:rsidRPr="00121A6A">
        <w:rPr>
          <w:b/>
          <w:bCs/>
          <w:sz w:val="24"/>
          <w:szCs w:val="24"/>
          <w:lang w:val="en-US"/>
        </w:rPr>
        <w:t xml:space="preserve"> &amp; Rocca 2019</w:t>
      </w:r>
    </w:p>
    <w:p w14:paraId="51C90851" w14:textId="217E8881" w:rsidR="00D160AE" w:rsidRPr="00121A6A" w:rsidRDefault="00D160AE" w:rsidP="00030EF2">
      <w:pPr>
        <w:spacing w:after="0"/>
        <w:jc w:val="both"/>
        <w:rPr>
          <w:sz w:val="24"/>
          <w:szCs w:val="24"/>
          <w:lang w:val="en-US"/>
        </w:rPr>
      </w:pPr>
      <w:r w:rsidRPr="00121A6A">
        <w:rPr>
          <w:sz w:val="24"/>
          <w:szCs w:val="24"/>
          <w:lang w:val="en-US"/>
        </w:rPr>
        <w:t xml:space="preserve">F. </w:t>
      </w:r>
      <w:proofErr w:type="spellStart"/>
      <w:r w:rsidRPr="00121A6A">
        <w:rPr>
          <w:sz w:val="24"/>
          <w:szCs w:val="24"/>
          <w:lang w:val="en-US"/>
        </w:rPr>
        <w:t>Dorssemont</w:t>
      </w:r>
      <w:proofErr w:type="spellEnd"/>
      <w:r w:rsidRPr="00121A6A">
        <w:rPr>
          <w:sz w:val="24"/>
          <w:szCs w:val="24"/>
          <w:lang w:val="en-US"/>
        </w:rPr>
        <w:t xml:space="preserve"> &amp; M. Rocca, ‘Article 28 – Right of </w:t>
      </w:r>
      <w:proofErr w:type="spellStart"/>
      <w:r w:rsidRPr="00121A6A">
        <w:rPr>
          <w:sz w:val="24"/>
          <w:szCs w:val="24"/>
          <w:lang w:val="en-US"/>
        </w:rPr>
        <w:t>Collctive</w:t>
      </w:r>
      <w:proofErr w:type="spellEnd"/>
      <w:r w:rsidRPr="00121A6A">
        <w:rPr>
          <w:sz w:val="24"/>
          <w:szCs w:val="24"/>
          <w:lang w:val="en-US"/>
        </w:rPr>
        <w:t xml:space="preserve"> Bargaining and Action’, in: </w:t>
      </w:r>
      <w:proofErr w:type="spellStart"/>
      <w:r w:rsidRPr="00121A6A">
        <w:rPr>
          <w:sz w:val="24"/>
          <w:szCs w:val="24"/>
          <w:lang w:val="en-US"/>
        </w:rPr>
        <w:t>Dorssemont</w:t>
      </w:r>
      <w:proofErr w:type="spellEnd"/>
      <w:r w:rsidRPr="00121A6A">
        <w:rPr>
          <w:sz w:val="24"/>
          <w:szCs w:val="24"/>
          <w:lang w:val="en-US"/>
        </w:rPr>
        <w:t xml:space="preserve"> </w:t>
      </w:r>
      <w:proofErr w:type="spellStart"/>
      <w:r w:rsidRPr="00121A6A">
        <w:rPr>
          <w:sz w:val="24"/>
          <w:szCs w:val="24"/>
          <w:lang w:val="en-US"/>
        </w:rPr>
        <w:t>e.a.</w:t>
      </w:r>
      <w:proofErr w:type="spellEnd"/>
      <w:r w:rsidRPr="00121A6A">
        <w:rPr>
          <w:sz w:val="24"/>
          <w:szCs w:val="24"/>
          <w:lang w:val="en-US"/>
        </w:rPr>
        <w:t xml:space="preserve"> (</w:t>
      </w:r>
      <w:r w:rsidR="00F14AC5">
        <w:rPr>
          <w:sz w:val="24"/>
          <w:szCs w:val="24"/>
          <w:lang w:val="en-US"/>
        </w:rPr>
        <w:t>eds</w:t>
      </w:r>
      <w:r w:rsidRPr="00121A6A">
        <w:rPr>
          <w:sz w:val="24"/>
          <w:szCs w:val="24"/>
          <w:lang w:val="en-US"/>
        </w:rPr>
        <w:t xml:space="preserve">.), </w:t>
      </w:r>
      <w:r w:rsidRPr="00121A6A">
        <w:rPr>
          <w:i/>
          <w:iCs/>
          <w:sz w:val="24"/>
          <w:szCs w:val="24"/>
          <w:lang w:val="en-US"/>
        </w:rPr>
        <w:t>The Charter of Fundamental Rights of the European Union and the Employment Relation</w:t>
      </w:r>
      <w:r w:rsidRPr="00121A6A">
        <w:rPr>
          <w:sz w:val="24"/>
          <w:szCs w:val="24"/>
          <w:lang w:val="en-US"/>
        </w:rPr>
        <w:t xml:space="preserve">, Oxford, </w:t>
      </w:r>
      <w:r w:rsidR="00F14AC5">
        <w:rPr>
          <w:sz w:val="24"/>
          <w:szCs w:val="24"/>
          <w:lang w:val="en-US"/>
        </w:rPr>
        <w:t>UK</w:t>
      </w:r>
      <w:r w:rsidRPr="00121A6A">
        <w:rPr>
          <w:sz w:val="24"/>
          <w:szCs w:val="24"/>
          <w:lang w:val="en-US"/>
        </w:rPr>
        <w:t>: Hart Publishing 2019, p. 465-504.</w:t>
      </w:r>
    </w:p>
    <w:p w14:paraId="6C76888F" w14:textId="77777777" w:rsidR="00B525F4" w:rsidRPr="00121A6A" w:rsidRDefault="00B525F4" w:rsidP="00030EF2">
      <w:pPr>
        <w:spacing w:after="0"/>
        <w:jc w:val="both"/>
        <w:rPr>
          <w:sz w:val="24"/>
          <w:szCs w:val="24"/>
          <w:lang w:val="en-US"/>
        </w:rPr>
      </w:pPr>
    </w:p>
    <w:p w14:paraId="67275B69" w14:textId="5C079572" w:rsidR="00B525F4" w:rsidRPr="00121A6A" w:rsidRDefault="00B525F4" w:rsidP="00030EF2">
      <w:pPr>
        <w:spacing w:after="0"/>
        <w:jc w:val="both"/>
        <w:rPr>
          <w:b/>
          <w:bCs/>
          <w:sz w:val="24"/>
          <w:szCs w:val="24"/>
        </w:rPr>
      </w:pPr>
      <w:proofErr w:type="spellStart"/>
      <w:r w:rsidRPr="00121A6A">
        <w:rPr>
          <w:b/>
          <w:bCs/>
          <w:sz w:val="24"/>
          <w:szCs w:val="24"/>
        </w:rPr>
        <w:t>Dorssemont</w:t>
      </w:r>
      <w:proofErr w:type="spellEnd"/>
      <w:r w:rsidRPr="00121A6A">
        <w:rPr>
          <w:b/>
          <w:bCs/>
          <w:sz w:val="24"/>
          <w:szCs w:val="24"/>
        </w:rPr>
        <w:t xml:space="preserve">, </w:t>
      </w:r>
      <w:proofErr w:type="spellStart"/>
      <w:r w:rsidRPr="00121A6A">
        <w:rPr>
          <w:b/>
          <w:bCs/>
          <w:i/>
          <w:iCs/>
          <w:sz w:val="24"/>
          <w:szCs w:val="24"/>
        </w:rPr>
        <w:t>ArA</w:t>
      </w:r>
      <w:proofErr w:type="spellEnd"/>
      <w:r w:rsidRPr="00121A6A">
        <w:rPr>
          <w:b/>
          <w:bCs/>
          <w:sz w:val="24"/>
          <w:szCs w:val="24"/>
        </w:rPr>
        <w:t xml:space="preserve"> 2021</w:t>
      </w:r>
    </w:p>
    <w:p w14:paraId="6BEABC0F" w14:textId="1C59882F" w:rsidR="00B525F4" w:rsidRPr="00121A6A" w:rsidRDefault="00B525F4" w:rsidP="00030EF2">
      <w:pPr>
        <w:spacing w:after="0"/>
        <w:jc w:val="both"/>
        <w:rPr>
          <w:sz w:val="24"/>
          <w:szCs w:val="24"/>
        </w:rPr>
      </w:pPr>
      <w:r w:rsidRPr="00121A6A">
        <w:rPr>
          <w:sz w:val="24"/>
          <w:szCs w:val="24"/>
        </w:rPr>
        <w:t xml:space="preserve">F. </w:t>
      </w:r>
      <w:proofErr w:type="spellStart"/>
      <w:r w:rsidRPr="00121A6A">
        <w:rPr>
          <w:sz w:val="24"/>
          <w:szCs w:val="24"/>
        </w:rPr>
        <w:t>Dorssemont</w:t>
      </w:r>
      <w:proofErr w:type="spellEnd"/>
      <w:r w:rsidRPr="00121A6A">
        <w:rPr>
          <w:sz w:val="24"/>
          <w:szCs w:val="24"/>
        </w:rPr>
        <w:t xml:space="preserve">, ‘Het recht op collectieve actie versus de economische vrijheden’, </w:t>
      </w:r>
      <w:r w:rsidRPr="00121A6A">
        <w:rPr>
          <w:i/>
          <w:iCs/>
          <w:sz w:val="24"/>
          <w:szCs w:val="24"/>
        </w:rPr>
        <w:t>Arbeidsrechtelijke Annotaties</w:t>
      </w:r>
      <w:r w:rsidRPr="00121A6A">
        <w:rPr>
          <w:sz w:val="24"/>
          <w:szCs w:val="24"/>
        </w:rPr>
        <w:t xml:space="preserve"> 2021</w:t>
      </w:r>
      <w:r w:rsidR="00066A7E" w:rsidRPr="00121A6A">
        <w:rPr>
          <w:sz w:val="24"/>
          <w:szCs w:val="24"/>
        </w:rPr>
        <w:t xml:space="preserve">, afl. </w:t>
      </w:r>
      <w:r w:rsidRPr="00121A6A">
        <w:rPr>
          <w:sz w:val="24"/>
          <w:szCs w:val="24"/>
        </w:rPr>
        <w:t>3, p. 41-51.</w:t>
      </w:r>
    </w:p>
    <w:p w14:paraId="6F889E21" w14:textId="77777777" w:rsidR="00B525F4" w:rsidRPr="00121A6A" w:rsidRDefault="00B525F4" w:rsidP="00030EF2">
      <w:pPr>
        <w:spacing w:after="0"/>
        <w:jc w:val="both"/>
        <w:rPr>
          <w:sz w:val="24"/>
          <w:szCs w:val="24"/>
        </w:rPr>
      </w:pPr>
    </w:p>
    <w:p w14:paraId="1A61D2EF" w14:textId="77777777" w:rsidR="00B525F4" w:rsidRPr="00121A6A" w:rsidRDefault="00B525F4" w:rsidP="00030EF2">
      <w:pPr>
        <w:spacing w:after="0"/>
        <w:jc w:val="both"/>
        <w:rPr>
          <w:b/>
          <w:bCs/>
          <w:sz w:val="24"/>
          <w:szCs w:val="24"/>
        </w:rPr>
      </w:pPr>
      <w:proofErr w:type="spellStart"/>
      <w:r w:rsidRPr="00121A6A">
        <w:rPr>
          <w:b/>
          <w:bCs/>
          <w:sz w:val="24"/>
          <w:szCs w:val="24"/>
        </w:rPr>
        <w:t>Dorssemont</w:t>
      </w:r>
      <w:proofErr w:type="spellEnd"/>
      <w:r w:rsidRPr="00121A6A">
        <w:rPr>
          <w:b/>
          <w:bCs/>
          <w:sz w:val="24"/>
          <w:szCs w:val="24"/>
        </w:rPr>
        <w:t xml:space="preserve">, </w:t>
      </w:r>
      <w:r w:rsidRPr="00121A6A">
        <w:rPr>
          <w:b/>
          <w:bCs/>
          <w:i/>
          <w:iCs/>
          <w:sz w:val="24"/>
          <w:szCs w:val="24"/>
        </w:rPr>
        <w:t>EHRC Updates</w:t>
      </w:r>
      <w:r w:rsidRPr="00121A6A">
        <w:rPr>
          <w:b/>
          <w:bCs/>
          <w:sz w:val="24"/>
          <w:szCs w:val="24"/>
        </w:rPr>
        <w:t xml:space="preserve"> 2022</w:t>
      </w:r>
    </w:p>
    <w:p w14:paraId="35E5CD67" w14:textId="142A1852" w:rsidR="00B525F4" w:rsidRPr="00121A6A" w:rsidRDefault="00B525F4" w:rsidP="00030EF2">
      <w:pPr>
        <w:spacing w:after="0"/>
        <w:jc w:val="both"/>
        <w:rPr>
          <w:sz w:val="24"/>
          <w:szCs w:val="24"/>
        </w:rPr>
      </w:pPr>
      <w:r w:rsidRPr="00121A6A">
        <w:rPr>
          <w:sz w:val="24"/>
          <w:szCs w:val="24"/>
        </w:rPr>
        <w:t xml:space="preserve">F. </w:t>
      </w:r>
      <w:proofErr w:type="spellStart"/>
      <w:r w:rsidRPr="00121A6A">
        <w:rPr>
          <w:sz w:val="24"/>
          <w:szCs w:val="24"/>
        </w:rPr>
        <w:t>Dorssemont</w:t>
      </w:r>
      <w:proofErr w:type="spellEnd"/>
      <w:r w:rsidRPr="00121A6A">
        <w:rPr>
          <w:sz w:val="24"/>
          <w:szCs w:val="24"/>
        </w:rPr>
        <w:t>, ‘</w:t>
      </w:r>
      <w:proofErr w:type="spellStart"/>
      <w:r w:rsidRPr="00121A6A">
        <w:rPr>
          <w:sz w:val="24"/>
          <w:szCs w:val="24"/>
        </w:rPr>
        <w:t>Bariş</w:t>
      </w:r>
      <w:proofErr w:type="spellEnd"/>
      <w:r w:rsidRPr="00121A6A">
        <w:rPr>
          <w:sz w:val="24"/>
          <w:szCs w:val="24"/>
        </w:rPr>
        <w:t xml:space="preserve"> e.a. t. Turkije (EHRM, 66828/16) – Hoe wild zijn spontane stakingen?’, </w:t>
      </w:r>
      <w:r w:rsidRPr="00121A6A">
        <w:rPr>
          <w:i/>
          <w:iCs/>
          <w:sz w:val="24"/>
          <w:szCs w:val="24"/>
        </w:rPr>
        <w:t>E</w:t>
      </w:r>
      <w:r w:rsidR="006F42E2" w:rsidRPr="00121A6A">
        <w:rPr>
          <w:i/>
          <w:iCs/>
          <w:sz w:val="24"/>
          <w:szCs w:val="24"/>
        </w:rPr>
        <w:t xml:space="preserve">uropean </w:t>
      </w:r>
      <w:r w:rsidRPr="00121A6A">
        <w:rPr>
          <w:i/>
          <w:iCs/>
          <w:sz w:val="24"/>
          <w:szCs w:val="24"/>
        </w:rPr>
        <w:t>H</w:t>
      </w:r>
      <w:r w:rsidR="006F42E2" w:rsidRPr="00121A6A">
        <w:rPr>
          <w:i/>
          <w:iCs/>
          <w:sz w:val="24"/>
          <w:szCs w:val="24"/>
        </w:rPr>
        <w:t xml:space="preserve">uman </w:t>
      </w:r>
      <w:proofErr w:type="spellStart"/>
      <w:r w:rsidRPr="00121A6A">
        <w:rPr>
          <w:i/>
          <w:iCs/>
          <w:sz w:val="24"/>
          <w:szCs w:val="24"/>
        </w:rPr>
        <w:t>R</w:t>
      </w:r>
      <w:r w:rsidR="006F42E2" w:rsidRPr="00121A6A">
        <w:rPr>
          <w:i/>
          <w:iCs/>
          <w:sz w:val="24"/>
          <w:szCs w:val="24"/>
        </w:rPr>
        <w:t>ights</w:t>
      </w:r>
      <w:proofErr w:type="spellEnd"/>
      <w:r w:rsidR="006F42E2" w:rsidRPr="00121A6A">
        <w:rPr>
          <w:i/>
          <w:iCs/>
          <w:sz w:val="24"/>
          <w:szCs w:val="24"/>
        </w:rPr>
        <w:t xml:space="preserve"> </w:t>
      </w:r>
      <w:r w:rsidRPr="00121A6A">
        <w:rPr>
          <w:i/>
          <w:iCs/>
          <w:sz w:val="24"/>
          <w:szCs w:val="24"/>
        </w:rPr>
        <w:t>C</w:t>
      </w:r>
      <w:r w:rsidR="006F42E2" w:rsidRPr="00121A6A">
        <w:rPr>
          <w:i/>
          <w:iCs/>
          <w:sz w:val="24"/>
          <w:szCs w:val="24"/>
        </w:rPr>
        <w:t>ases</w:t>
      </w:r>
      <w:r w:rsidRPr="00121A6A">
        <w:rPr>
          <w:i/>
          <w:iCs/>
          <w:sz w:val="24"/>
          <w:szCs w:val="24"/>
        </w:rPr>
        <w:t xml:space="preserve"> Updates</w:t>
      </w:r>
      <w:r w:rsidRPr="00121A6A">
        <w:rPr>
          <w:sz w:val="24"/>
          <w:szCs w:val="24"/>
        </w:rPr>
        <w:t xml:space="preserve"> 11 april 2022.</w:t>
      </w:r>
    </w:p>
    <w:p w14:paraId="4196D4A9" w14:textId="77777777" w:rsidR="005A0E3F" w:rsidRPr="00121A6A" w:rsidRDefault="005A0E3F" w:rsidP="00030EF2">
      <w:pPr>
        <w:spacing w:after="0"/>
        <w:jc w:val="both"/>
        <w:rPr>
          <w:sz w:val="24"/>
          <w:szCs w:val="24"/>
        </w:rPr>
      </w:pPr>
    </w:p>
    <w:p w14:paraId="266215B0" w14:textId="0732AB50" w:rsidR="005A0E3F" w:rsidRPr="00121A6A" w:rsidRDefault="005A0E3F" w:rsidP="00030EF2">
      <w:pPr>
        <w:spacing w:after="0"/>
        <w:jc w:val="both"/>
        <w:rPr>
          <w:b/>
          <w:bCs/>
          <w:sz w:val="24"/>
          <w:szCs w:val="24"/>
        </w:rPr>
      </w:pPr>
      <w:proofErr w:type="spellStart"/>
      <w:r w:rsidRPr="00121A6A">
        <w:rPr>
          <w:b/>
          <w:bCs/>
          <w:sz w:val="24"/>
          <w:szCs w:val="24"/>
        </w:rPr>
        <w:t>Dorssemont</w:t>
      </w:r>
      <w:proofErr w:type="spellEnd"/>
      <w:r w:rsidRPr="00121A6A">
        <w:rPr>
          <w:b/>
          <w:bCs/>
          <w:sz w:val="24"/>
          <w:szCs w:val="24"/>
        </w:rPr>
        <w:t xml:space="preserve"> &amp; Van Hiel, </w:t>
      </w:r>
      <w:r w:rsidRPr="00121A6A">
        <w:rPr>
          <w:b/>
          <w:bCs/>
          <w:i/>
          <w:iCs/>
          <w:sz w:val="24"/>
          <w:szCs w:val="24"/>
        </w:rPr>
        <w:t>TSR RDS</w:t>
      </w:r>
      <w:r w:rsidRPr="00121A6A">
        <w:rPr>
          <w:b/>
          <w:bCs/>
          <w:sz w:val="24"/>
          <w:szCs w:val="24"/>
        </w:rPr>
        <w:t xml:space="preserve"> 2017</w:t>
      </w:r>
    </w:p>
    <w:p w14:paraId="214E117D" w14:textId="12A78610" w:rsidR="005A0E3F" w:rsidRPr="00121A6A" w:rsidRDefault="005A0E3F" w:rsidP="00030EF2">
      <w:pPr>
        <w:spacing w:after="0"/>
        <w:jc w:val="both"/>
        <w:rPr>
          <w:sz w:val="24"/>
          <w:szCs w:val="24"/>
        </w:rPr>
      </w:pPr>
      <w:r w:rsidRPr="00121A6A">
        <w:rPr>
          <w:sz w:val="24"/>
          <w:szCs w:val="24"/>
        </w:rPr>
        <w:t xml:space="preserve">F. </w:t>
      </w:r>
      <w:proofErr w:type="spellStart"/>
      <w:r w:rsidRPr="00121A6A">
        <w:rPr>
          <w:sz w:val="24"/>
          <w:szCs w:val="24"/>
        </w:rPr>
        <w:t>Dorssemont</w:t>
      </w:r>
      <w:proofErr w:type="spellEnd"/>
      <w:r w:rsidRPr="00121A6A">
        <w:rPr>
          <w:sz w:val="24"/>
          <w:szCs w:val="24"/>
        </w:rPr>
        <w:t xml:space="preserve"> &amp; I. van Hiel, ‘Collectieve autonomie: een rechtsbeginsel van het collectief arbeidsrecht?’, </w:t>
      </w:r>
      <w:r w:rsidRPr="00121A6A">
        <w:rPr>
          <w:i/>
          <w:iCs/>
          <w:sz w:val="24"/>
          <w:szCs w:val="24"/>
        </w:rPr>
        <w:t xml:space="preserve">Tijdschrift voor Sociaal Recht = Revue de </w:t>
      </w:r>
      <w:proofErr w:type="spellStart"/>
      <w:r w:rsidRPr="00121A6A">
        <w:rPr>
          <w:i/>
          <w:iCs/>
          <w:sz w:val="24"/>
          <w:szCs w:val="24"/>
        </w:rPr>
        <w:t>Droit</w:t>
      </w:r>
      <w:proofErr w:type="spellEnd"/>
      <w:r w:rsidRPr="00121A6A">
        <w:rPr>
          <w:i/>
          <w:iCs/>
          <w:sz w:val="24"/>
          <w:szCs w:val="24"/>
        </w:rPr>
        <w:t xml:space="preserve"> </w:t>
      </w:r>
      <w:proofErr w:type="spellStart"/>
      <w:r w:rsidRPr="00121A6A">
        <w:rPr>
          <w:i/>
          <w:iCs/>
          <w:sz w:val="24"/>
          <w:szCs w:val="24"/>
        </w:rPr>
        <w:t>Social</w:t>
      </w:r>
      <w:proofErr w:type="spellEnd"/>
      <w:r w:rsidRPr="00121A6A">
        <w:rPr>
          <w:sz w:val="24"/>
          <w:szCs w:val="24"/>
        </w:rPr>
        <w:t xml:space="preserve"> 2017</w:t>
      </w:r>
      <w:r w:rsidR="00066A7E" w:rsidRPr="00121A6A">
        <w:rPr>
          <w:sz w:val="24"/>
          <w:szCs w:val="24"/>
        </w:rPr>
        <w:t xml:space="preserve">, afl. </w:t>
      </w:r>
      <w:r w:rsidRPr="00121A6A">
        <w:rPr>
          <w:sz w:val="24"/>
          <w:szCs w:val="24"/>
        </w:rPr>
        <w:t>1</w:t>
      </w:r>
      <w:r w:rsidR="00066A7E" w:rsidRPr="00121A6A">
        <w:rPr>
          <w:sz w:val="24"/>
          <w:szCs w:val="24"/>
        </w:rPr>
        <w:t>/</w:t>
      </w:r>
      <w:r w:rsidRPr="00121A6A">
        <w:rPr>
          <w:sz w:val="24"/>
          <w:szCs w:val="24"/>
        </w:rPr>
        <w:t>2, p. 231-258.</w:t>
      </w:r>
    </w:p>
    <w:p w14:paraId="58A639A0" w14:textId="77777777" w:rsidR="00C041F7" w:rsidRPr="00121A6A" w:rsidRDefault="00C041F7" w:rsidP="00030EF2">
      <w:pPr>
        <w:spacing w:after="0"/>
        <w:jc w:val="both"/>
        <w:rPr>
          <w:sz w:val="24"/>
          <w:szCs w:val="24"/>
        </w:rPr>
      </w:pPr>
    </w:p>
    <w:p w14:paraId="5BD5C78E" w14:textId="77777777" w:rsidR="00217971" w:rsidRDefault="00217971" w:rsidP="00C041F7">
      <w:pPr>
        <w:spacing w:after="0"/>
        <w:jc w:val="both"/>
        <w:rPr>
          <w:b/>
          <w:bCs/>
          <w:sz w:val="24"/>
          <w:szCs w:val="24"/>
        </w:rPr>
      </w:pPr>
    </w:p>
    <w:p w14:paraId="3C02955E" w14:textId="772B868D" w:rsidR="00C041F7" w:rsidRPr="00121A6A" w:rsidRDefault="00C041F7" w:rsidP="00C041F7">
      <w:pPr>
        <w:spacing w:after="0"/>
        <w:jc w:val="both"/>
        <w:rPr>
          <w:b/>
          <w:bCs/>
          <w:sz w:val="24"/>
          <w:szCs w:val="24"/>
        </w:rPr>
      </w:pPr>
      <w:r w:rsidRPr="00121A6A">
        <w:rPr>
          <w:b/>
          <w:bCs/>
          <w:sz w:val="24"/>
          <w:szCs w:val="24"/>
        </w:rPr>
        <w:lastRenderedPageBreak/>
        <w:t xml:space="preserve">Eleveld, </w:t>
      </w:r>
      <w:proofErr w:type="spellStart"/>
      <w:r w:rsidRPr="00121A6A">
        <w:rPr>
          <w:b/>
          <w:bCs/>
          <w:i/>
          <w:iCs/>
          <w:sz w:val="24"/>
          <w:szCs w:val="24"/>
        </w:rPr>
        <w:t>N</w:t>
      </w:r>
      <w:r w:rsidR="00577940" w:rsidRPr="00121A6A">
        <w:rPr>
          <w:b/>
          <w:bCs/>
          <w:i/>
          <w:iCs/>
          <w:sz w:val="24"/>
          <w:szCs w:val="24"/>
        </w:rPr>
        <w:t>t</w:t>
      </w:r>
      <w:r w:rsidRPr="00121A6A">
        <w:rPr>
          <w:b/>
          <w:bCs/>
          <w:i/>
          <w:iCs/>
          <w:sz w:val="24"/>
          <w:szCs w:val="24"/>
        </w:rPr>
        <w:t>E</w:t>
      </w:r>
      <w:r w:rsidR="00AE5B00" w:rsidRPr="00121A6A">
        <w:rPr>
          <w:b/>
          <w:bCs/>
          <w:i/>
          <w:iCs/>
          <w:sz w:val="24"/>
          <w:szCs w:val="24"/>
        </w:rPr>
        <w:t>r</w:t>
      </w:r>
      <w:proofErr w:type="spellEnd"/>
      <w:r w:rsidRPr="00121A6A">
        <w:rPr>
          <w:b/>
          <w:bCs/>
          <w:i/>
          <w:iCs/>
          <w:sz w:val="24"/>
          <w:szCs w:val="24"/>
        </w:rPr>
        <w:t xml:space="preserve"> </w:t>
      </w:r>
      <w:r w:rsidRPr="00121A6A">
        <w:rPr>
          <w:b/>
          <w:bCs/>
          <w:sz w:val="24"/>
          <w:szCs w:val="24"/>
        </w:rPr>
        <w:t>2019</w:t>
      </w:r>
    </w:p>
    <w:p w14:paraId="77031F81" w14:textId="17EDEA6B" w:rsidR="00C041F7" w:rsidRPr="00121A6A" w:rsidRDefault="00355F03" w:rsidP="00355F03">
      <w:pPr>
        <w:spacing w:after="0"/>
        <w:jc w:val="both"/>
        <w:rPr>
          <w:sz w:val="24"/>
          <w:szCs w:val="24"/>
        </w:rPr>
      </w:pPr>
      <w:r w:rsidRPr="00121A6A">
        <w:rPr>
          <w:sz w:val="24"/>
          <w:szCs w:val="24"/>
        </w:rPr>
        <w:t xml:space="preserve">A. </w:t>
      </w:r>
      <w:r w:rsidR="00C041F7" w:rsidRPr="00121A6A">
        <w:rPr>
          <w:sz w:val="24"/>
          <w:szCs w:val="24"/>
        </w:rPr>
        <w:t xml:space="preserve">Eleveld, ‘Rechtstreekse horizontale werking van grondrechten van de Europese Unie. De lessen uit </w:t>
      </w:r>
      <w:proofErr w:type="spellStart"/>
      <w:r w:rsidR="00C041F7" w:rsidRPr="00121A6A">
        <w:rPr>
          <w:sz w:val="24"/>
          <w:szCs w:val="24"/>
        </w:rPr>
        <w:t>Egenberger</w:t>
      </w:r>
      <w:proofErr w:type="spellEnd"/>
      <w:r w:rsidR="00C041F7" w:rsidRPr="00121A6A">
        <w:rPr>
          <w:sz w:val="24"/>
          <w:szCs w:val="24"/>
        </w:rPr>
        <w:t xml:space="preserve">, Bauer en </w:t>
      </w:r>
      <w:proofErr w:type="spellStart"/>
      <w:r w:rsidR="00C041F7" w:rsidRPr="00121A6A">
        <w:rPr>
          <w:sz w:val="24"/>
          <w:szCs w:val="24"/>
        </w:rPr>
        <w:t>Cresco</w:t>
      </w:r>
      <w:proofErr w:type="spellEnd"/>
      <w:r w:rsidR="00C041F7" w:rsidRPr="00121A6A">
        <w:rPr>
          <w:sz w:val="24"/>
          <w:szCs w:val="24"/>
        </w:rPr>
        <w:t xml:space="preserve"> </w:t>
      </w:r>
      <w:proofErr w:type="spellStart"/>
      <w:r w:rsidR="00C041F7" w:rsidRPr="00121A6A">
        <w:rPr>
          <w:sz w:val="24"/>
          <w:szCs w:val="24"/>
        </w:rPr>
        <w:t>Investigation</w:t>
      </w:r>
      <w:proofErr w:type="spellEnd"/>
      <w:r w:rsidR="00C041F7" w:rsidRPr="00121A6A">
        <w:rPr>
          <w:sz w:val="24"/>
          <w:szCs w:val="24"/>
        </w:rPr>
        <w:t xml:space="preserve">’, </w:t>
      </w:r>
      <w:r w:rsidR="00C041F7" w:rsidRPr="00121A6A">
        <w:rPr>
          <w:i/>
          <w:iCs/>
          <w:sz w:val="24"/>
          <w:szCs w:val="24"/>
        </w:rPr>
        <w:t xml:space="preserve">Nederlands </w:t>
      </w:r>
      <w:r w:rsidR="00AE5B00" w:rsidRPr="00121A6A">
        <w:rPr>
          <w:i/>
          <w:iCs/>
          <w:sz w:val="24"/>
          <w:szCs w:val="24"/>
        </w:rPr>
        <w:t>t</w:t>
      </w:r>
      <w:r w:rsidR="00C041F7" w:rsidRPr="00121A6A">
        <w:rPr>
          <w:i/>
          <w:iCs/>
          <w:sz w:val="24"/>
          <w:szCs w:val="24"/>
        </w:rPr>
        <w:t xml:space="preserve">ijdschrift voor Europees </w:t>
      </w:r>
      <w:r w:rsidR="00AE5B00" w:rsidRPr="00121A6A">
        <w:rPr>
          <w:i/>
          <w:iCs/>
          <w:sz w:val="24"/>
          <w:szCs w:val="24"/>
        </w:rPr>
        <w:t>r</w:t>
      </w:r>
      <w:r w:rsidR="00C041F7" w:rsidRPr="00121A6A">
        <w:rPr>
          <w:i/>
          <w:iCs/>
          <w:sz w:val="24"/>
          <w:szCs w:val="24"/>
        </w:rPr>
        <w:t>echt</w:t>
      </w:r>
      <w:r w:rsidR="00577940" w:rsidRPr="00121A6A">
        <w:rPr>
          <w:i/>
          <w:iCs/>
          <w:sz w:val="24"/>
          <w:szCs w:val="24"/>
        </w:rPr>
        <w:t xml:space="preserve"> </w:t>
      </w:r>
      <w:r w:rsidR="00577940" w:rsidRPr="00121A6A">
        <w:rPr>
          <w:sz w:val="24"/>
          <w:szCs w:val="24"/>
        </w:rPr>
        <w:t>2019</w:t>
      </w:r>
      <w:r w:rsidR="00AE5B00" w:rsidRPr="00121A6A">
        <w:rPr>
          <w:sz w:val="24"/>
          <w:szCs w:val="24"/>
        </w:rPr>
        <w:t xml:space="preserve">, afl. </w:t>
      </w:r>
      <w:r w:rsidR="00577940" w:rsidRPr="00121A6A">
        <w:rPr>
          <w:sz w:val="24"/>
          <w:szCs w:val="24"/>
        </w:rPr>
        <w:t>3</w:t>
      </w:r>
      <w:r w:rsidR="00AE5B00" w:rsidRPr="00121A6A">
        <w:rPr>
          <w:sz w:val="24"/>
          <w:szCs w:val="24"/>
        </w:rPr>
        <w:t>/</w:t>
      </w:r>
      <w:r w:rsidR="00577940" w:rsidRPr="00121A6A">
        <w:rPr>
          <w:sz w:val="24"/>
          <w:szCs w:val="24"/>
        </w:rPr>
        <w:t>4</w:t>
      </w:r>
      <w:r w:rsidR="00C041F7" w:rsidRPr="00121A6A">
        <w:rPr>
          <w:sz w:val="24"/>
          <w:szCs w:val="24"/>
        </w:rPr>
        <w:t>, p. 88-95.</w:t>
      </w:r>
    </w:p>
    <w:p w14:paraId="6676E3DC" w14:textId="77777777" w:rsidR="00355F03" w:rsidRPr="00121A6A" w:rsidRDefault="00355F03" w:rsidP="006F42E2">
      <w:pPr>
        <w:spacing w:after="0"/>
        <w:jc w:val="both"/>
        <w:rPr>
          <w:b/>
          <w:bCs/>
          <w:sz w:val="24"/>
          <w:szCs w:val="24"/>
        </w:rPr>
      </w:pPr>
    </w:p>
    <w:p w14:paraId="0F0E9A66" w14:textId="40D0B2A3" w:rsidR="006F42E2" w:rsidRPr="00121A6A" w:rsidRDefault="006F42E2" w:rsidP="006F42E2">
      <w:pPr>
        <w:spacing w:after="0"/>
        <w:jc w:val="both"/>
        <w:rPr>
          <w:b/>
          <w:bCs/>
          <w:sz w:val="24"/>
          <w:szCs w:val="24"/>
          <w:lang w:val="en-US"/>
        </w:rPr>
      </w:pPr>
      <w:r w:rsidRPr="00121A6A">
        <w:rPr>
          <w:b/>
          <w:bCs/>
          <w:sz w:val="24"/>
          <w:szCs w:val="24"/>
          <w:lang w:val="en-US"/>
        </w:rPr>
        <w:t xml:space="preserve">Ellingsen, </w:t>
      </w:r>
      <w:r w:rsidRPr="00121A6A">
        <w:rPr>
          <w:b/>
          <w:bCs/>
          <w:i/>
          <w:iCs/>
          <w:sz w:val="24"/>
          <w:szCs w:val="24"/>
          <w:lang w:val="en-US"/>
        </w:rPr>
        <w:t>CMLR</w:t>
      </w:r>
      <w:r w:rsidRPr="00121A6A">
        <w:rPr>
          <w:b/>
          <w:bCs/>
          <w:sz w:val="24"/>
          <w:szCs w:val="24"/>
          <w:lang w:val="en-US"/>
        </w:rPr>
        <w:t xml:space="preserve"> 2022</w:t>
      </w:r>
    </w:p>
    <w:p w14:paraId="582F7DC4" w14:textId="588ABA27" w:rsidR="006F42E2" w:rsidRPr="00121A6A" w:rsidRDefault="006F42E2" w:rsidP="006F42E2">
      <w:pPr>
        <w:spacing w:after="0"/>
        <w:jc w:val="both"/>
        <w:rPr>
          <w:sz w:val="24"/>
          <w:szCs w:val="24"/>
          <w:lang w:val="en-US"/>
        </w:rPr>
      </w:pPr>
      <w:r w:rsidRPr="00121A6A">
        <w:rPr>
          <w:sz w:val="24"/>
          <w:szCs w:val="24"/>
          <w:lang w:val="en-US"/>
        </w:rPr>
        <w:t xml:space="preserve">H. Ellingsen, ‘Reconciling fundamental social rights and economic freedoms: The ECtHR’s ruling in </w:t>
      </w:r>
      <w:r w:rsidRPr="00121A6A">
        <w:rPr>
          <w:i/>
          <w:iCs/>
          <w:sz w:val="24"/>
          <w:szCs w:val="24"/>
          <w:lang w:val="en-US"/>
        </w:rPr>
        <w:t>LO and NTF v. Norway</w:t>
      </w:r>
      <w:r w:rsidRPr="00121A6A">
        <w:rPr>
          <w:sz w:val="24"/>
          <w:szCs w:val="24"/>
          <w:lang w:val="en-US"/>
        </w:rPr>
        <w:t xml:space="preserve"> (the </w:t>
      </w:r>
      <w:proofErr w:type="spellStart"/>
      <w:r w:rsidRPr="00121A6A">
        <w:rPr>
          <w:i/>
          <w:iCs/>
          <w:sz w:val="24"/>
          <w:szCs w:val="24"/>
          <w:lang w:val="en-US"/>
        </w:rPr>
        <w:t>Holship</w:t>
      </w:r>
      <w:proofErr w:type="spellEnd"/>
      <w:r w:rsidRPr="00121A6A">
        <w:rPr>
          <w:sz w:val="24"/>
          <w:szCs w:val="24"/>
          <w:lang w:val="en-US"/>
        </w:rPr>
        <w:t xml:space="preserve"> case)’, </w:t>
      </w:r>
      <w:r w:rsidRPr="00121A6A">
        <w:rPr>
          <w:i/>
          <w:iCs/>
          <w:sz w:val="24"/>
          <w:szCs w:val="24"/>
          <w:lang w:val="en-US"/>
        </w:rPr>
        <w:t>Common Market Law Review</w:t>
      </w:r>
      <w:r w:rsidRPr="00121A6A">
        <w:rPr>
          <w:sz w:val="24"/>
          <w:szCs w:val="24"/>
          <w:lang w:val="en-US"/>
        </w:rPr>
        <w:t xml:space="preserve"> 2022</w:t>
      </w:r>
      <w:r w:rsidR="005C006D" w:rsidRPr="00121A6A">
        <w:rPr>
          <w:sz w:val="24"/>
          <w:szCs w:val="24"/>
          <w:lang w:val="en-US"/>
        </w:rPr>
        <w:t xml:space="preserve">, </w:t>
      </w:r>
      <w:proofErr w:type="spellStart"/>
      <w:r w:rsidR="005C006D" w:rsidRPr="00121A6A">
        <w:rPr>
          <w:sz w:val="24"/>
          <w:szCs w:val="24"/>
          <w:lang w:val="en-US"/>
        </w:rPr>
        <w:t>afl</w:t>
      </w:r>
      <w:proofErr w:type="spellEnd"/>
      <w:r w:rsidR="005C006D" w:rsidRPr="00121A6A">
        <w:rPr>
          <w:sz w:val="24"/>
          <w:szCs w:val="24"/>
          <w:lang w:val="en-US"/>
        </w:rPr>
        <w:t xml:space="preserve">. </w:t>
      </w:r>
      <w:r w:rsidRPr="00121A6A">
        <w:rPr>
          <w:sz w:val="24"/>
          <w:szCs w:val="24"/>
          <w:lang w:val="en-US"/>
        </w:rPr>
        <w:t>2, p. 583-604.</w:t>
      </w:r>
    </w:p>
    <w:p w14:paraId="03670F27" w14:textId="77777777" w:rsidR="00D46AF4" w:rsidRPr="00121A6A" w:rsidRDefault="00D46AF4" w:rsidP="00030EF2">
      <w:pPr>
        <w:spacing w:after="0"/>
        <w:jc w:val="both"/>
        <w:rPr>
          <w:sz w:val="24"/>
          <w:szCs w:val="24"/>
          <w:lang w:val="en-GB"/>
        </w:rPr>
      </w:pPr>
    </w:p>
    <w:p w14:paraId="22234CE7" w14:textId="408C2E51" w:rsidR="00D46AF4" w:rsidRPr="00121A6A" w:rsidRDefault="00D46AF4" w:rsidP="00030EF2">
      <w:pPr>
        <w:spacing w:after="0"/>
        <w:jc w:val="both"/>
        <w:rPr>
          <w:b/>
          <w:bCs/>
          <w:sz w:val="24"/>
          <w:szCs w:val="24"/>
          <w:lang w:val="en-US"/>
        </w:rPr>
      </w:pPr>
      <w:r w:rsidRPr="00121A6A">
        <w:rPr>
          <w:b/>
          <w:bCs/>
          <w:sz w:val="24"/>
          <w:szCs w:val="24"/>
          <w:lang w:val="en-US"/>
        </w:rPr>
        <w:t xml:space="preserve">Ewing, </w:t>
      </w:r>
      <w:r w:rsidRPr="00121A6A">
        <w:rPr>
          <w:b/>
          <w:bCs/>
          <w:i/>
          <w:iCs/>
          <w:sz w:val="24"/>
          <w:szCs w:val="24"/>
          <w:lang w:val="en-US"/>
        </w:rPr>
        <w:t>IJCLLIR</w:t>
      </w:r>
      <w:r w:rsidRPr="00121A6A">
        <w:rPr>
          <w:b/>
          <w:bCs/>
          <w:sz w:val="24"/>
          <w:szCs w:val="24"/>
          <w:lang w:val="en-US"/>
        </w:rPr>
        <w:t xml:space="preserve"> 2013</w:t>
      </w:r>
    </w:p>
    <w:p w14:paraId="1EC6A628" w14:textId="654399EE" w:rsidR="00D46AF4" w:rsidRPr="00121A6A" w:rsidRDefault="00D46AF4" w:rsidP="00D46AF4">
      <w:pPr>
        <w:spacing w:after="0"/>
        <w:jc w:val="both"/>
        <w:rPr>
          <w:sz w:val="24"/>
          <w:szCs w:val="24"/>
          <w:lang w:val="en-US"/>
        </w:rPr>
      </w:pPr>
      <w:r w:rsidRPr="00121A6A">
        <w:rPr>
          <w:sz w:val="24"/>
          <w:szCs w:val="24"/>
          <w:lang w:val="en-US"/>
        </w:rPr>
        <w:t xml:space="preserve">K.D. Ewing, ‘Myth and Reality of the Right to Strike as a ‘Fundamental </w:t>
      </w:r>
      <w:proofErr w:type="spellStart"/>
      <w:r w:rsidRPr="00121A6A">
        <w:rPr>
          <w:sz w:val="24"/>
          <w:szCs w:val="24"/>
          <w:lang w:val="en-US"/>
        </w:rPr>
        <w:t>Labour</w:t>
      </w:r>
      <w:proofErr w:type="spellEnd"/>
      <w:r w:rsidRPr="00121A6A">
        <w:rPr>
          <w:sz w:val="24"/>
          <w:szCs w:val="24"/>
          <w:lang w:val="en-US"/>
        </w:rPr>
        <w:t xml:space="preserve"> Right’’, </w:t>
      </w:r>
      <w:r w:rsidRPr="00121A6A">
        <w:rPr>
          <w:i/>
          <w:iCs/>
          <w:sz w:val="24"/>
          <w:szCs w:val="24"/>
          <w:lang w:val="en-US"/>
        </w:rPr>
        <w:t xml:space="preserve">The International Journal of Comparative </w:t>
      </w:r>
      <w:proofErr w:type="spellStart"/>
      <w:r w:rsidRPr="00121A6A">
        <w:rPr>
          <w:i/>
          <w:iCs/>
          <w:sz w:val="24"/>
          <w:szCs w:val="24"/>
          <w:lang w:val="en-US"/>
        </w:rPr>
        <w:t>Labour</w:t>
      </w:r>
      <w:proofErr w:type="spellEnd"/>
      <w:r w:rsidRPr="00121A6A">
        <w:rPr>
          <w:i/>
          <w:iCs/>
          <w:sz w:val="24"/>
          <w:szCs w:val="24"/>
          <w:lang w:val="en-US"/>
        </w:rPr>
        <w:t xml:space="preserve"> Law and Industrial Relations</w:t>
      </w:r>
      <w:r w:rsidRPr="00121A6A">
        <w:rPr>
          <w:sz w:val="24"/>
          <w:szCs w:val="24"/>
          <w:lang w:val="en-US"/>
        </w:rPr>
        <w:t xml:space="preserve"> 2013</w:t>
      </w:r>
      <w:r w:rsidR="005C006D" w:rsidRPr="00121A6A">
        <w:rPr>
          <w:sz w:val="24"/>
          <w:szCs w:val="24"/>
          <w:lang w:val="en-US"/>
        </w:rPr>
        <w:t xml:space="preserve">, </w:t>
      </w:r>
      <w:proofErr w:type="spellStart"/>
      <w:r w:rsidR="005C006D" w:rsidRPr="00121A6A">
        <w:rPr>
          <w:sz w:val="24"/>
          <w:szCs w:val="24"/>
          <w:lang w:val="en-US"/>
        </w:rPr>
        <w:t>afl</w:t>
      </w:r>
      <w:proofErr w:type="spellEnd"/>
      <w:r w:rsidR="005C006D" w:rsidRPr="00121A6A">
        <w:rPr>
          <w:sz w:val="24"/>
          <w:szCs w:val="24"/>
          <w:lang w:val="en-US"/>
        </w:rPr>
        <w:t xml:space="preserve">. </w:t>
      </w:r>
      <w:r w:rsidRPr="00121A6A">
        <w:rPr>
          <w:sz w:val="24"/>
          <w:szCs w:val="24"/>
          <w:lang w:val="en-US"/>
        </w:rPr>
        <w:t>2, p. 145-166.</w:t>
      </w:r>
    </w:p>
    <w:p w14:paraId="74E7E3EF" w14:textId="77777777" w:rsidR="00D46AF4" w:rsidRPr="00121A6A" w:rsidRDefault="00D46AF4" w:rsidP="00030EF2">
      <w:pPr>
        <w:spacing w:after="0"/>
        <w:jc w:val="both"/>
        <w:rPr>
          <w:sz w:val="24"/>
          <w:szCs w:val="24"/>
          <w:lang w:val="en-GB"/>
        </w:rPr>
      </w:pPr>
    </w:p>
    <w:p w14:paraId="14472891" w14:textId="07DFA19C" w:rsidR="00D46AF4" w:rsidRPr="00121A6A" w:rsidRDefault="00D46AF4" w:rsidP="00030EF2">
      <w:pPr>
        <w:spacing w:after="0"/>
        <w:jc w:val="both"/>
        <w:rPr>
          <w:b/>
          <w:bCs/>
          <w:sz w:val="24"/>
          <w:szCs w:val="24"/>
          <w:lang w:val="en-US"/>
        </w:rPr>
      </w:pPr>
      <w:r w:rsidRPr="00121A6A">
        <w:rPr>
          <w:b/>
          <w:bCs/>
          <w:sz w:val="24"/>
          <w:szCs w:val="24"/>
          <w:lang w:val="en-US"/>
        </w:rPr>
        <w:t xml:space="preserve">Ewing &amp; Hendy, </w:t>
      </w:r>
      <w:r w:rsidRPr="00121A6A">
        <w:rPr>
          <w:b/>
          <w:bCs/>
          <w:i/>
          <w:iCs/>
          <w:sz w:val="24"/>
          <w:szCs w:val="24"/>
          <w:lang w:val="en-US"/>
        </w:rPr>
        <w:t xml:space="preserve">ILJ </w:t>
      </w:r>
      <w:r w:rsidRPr="00121A6A">
        <w:rPr>
          <w:b/>
          <w:bCs/>
          <w:sz w:val="24"/>
          <w:szCs w:val="24"/>
          <w:lang w:val="en-US"/>
        </w:rPr>
        <w:t>2010</w:t>
      </w:r>
    </w:p>
    <w:p w14:paraId="5F335AC7" w14:textId="681B8CDF" w:rsidR="00D46AF4" w:rsidRPr="00121A6A" w:rsidRDefault="00D46AF4" w:rsidP="00030EF2">
      <w:pPr>
        <w:spacing w:after="0"/>
        <w:jc w:val="both"/>
        <w:rPr>
          <w:sz w:val="24"/>
          <w:szCs w:val="24"/>
          <w:lang w:val="en-US"/>
        </w:rPr>
      </w:pPr>
      <w:r w:rsidRPr="00121A6A">
        <w:rPr>
          <w:sz w:val="24"/>
          <w:szCs w:val="24"/>
          <w:lang w:val="en-US"/>
        </w:rPr>
        <w:t xml:space="preserve">K.D. Ewing &amp; J. Hendy QC, ‘The Dramatic Implications of </w:t>
      </w:r>
      <w:r w:rsidRPr="00121A6A">
        <w:rPr>
          <w:i/>
          <w:iCs/>
          <w:sz w:val="24"/>
          <w:szCs w:val="24"/>
          <w:lang w:val="en-US"/>
        </w:rPr>
        <w:t>Demir and Baykara</w:t>
      </w:r>
      <w:r w:rsidRPr="00121A6A">
        <w:rPr>
          <w:sz w:val="24"/>
          <w:szCs w:val="24"/>
          <w:lang w:val="en-US"/>
        </w:rPr>
        <w:t xml:space="preserve">’, </w:t>
      </w:r>
      <w:r w:rsidRPr="00121A6A">
        <w:rPr>
          <w:i/>
          <w:iCs/>
          <w:sz w:val="24"/>
          <w:szCs w:val="24"/>
          <w:lang w:val="en-US"/>
        </w:rPr>
        <w:t>Industrial Law Journal</w:t>
      </w:r>
      <w:r w:rsidRPr="00121A6A">
        <w:rPr>
          <w:sz w:val="24"/>
          <w:szCs w:val="24"/>
          <w:lang w:val="en-US"/>
        </w:rPr>
        <w:t xml:space="preserve"> 2010</w:t>
      </w:r>
      <w:r w:rsidR="005C006D" w:rsidRPr="00121A6A">
        <w:rPr>
          <w:sz w:val="24"/>
          <w:szCs w:val="24"/>
          <w:lang w:val="en-US"/>
        </w:rPr>
        <w:t xml:space="preserve">, </w:t>
      </w:r>
      <w:proofErr w:type="spellStart"/>
      <w:r w:rsidR="005C006D" w:rsidRPr="00121A6A">
        <w:rPr>
          <w:sz w:val="24"/>
          <w:szCs w:val="24"/>
          <w:lang w:val="en-US"/>
        </w:rPr>
        <w:t>afl</w:t>
      </w:r>
      <w:proofErr w:type="spellEnd"/>
      <w:r w:rsidR="005C006D" w:rsidRPr="00121A6A">
        <w:rPr>
          <w:sz w:val="24"/>
          <w:szCs w:val="24"/>
          <w:lang w:val="en-US"/>
        </w:rPr>
        <w:t xml:space="preserve">. </w:t>
      </w:r>
      <w:r w:rsidRPr="00121A6A">
        <w:rPr>
          <w:sz w:val="24"/>
          <w:szCs w:val="24"/>
          <w:lang w:val="en-US"/>
        </w:rPr>
        <w:t>1, p. 2-51.</w:t>
      </w:r>
    </w:p>
    <w:p w14:paraId="18EDBA03" w14:textId="77777777" w:rsidR="00030EE0" w:rsidRPr="00121A6A" w:rsidRDefault="00030EE0" w:rsidP="00030EF2">
      <w:pPr>
        <w:spacing w:after="0"/>
        <w:jc w:val="both"/>
        <w:rPr>
          <w:sz w:val="24"/>
          <w:szCs w:val="24"/>
          <w:lang w:val="en-US"/>
        </w:rPr>
      </w:pPr>
    </w:p>
    <w:p w14:paraId="41D352D1" w14:textId="240AEFFA" w:rsidR="00030EE0" w:rsidRPr="00121A6A" w:rsidRDefault="00030EE0" w:rsidP="00030EF2">
      <w:pPr>
        <w:spacing w:after="0"/>
        <w:jc w:val="both"/>
        <w:rPr>
          <w:b/>
          <w:bCs/>
          <w:sz w:val="24"/>
          <w:szCs w:val="24"/>
          <w:lang w:val="en-US"/>
        </w:rPr>
      </w:pPr>
      <w:r w:rsidRPr="00121A6A">
        <w:rPr>
          <w:b/>
          <w:bCs/>
          <w:sz w:val="24"/>
          <w:szCs w:val="24"/>
          <w:lang w:val="en-US"/>
        </w:rPr>
        <w:t xml:space="preserve">Garben, </w:t>
      </w:r>
      <w:r w:rsidRPr="00121A6A">
        <w:rPr>
          <w:b/>
          <w:bCs/>
          <w:i/>
          <w:iCs/>
          <w:sz w:val="24"/>
          <w:szCs w:val="24"/>
          <w:lang w:val="en-US"/>
        </w:rPr>
        <w:t>CYELS</w:t>
      </w:r>
      <w:r w:rsidRPr="00121A6A">
        <w:rPr>
          <w:b/>
          <w:bCs/>
          <w:sz w:val="24"/>
          <w:szCs w:val="24"/>
          <w:lang w:val="en-US"/>
        </w:rPr>
        <w:t xml:space="preserve"> 2019</w:t>
      </w:r>
    </w:p>
    <w:p w14:paraId="688DF106" w14:textId="4D2896FE" w:rsidR="00030EE0" w:rsidRPr="00121A6A" w:rsidRDefault="00030EE0" w:rsidP="00030EF2">
      <w:pPr>
        <w:spacing w:after="0"/>
        <w:jc w:val="both"/>
        <w:rPr>
          <w:sz w:val="24"/>
          <w:szCs w:val="24"/>
          <w:lang w:val="en-US"/>
        </w:rPr>
      </w:pPr>
      <w:r w:rsidRPr="00121A6A">
        <w:rPr>
          <w:sz w:val="24"/>
          <w:szCs w:val="24"/>
          <w:lang w:val="en-GB"/>
        </w:rPr>
        <w:t xml:space="preserve">S. Garben, ‘The European Pillar of Social Rights: An Assessment of its Meaning and Significance’, </w:t>
      </w:r>
      <w:r w:rsidRPr="00121A6A">
        <w:rPr>
          <w:i/>
          <w:iCs/>
          <w:sz w:val="24"/>
          <w:szCs w:val="24"/>
          <w:lang w:val="en-GB"/>
        </w:rPr>
        <w:t>Cambridge Yearbook of European Legal Studies</w:t>
      </w:r>
      <w:r w:rsidRPr="00121A6A">
        <w:rPr>
          <w:sz w:val="24"/>
          <w:szCs w:val="24"/>
          <w:lang w:val="en-GB"/>
        </w:rPr>
        <w:t xml:space="preserve"> 2019, p. 101-127.</w:t>
      </w:r>
    </w:p>
    <w:p w14:paraId="261323D5" w14:textId="77777777" w:rsidR="00B525F4" w:rsidRPr="00121A6A" w:rsidRDefault="00B525F4" w:rsidP="00030EF2">
      <w:pPr>
        <w:spacing w:after="0"/>
        <w:jc w:val="both"/>
        <w:rPr>
          <w:sz w:val="24"/>
          <w:szCs w:val="24"/>
          <w:lang w:val="en-GB"/>
        </w:rPr>
      </w:pPr>
    </w:p>
    <w:p w14:paraId="24077D0D" w14:textId="4FCDC146" w:rsidR="00B525F4" w:rsidRPr="00121A6A" w:rsidRDefault="00B525F4" w:rsidP="00030EF2">
      <w:pPr>
        <w:spacing w:after="0"/>
        <w:jc w:val="both"/>
        <w:rPr>
          <w:b/>
          <w:bCs/>
          <w:sz w:val="24"/>
          <w:szCs w:val="24"/>
          <w:lang w:val="en-GB"/>
        </w:rPr>
      </w:pPr>
      <w:r w:rsidRPr="00121A6A">
        <w:rPr>
          <w:b/>
          <w:bCs/>
          <w:sz w:val="24"/>
          <w:szCs w:val="24"/>
          <w:lang w:val="en-GB"/>
        </w:rPr>
        <w:t xml:space="preserve">Garben, </w:t>
      </w:r>
      <w:r w:rsidRPr="00121A6A">
        <w:rPr>
          <w:b/>
          <w:bCs/>
          <w:i/>
          <w:iCs/>
          <w:sz w:val="24"/>
          <w:szCs w:val="24"/>
          <w:lang w:val="en-GB"/>
        </w:rPr>
        <w:t>E</w:t>
      </w:r>
      <w:r w:rsidR="004F4056" w:rsidRPr="00121A6A">
        <w:rPr>
          <w:b/>
          <w:bCs/>
          <w:i/>
          <w:iCs/>
          <w:sz w:val="24"/>
          <w:szCs w:val="24"/>
          <w:lang w:val="en-GB"/>
        </w:rPr>
        <w:t>L</w:t>
      </w:r>
      <w:r w:rsidRPr="00121A6A">
        <w:rPr>
          <w:b/>
          <w:bCs/>
          <w:i/>
          <w:iCs/>
          <w:sz w:val="24"/>
          <w:szCs w:val="24"/>
          <w:lang w:val="en-GB"/>
        </w:rPr>
        <w:t>LJ</w:t>
      </w:r>
      <w:r w:rsidRPr="00121A6A">
        <w:rPr>
          <w:b/>
          <w:bCs/>
          <w:sz w:val="24"/>
          <w:szCs w:val="24"/>
          <w:lang w:val="en-GB"/>
        </w:rPr>
        <w:t xml:space="preserve"> 2020</w:t>
      </w:r>
    </w:p>
    <w:p w14:paraId="32E0A8E5" w14:textId="4ED6482A" w:rsidR="00B525F4" w:rsidRPr="00121A6A" w:rsidRDefault="00B525F4" w:rsidP="00030EF2">
      <w:pPr>
        <w:spacing w:after="0"/>
        <w:jc w:val="both"/>
        <w:rPr>
          <w:sz w:val="24"/>
          <w:szCs w:val="24"/>
          <w:lang w:val="en-GB"/>
        </w:rPr>
      </w:pPr>
      <w:r w:rsidRPr="00121A6A">
        <w:rPr>
          <w:sz w:val="24"/>
          <w:szCs w:val="24"/>
          <w:lang w:val="en-GB"/>
        </w:rPr>
        <w:t xml:space="preserve">S. Garben, ‘Balancing social and economic fundamental rights in the EU legal order’, </w:t>
      </w:r>
      <w:r w:rsidRPr="00121A6A">
        <w:rPr>
          <w:i/>
          <w:iCs/>
          <w:sz w:val="24"/>
          <w:szCs w:val="24"/>
          <w:lang w:val="en-GB"/>
        </w:rPr>
        <w:t>European Labour Law Journal</w:t>
      </w:r>
      <w:r w:rsidRPr="00121A6A">
        <w:rPr>
          <w:sz w:val="24"/>
          <w:szCs w:val="24"/>
          <w:lang w:val="en-GB"/>
        </w:rPr>
        <w:t xml:space="preserve"> 2020</w:t>
      </w:r>
      <w:r w:rsidR="005C006D" w:rsidRPr="00121A6A">
        <w:rPr>
          <w:sz w:val="24"/>
          <w:szCs w:val="24"/>
          <w:lang w:val="en-GB"/>
        </w:rPr>
        <w:t xml:space="preserve">, </w:t>
      </w:r>
      <w:proofErr w:type="spellStart"/>
      <w:r w:rsidR="005C006D" w:rsidRPr="00121A6A">
        <w:rPr>
          <w:sz w:val="24"/>
          <w:szCs w:val="24"/>
          <w:lang w:val="en-GB"/>
        </w:rPr>
        <w:t>afl</w:t>
      </w:r>
      <w:proofErr w:type="spellEnd"/>
      <w:r w:rsidR="005C006D" w:rsidRPr="00121A6A">
        <w:rPr>
          <w:sz w:val="24"/>
          <w:szCs w:val="24"/>
          <w:lang w:val="en-GB"/>
        </w:rPr>
        <w:t xml:space="preserve">. </w:t>
      </w:r>
      <w:r w:rsidRPr="00121A6A">
        <w:rPr>
          <w:sz w:val="24"/>
          <w:szCs w:val="24"/>
          <w:lang w:val="en-GB"/>
        </w:rPr>
        <w:t xml:space="preserve">4, p. 364-390. </w:t>
      </w:r>
    </w:p>
    <w:p w14:paraId="1FA8A67B" w14:textId="77777777" w:rsidR="00B525F4" w:rsidRPr="00121A6A" w:rsidRDefault="00B525F4" w:rsidP="00030EF2">
      <w:pPr>
        <w:spacing w:after="0"/>
        <w:jc w:val="both"/>
        <w:rPr>
          <w:b/>
          <w:bCs/>
          <w:sz w:val="24"/>
          <w:szCs w:val="24"/>
          <w:lang w:val="en-GB"/>
        </w:rPr>
      </w:pPr>
    </w:p>
    <w:p w14:paraId="6C48BD3F" w14:textId="3AB65F9C" w:rsidR="00B525F4" w:rsidRPr="00121A6A" w:rsidRDefault="00B525F4" w:rsidP="00030EF2">
      <w:pPr>
        <w:spacing w:after="0"/>
        <w:jc w:val="both"/>
        <w:rPr>
          <w:b/>
          <w:bCs/>
          <w:sz w:val="24"/>
          <w:szCs w:val="24"/>
          <w:lang w:val="en-GB"/>
        </w:rPr>
      </w:pPr>
      <w:proofErr w:type="spellStart"/>
      <w:r w:rsidRPr="00121A6A">
        <w:rPr>
          <w:b/>
          <w:bCs/>
          <w:sz w:val="24"/>
          <w:szCs w:val="24"/>
          <w:lang w:val="en-GB"/>
        </w:rPr>
        <w:t>Giubboni</w:t>
      </w:r>
      <w:proofErr w:type="spellEnd"/>
      <w:r w:rsidRPr="00121A6A">
        <w:rPr>
          <w:b/>
          <w:bCs/>
          <w:sz w:val="24"/>
          <w:szCs w:val="24"/>
          <w:lang w:val="en-GB"/>
        </w:rPr>
        <w:t xml:space="preserve">, </w:t>
      </w:r>
      <w:r w:rsidRPr="00121A6A">
        <w:rPr>
          <w:b/>
          <w:bCs/>
          <w:i/>
          <w:iCs/>
          <w:sz w:val="24"/>
          <w:szCs w:val="24"/>
          <w:lang w:val="en-GB"/>
        </w:rPr>
        <w:t>ELJ</w:t>
      </w:r>
      <w:r w:rsidRPr="00121A6A">
        <w:rPr>
          <w:b/>
          <w:bCs/>
          <w:sz w:val="24"/>
          <w:szCs w:val="24"/>
          <w:lang w:val="en-GB"/>
        </w:rPr>
        <w:t xml:space="preserve"> 2018</w:t>
      </w:r>
    </w:p>
    <w:p w14:paraId="3D471DA3" w14:textId="11C11D67" w:rsidR="00B525F4" w:rsidRPr="00121A6A" w:rsidRDefault="00B525F4" w:rsidP="00030EF2">
      <w:pPr>
        <w:spacing w:after="0"/>
        <w:jc w:val="both"/>
        <w:rPr>
          <w:sz w:val="24"/>
          <w:szCs w:val="24"/>
          <w:lang w:val="en-GB"/>
        </w:rPr>
      </w:pPr>
      <w:bookmarkStart w:id="97" w:name="_Hlk155952097"/>
      <w:r w:rsidRPr="00121A6A">
        <w:rPr>
          <w:sz w:val="24"/>
          <w:szCs w:val="24"/>
          <w:lang w:val="en-GB"/>
        </w:rPr>
        <w:t xml:space="preserve">S. </w:t>
      </w:r>
      <w:proofErr w:type="spellStart"/>
      <w:r w:rsidRPr="00121A6A">
        <w:rPr>
          <w:sz w:val="24"/>
          <w:szCs w:val="24"/>
          <w:lang w:val="en-GB"/>
        </w:rPr>
        <w:t>Giubboni</w:t>
      </w:r>
      <w:proofErr w:type="spellEnd"/>
      <w:r w:rsidRPr="00121A6A">
        <w:rPr>
          <w:sz w:val="24"/>
          <w:szCs w:val="24"/>
          <w:lang w:val="en-GB"/>
        </w:rPr>
        <w:t xml:space="preserve">, ‘The rise and fall of EU labour law’, </w:t>
      </w:r>
      <w:r w:rsidRPr="00121A6A">
        <w:rPr>
          <w:i/>
          <w:iCs/>
          <w:sz w:val="24"/>
          <w:szCs w:val="24"/>
          <w:lang w:val="en-GB"/>
        </w:rPr>
        <w:t>European Law Journal</w:t>
      </w:r>
      <w:r w:rsidRPr="00121A6A">
        <w:rPr>
          <w:sz w:val="24"/>
          <w:szCs w:val="24"/>
          <w:lang w:val="en-GB"/>
        </w:rPr>
        <w:t xml:space="preserve"> 2018</w:t>
      </w:r>
      <w:r w:rsidR="005C006D" w:rsidRPr="00121A6A">
        <w:rPr>
          <w:sz w:val="24"/>
          <w:szCs w:val="24"/>
          <w:lang w:val="en-GB"/>
        </w:rPr>
        <w:t xml:space="preserve">, </w:t>
      </w:r>
      <w:proofErr w:type="spellStart"/>
      <w:r w:rsidR="005C006D" w:rsidRPr="00121A6A">
        <w:rPr>
          <w:sz w:val="24"/>
          <w:szCs w:val="24"/>
          <w:lang w:val="en-GB"/>
        </w:rPr>
        <w:t>afl</w:t>
      </w:r>
      <w:proofErr w:type="spellEnd"/>
      <w:r w:rsidR="005C006D" w:rsidRPr="00121A6A">
        <w:rPr>
          <w:sz w:val="24"/>
          <w:szCs w:val="24"/>
          <w:lang w:val="en-GB"/>
        </w:rPr>
        <w:t xml:space="preserve">. </w:t>
      </w:r>
      <w:r w:rsidRPr="00121A6A">
        <w:rPr>
          <w:sz w:val="24"/>
          <w:szCs w:val="24"/>
          <w:lang w:val="en-GB"/>
        </w:rPr>
        <w:t xml:space="preserve">1, p. </w:t>
      </w:r>
      <w:bookmarkEnd w:id="97"/>
      <w:r w:rsidRPr="00121A6A">
        <w:rPr>
          <w:sz w:val="24"/>
          <w:szCs w:val="24"/>
          <w:lang w:val="en-GB"/>
        </w:rPr>
        <w:t>7-20.</w:t>
      </w:r>
    </w:p>
    <w:p w14:paraId="495D26F2" w14:textId="77777777" w:rsidR="0015188E" w:rsidRPr="00121A6A" w:rsidRDefault="0015188E" w:rsidP="00030EF2">
      <w:pPr>
        <w:spacing w:after="0"/>
        <w:jc w:val="both"/>
        <w:rPr>
          <w:sz w:val="24"/>
          <w:szCs w:val="24"/>
          <w:lang w:val="en-GB"/>
        </w:rPr>
      </w:pPr>
    </w:p>
    <w:p w14:paraId="7D74F452" w14:textId="44415D1D" w:rsidR="0015188E" w:rsidRPr="00121A6A" w:rsidRDefault="0015188E" w:rsidP="00030EF2">
      <w:pPr>
        <w:spacing w:after="0"/>
        <w:jc w:val="both"/>
        <w:rPr>
          <w:b/>
          <w:bCs/>
          <w:sz w:val="24"/>
          <w:szCs w:val="24"/>
          <w:lang w:val="en-US"/>
        </w:rPr>
      </w:pPr>
      <w:r w:rsidRPr="00121A6A">
        <w:rPr>
          <w:b/>
          <w:bCs/>
          <w:sz w:val="24"/>
          <w:szCs w:val="24"/>
          <w:lang w:val="en-US"/>
        </w:rPr>
        <w:t xml:space="preserve">Graver, </w:t>
      </w:r>
      <w:r w:rsidRPr="00121A6A">
        <w:rPr>
          <w:b/>
          <w:bCs/>
          <w:i/>
          <w:iCs/>
          <w:sz w:val="24"/>
          <w:szCs w:val="24"/>
          <w:lang w:val="en-US"/>
        </w:rPr>
        <w:t>ERA Forum</w:t>
      </w:r>
      <w:r w:rsidRPr="00121A6A">
        <w:rPr>
          <w:b/>
          <w:bCs/>
          <w:sz w:val="24"/>
          <w:szCs w:val="24"/>
          <w:lang w:val="en-US"/>
        </w:rPr>
        <w:t xml:space="preserve"> 2022</w:t>
      </w:r>
    </w:p>
    <w:p w14:paraId="50F234C6" w14:textId="4BC2E399" w:rsidR="0015188E" w:rsidRPr="00121A6A" w:rsidRDefault="0015188E" w:rsidP="0015188E">
      <w:pPr>
        <w:spacing w:after="0"/>
        <w:jc w:val="both"/>
        <w:rPr>
          <w:sz w:val="24"/>
          <w:szCs w:val="24"/>
          <w:lang w:val="en-US"/>
        </w:rPr>
      </w:pPr>
      <w:r w:rsidRPr="00121A6A">
        <w:rPr>
          <w:sz w:val="24"/>
          <w:szCs w:val="24"/>
          <w:lang w:val="en-US"/>
        </w:rPr>
        <w:t xml:space="preserve">H.P. Graver, ‘The </w:t>
      </w:r>
      <w:proofErr w:type="spellStart"/>
      <w:r w:rsidRPr="00121A6A">
        <w:rPr>
          <w:i/>
          <w:iCs/>
          <w:sz w:val="24"/>
          <w:szCs w:val="24"/>
          <w:lang w:val="en-US"/>
        </w:rPr>
        <w:t>Holship</w:t>
      </w:r>
      <w:proofErr w:type="spellEnd"/>
      <w:r w:rsidRPr="00121A6A">
        <w:rPr>
          <w:sz w:val="24"/>
          <w:szCs w:val="24"/>
          <w:lang w:val="en-US"/>
        </w:rPr>
        <w:t xml:space="preserve"> ruling of the ECtHR and the protection of fundamental rights in Europe’, </w:t>
      </w:r>
      <w:r w:rsidRPr="00121A6A">
        <w:rPr>
          <w:i/>
          <w:iCs/>
          <w:sz w:val="24"/>
          <w:szCs w:val="24"/>
          <w:lang w:val="en-US"/>
        </w:rPr>
        <w:t>ERA Forum</w:t>
      </w:r>
      <w:r w:rsidRPr="00121A6A">
        <w:rPr>
          <w:sz w:val="24"/>
          <w:szCs w:val="24"/>
          <w:lang w:val="en-US"/>
        </w:rPr>
        <w:t xml:space="preserve"> 2022</w:t>
      </w:r>
      <w:r w:rsidR="00C32ACC" w:rsidRPr="00121A6A">
        <w:rPr>
          <w:sz w:val="24"/>
          <w:szCs w:val="24"/>
          <w:lang w:val="en-US"/>
        </w:rPr>
        <w:t xml:space="preserve">, </w:t>
      </w:r>
      <w:proofErr w:type="spellStart"/>
      <w:r w:rsidR="00C32ACC" w:rsidRPr="00121A6A">
        <w:rPr>
          <w:sz w:val="24"/>
          <w:szCs w:val="24"/>
          <w:lang w:val="en-US"/>
        </w:rPr>
        <w:t>afl</w:t>
      </w:r>
      <w:proofErr w:type="spellEnd"/>
      <w:r w:rsidR="00C32ACC" w:rsidRPr="00121A6A">
        <w:rPr>
          <w:sz w:val="24"/>
          <w:szCs w:val="24"/>
          <w:lang w:val="en-US"/>
        </w:rPr>
        <w:t>. 1,</w:t>
      </w:r>
      <w:r w:rsidR="002C597A" w:rsidRPr="00121A6A">
        <w:rPr>
          <w:sz w:val="24"/>
          <w:szCs w:val="24"/>
          <w:lang w:val="en-US"/>
        </w:rPr>
        <w:t xml:space="preserve"> p. 19-32.</w:t>
      </w:r>
    </w:p>
    <w:p w14:paraId="7E2E5D75" w14:textId="77777777" w:rsidR="00956E5D" w:rsidRPr="00121A6A" w:rsidRDefault="00956E5D" w:rsidP="0015188E">
      <w:pPr>
        <w:spacing w:after="0"/>
        <w:jc w:val="both"/>
        <w:rPr>
          <w:sz w:val="24"/>
          <w:szCs w:val="24"/>
          <w:lang w:val="en-US"/>
        </w:rPr>
      </w:pPr>
    </w:p>
    <w:p w14:paraId="2C0C8F43" w14:textId="1A2025B9" w:rsidR="00956E5D" w:rsidRPr="00121A6A" w:rsidRDefault="00956E5D" w:rsidP="0015188E">
      <w:pPr>
        <w:spacing w:after="0"/>
        <w:jc w:val="both"/>
        <w:rPr>
          <w:b/>
          <w:bCs/>
          <w:sz w:val="24"/>
          <w:szCs w:val="24"/>
          <w:lang w:val="en-US"/>
        </w:rPr>
      </w:pPr>
      <w:r w:rsidRPr="00121A6A">
        <w:rPr>
          <w:b/>
          <w:bCs/>
          <w:sz w:val="24"/>
          <w:szCs w:val="24"/>
          <w:lang w:val="en-US"/>
        </w:rPr>
        <w:t xml:space="preserve">Halberstam, </w:t>
      </w:r>
      <w:r w:rsidRPr="00121A6A">
        <w:rPr>
          <w:b/>
          <w:bCs/>
          <w:i/>
          <w:iCs/>
          <w:sz w:val="24"/>
          <w:szCs w:val="24"/>
          <w:lang w:val="en-US"/>
        </w:rPr>
        <w:t xml:space="preserve">CYELS </w:t>
      </w:r>
      <w:r w:rsidRPr="00121A6A">
        <w:rPr>
          <w:b/>
          <w:bCs/>
          <w:sz w:val="24"/>
          <w:szCs w:val="24"/>
          <w:lang w:val="en-US"/>
        </w:rPr>
        <w:t>2021</w:t>
      </w:r>
    </w:p>
    <w:p w14:paraId="1CF405E1" w14:textId="5E770B1E" w:rsidR="00956E5D" w:rsidRPr="00121A6A" w:rsidRDefault="00956E5D" w:rsidP="0015188E">
      <w:pPr>
        <w:spacing w:after="0"/>
        <w:jc w:val="both"/>
        <w:rPr>
          <w:sz w:val="24"/>
          <w:szCs w:val="24"/>
          <w:lang w:val="en-US"/>
        </w:rPr>
      </w:pPr>
      <w:r w:rsidRPr="00121A6A">
        <w:rPr>
          <w:sz w:val="24"/>
          <w:szCs w:val="24"/>
          <w:lang w:val="en-US"/>
        </w:rPr>
        <w:t xml:space="preserve">D. Halberstam, ‘Understanding National Remedies and the Principle of National Procedural Autonomy: A Constitutional Approach’, </w:t>
      </w:r>
      <w:r w:rsidRPr="00121A6A">
        <w:rPr>
          <w:i/>
          <w:iCs/>
          <w:sz w:val="24"/>
          <w:szCs w:val="24"/>
          <w:lang w:val="en-US"/>
        </w:rPr>
        <w:t>Cambridge Yearbook of European Legal Studies</w:t>
      </w:r>
      <w:r w:rsidRPr="00121A6A">
        <w:rPr>
          <w:sz w:val="24"/>
          <w:szCs w:val="24"/>
          <w:lang w:val="en-US"/>
        </w:rPr>
        <w:t xml:space="preserve"> 2021, p. 128-158.</w:t>
      </w:r>
    </w:p>
    <w:p w14:paraId="7BD9B85F" w14:textId="77777777" w:rsidR="006C1830" w:rsidRPr="00121A6A" w:rsidRDefault="006C1830" w:rsidP="0015188E">
      <w:pPr>
        <w:spacing w:after="0"/>
        <w:jc w:val="both"/>
        <w:rPr>
          <w:sz w:val="24"/>
          <w:szCs w:val="24"/>
          <w:lang w:val="en-US"/>
        </w:rPr>
      </w:pPr>
    </w:p>
    <w:p w14:paraId="3F8B1B93" w14:textId="06CF84D1" w:rsidR="006C1830" w:rsidRPr="00121A6A" w:rsidRDefault="006C1830" w:rsidP="0015188E">
      <w:pPr>
        <w:spacing w:after="0"/>
        <w:jc w:val="both"/>
        <w:rPr>
          <w:b/>
          <w:bCs/>
          <w:sz w:val="24"/>
          <w:szCs w:val="24"/>
        </w:rPr>
      </w:pPr>
      <w:r w:rsidRPr="00121A6A">
        <w:rPr>
          <w:b/>
          <w:bCs/>
          <w:sz w:val="24"/>
          <w:szCs w:val="24"/>
        </w:rPr>
        <w:t xml:space="preserve">Hartkamp, </w:t>
      </w:r>
      <w:r w:rsidRPr="00121A6A">
        <w:rPr>
          <w:b/>
          <w:bCs/>
          <w:i/>
          <w:iCs/>
          <w:sz w:val="24"/>
          <w:szCs w:val="24"/>
        </w:rPr>
        <w:t xml:space="preserve">AA </w:t>
      </w:r>
      <w:r w:rsidRPr="00121A6A">
        <w:rPr>
          <w:b/>
          <w:bCs/>
          <w:sz w:val="24"/>
          <w:szCs w:val="24"/>
        </w:rPr>
        <w:t>2019</w:t>
      </w:r>
    </w:p>
    <w:p w14:paraId="1C893A2F" w14:textId="7F3D0BBE" w:rsidR="005407F8" w:rsidRPr="00121A6A" w:rsidRDefault="006C1830" w:rsidP="006C1830">
      <w:pPr>
        <w:spacing w:after="0"/>
        <w:jc w:val="both"/>
        <w:rPr>
          <w:sz w:val="24"/>
          <w:szCs w:val="24"/>
        </w:rPr>
      </w:pPr>
      <w:r w:rsidRPr="00121A6A">
        <w:rPr>
          <w:sz w:val="24"/>
          <w:szCs w:val="24"/>
        </w:rPr>
        <w:t xml:space="preserve">A.S. Hartkamp, ‘Rechtstreekse doorwerking van het EU Handvest van de grondrechten in privaatrechtelijke rechtsverhoudingen’, </w:t>
      </w:r>
      <w:r w:rsidRPr="00121A6A">
        <w:rPr>
          <w:i/>
          <w:iCs/>
          <w:sz w:val="24"/>
          <w:szCs w:val="24"/>
        </w:rPr>
        <w:t xml:space="preserve">Ars </w:t>
      </w:r>
      <w:proofErr w:type="spellStart"/>
      <w:r w:rsidRPr="00121A6A">
        <w:rPr>
          <w:i/>
          <w:iCs/>
          <w:sz w:val="24"/>
          <w:szCs w:val="24"/>
        </w:rPr>
        <w:t>Aequi</w:t>
      </w:r>
      <w:proofErr w:type="spellEnd"/>
      <w:r w:rsidRPr="00121A6A">
        <w:rPr>
          <w:sz w:val="24"/>
          <w:szCs w:val="24"/>
        </w:rPr>
        <w:t xml:space="preserve"> 2019</w:t>
      </w:r>
      <w:r w:rsidR="00C32ACC" w:rsidRPr="00121A6A">
        <w:rPr>
          <w:sz w:val="24"/>
          <w:szCs w:val="24"/>
        </w:rPr>
        <w:t xml:space="preserve">, afl. </w:t>
      </w:r>
      <w:r w:rsidRPr="00121A6A">
        <w:rPr>
          <w:sz w:val="24"/>
          <w:szCs w:val="24"/>
        </w:rPr>
        <w:t>3, p. 218-224.</w:t>
      </w:r>
    </w:p>
    <w:p w14:paraId="34ED12C1" w14:textId="77777777" w:rsidR="00641EF2" w:rsidRPr="00121A6A" w:rsidRDefault="00641EF2" w:rsidP="006C1830">
      <w:pPr>
        <w:spacing w:after="0"/>
        <w:jc w:val="both"/>
        <w:rPr>
          <w:sz w:val="24"/>
          <w:szCs w:val="24"/>
        </w:rPr>
      </w:pPr>
    </w:p>
    <w:p w14:paraId="2D656832" w14:textId="7BAD9685" w:rsidR="00641EF2" w:rsidRPr="00DF433F" w:rsidRDefault="00641EF2" w:rsidP="006C1830">
      <w:pPr>
        <w:spacing w:after="0"/>
        <w:jc w:val="both"/>
        <w:rPr>
          <w:b/>
          <w:bCs/>
          <w:sz w:val="24"/>
          <w:szCs w:val="24"/>
          <w:lang w:val="en-US"/>
        </w:rPr>
      </w:pPr>
      <w:r w:rsidRPr="00DF433F">
        <w:rPr>
          <w:b/>
          <w:bCs/>
          <w:sz w:val="24"/>
          <w:szCs w:val="24"/>
          <w:lang w:val="en-US"/>
        </w:rPr>
        <w:lastRenderedPageBreak/>
        <w:t>Haket</w:t>
      </w:r>
      <w:r w:rsidRPr="00DF433F">
        <w:rPr>
          <w:b/>
          <w:bCs/>
          <w:i/>
          <w:iCs/>
          <w:sz w:val="24"/>
          <w:szCs w:val="24"/>
          <w:lang w:val="en-US"/>
        </w:rPr>
        <w:t xml:space="preserve"> </w:t>
      </w:r>
      <w:r w:rsidRPr="00DF433F">
        <w:rPr>
          <w:b/>
          <w:bCs/>
          <w:sz w:val="24"/>
          <w:szCs w:val="24"/>
          <w:lang w:val="en-US"/>
        </w:rPr>
        <w:t>2019</w:t>
      </w:r>
    </w:p>
    <w:p w14:paraId="658BDE68" w14:textId="003D274D" w:rsidR="00641EF2" w:rsidRPr="00121A6A" w:rsidRDefault="00641EF2" w:rsidP="006C1830">
      <w:pPr>
        <w:spacing w:after="0"/>
        <w:jc w:val="both"/>
        <w:rPr>
          <w:sz w:val="24"/>
          <w:szCs w:val="24"/>
          <w:lang w:val="en-US"/>
        </w:rPr>
      </w:pPr>
      <w:r w:rsidRPr="00DF433F">
        <w:rPr>
          <w:sz w:val="24"/>
          <w:szCs w:val="24"/>
          <w:lang w:val="en-US"/>
        </w:rPr>
        <w:t>S. Haket, ‘Egenberger and Bauer: The EU Charter as a source of rights and obligations for individuals’,</w:t>
      </w:r>
      <w:r w:rsidR="00DF433F" w:rsidRPr="00DF433F">
        <w:rPr>
          <w:i/>
          <w:iCs/>
          <w:sz w:val="24"/>
          <w:szCs w:val="24"/>
          <w:lang w:val="en-US"/>
        </w:rPr>
        <w:t xml:space="preserve"> Montaigne Centre Blog </w:t>
      </w:r>
      <w:r w:rsidRPr="00121A6A">
        <w:rPr>
          <w:sz w:val="24"/>
          <w:szCs w:val="24"/>
          <w:lang w:val="en-US"/>
        </w:rPr>
        <w:t xml:space="preserve">8 </w:t>
      </w:r>
      <w:proofErr w:type="spellStart"/>
      <w:r w:rsidRPr="00121A6A">
        <w:rPr>
          <w:sz w:val="24"/>
          <w:szCs w:val="24"/>
          <w:lang w:val="en-US"/>
        </w:rPr>
        <w:t>april</w:t>
      </w:r>
      <w:proofErr w:type="spellEnd"/>
      <w:r w:rsidRPr="00121A6A">
        <w:rPr>
          <w:sz w:val="24"/>
          <w:szCs w:val="24"/>
          <w:lang w:val="en-US"/>
        </w:rPr>
        <w:t xml:space="preserve"> 2019.</w:t>
      </w:r>
    </w:p>
    <w:p w14:paraId="643207F9" w14:textId="77777777" w:rsidR="003113BE" w:rsidRPr="00121A6A" w:rsidRDefault="003113BE" w:rsidP="006C1830">
      <w:pPr>
        <w:spacing w:after="0"/>
        <w:jc w:val="both"/>
        <w:rPr>
          <w:sz w:val="24"/>
          <w:szCs w:val="24"/>
          <w:lang w:val="en-US"/>
        </w:rPr>
      </w:pPr>
    </w:p>
    <w:p w14:paraId="44027F22" w14:textId="55A96DA8" w:rsidR="003113BE" w:rsidRPr="00121A6A" w:rsidRDefault="003113BE" w:rsidP="006C1830">
      <w:pPr>
        <w:spacing w:after="0"/>
        <w:jc w:val="both"/>
        <w:rPr>
          <w:b/>
          <w:bCs/>
          <w:sz w:val="24"/>
          <w:szCs w:val="24"/>
        </w:rPr>
      </w:pPr>
      <w:bookmarkStart w:id="98" w:name="_Hlk160185654"/>
      <w:r w:rsidRPr="00121A6A">
        <w:rPr>
          <w:b/>
          <w:bCs/>
          <w:sz w:val="24"/>
          <w:szCs w:val="24"/>
        </w:rPr>
        <w:t xml:space="preserve">Hansma, in: </w:t>
      </w:r>
      <w:r w:rsidRPr="00121A6A">
        <w:rPr>
          <w:b/>
          <w:bCs/>
          <w:i/>
          <w:iCs/>
          <w:sz w:val="24"/>
          <w:szCs w:val="24"/>
        </w:rPr>
        <w:t>Arbeidsovereenkomst</w:t>
      </w:r>
      <w:r w:rsidRPr="00121A6A">
        <w:rPr>
          <w:b/>
          <w:bCs/>
          <w:sz w:val="24"/>
          <w:szCs w:val="24"/>
        </w:rPr>
        <w:t xml:space="preserve">, art. G ESH (herzien), </w:t>
      </w:r>
      <w:proofErr w:type="spellStart"/>
      <w:r w:rsidRPr="00121A6A">
        <w:rPr>
          <w:b/>
          <w:bCs/>
          <w:sz w:val="24"/>
          <w:szCs w:val="24"/>
        </w:rPr>
        <w:t>aant</w:t>
      </w:r>
      <w:proofErr w:type="spellEnd"/>
      <w:r w:rsidRPr="00121A6A">
        <w:rPr>
          <w:b/>
          <w:bCs/>
          <w:sz w:val="24"/>
          <w:szCs w:val="24"/>
        </w:rPr>
        <w:t>. 2.3</w:t>
      </w:r>
      <w:r w:rsidR="009801D2" w:rsidRPr="00121A6A">
        <w:rPr>
          <w:sz w:val="24"/>
          <w:szCs w:val="24"/>
        </w:rPr>
        <w:t xml:space="preserve"> </w:t>
      </w:r>
      <w:r w:rsidR="009801D2" w:rsidRPr="00121A6A">
        <w:rPr>
          <w:b/>
          <w:bCs/>
          <w:sz w:val="24"/>
          <w:szCs w:val="24"/>
        </w:rPr>
        <w:t>(online, bijgewerkt 1 januari 2023)</w:t>
      </w:r>
    </w:p>
    <w:p w14:paraId="3D5BC24E" w14:textId="493150AA" w:rsidR="009801D2" w:rsidRPr="00121A6A" w:rsidRDefault="009801D2" w:rsidP="006C1830">
      <w:pPr>
        <w:spacing w:after="0"/>
        <w:jc w:val="both"/>
        <w:rPr>
          <w:sz w:val="24"/>
          <w:szCs w:val="24"/>
        </w:rPr>
      </w:pPr>
      <w:r w:rsidRPr="00121A6A">
        <w:rPr>
          <w:sz w:val="24"/>
          <w:szCs w:val="24"/>
        </w:rPr>
        <w:t xml:space="preserve">R. Hansma, ‘Regels Europese Unie’, in: S.S.M. Peters (red.), </w:t>
      </w:r>
      <w:r w:rsidRPr="00121A6A">
        <w:rPr>
          <w:i/>
          <w:iCs/>
          <w:sz w:val="24"/>
          <w:szCs w:val="24"/>
        </w:rPr>
        <w:t>Arbeidsovereenkomst</w:t>
      </w:r>
      <w:r w:rsidRPr="00121A6A">
        <w:rPr>
          <w:sz w:val="24"/>
          <w:szCs w:val="24"/>
        </w:rPr>
        <w:t xml:space="preserve">, (art. G ESH (herzien), </w:t>
      </w:r>
      <w:proofErr w:type="spellStart"/>
      <w:r w:rsidRPr="00121A6A">
        <w:rPr>
          <w:sz w:val="24"/>
          <w:szCs w:val="24"/>
        </w:rPr>
        <w:t>aant</w:t>
      </w:r>
      <w:proofErr w:type="spellEnd"/>
      <w:r w:rsidRPr="00121A6A">
        <w:rPr>
          <w:sz w:val="24"/>
          <w:szCs w:val="24"/>
        </w:rPr>
        <w:t>. 2.3), Deventer: Wolters Kluwer 2023 (losbladig en online).</w:t>
      </w:r>
    </w:p>
    <w:bookmarkEnd w:id="98"/>
    <w:p w14:paraId="0A58A28A" w14:textId="77777777" w:rsidR="006C1830" w:rsidRPr="00121A6A" w:rsidRDefault="006C1830" w:rsidP="0015188E">
      <w:pPr>
        <w:spacing w:after="0"/>
        <w:jc w:val="both"/>
        <w:rPr>
          <w:sz w:val="24"/>
          <w:szCs w:val="24"/>
        </w:rPr>
      </w:pPr>
    </w:p>
    <w:p w14:paraId="5B464F10" w14:textId="3354095B" w:rsidR="006665E7" w:rsidRPr="00121A6A" w:rsidRDefault="006665E7" w:rsidP="0015188E">
      <w:pPr>
        <w:spacing w:after="0"/>
        <w:jc w:val="both"/>
        <w:rPr>
          <w:b/>
          <w:bCs/>
          <w:sz w:val="24"/>
          <w:szCs w:val="24"/>
          <w:lang w:val="en-US"/>
        </w:rPr>
      </w:pPr>
      <w:r w:rsidRPr="00121A6A">
        <w:rPr>
          <w:b/>
          <w:bCs/>
          <w:sz w:val="24"/>
          <w:szCs w:val="24"/>
          <w:lang w:val="en-US"/>
        </w:rPr>
        <w:t>Hendy 2013</w:t>
      </w:r>
    </w:p>
    <w:p w14:paraId="26DE638F" w14:textId="1C84425A" w:rsidR="006665E7" w:rsidRPr="00121A6A" w:rsidRDefault="006665E7" w:rsidP="0015188E">
      <w:pPr>
        <w:spacing w:after="0"/>
        <w:jc w:val="both"/>
        <w:rPr>
          <w:sz w:val="24"/>
          <w:szCs w:val="24"/>
          <w:lang w:val="en-US"/>
        </w:rPr>
      </w:pPr>
      <w:r w:rsidRPr="00121A6A">
        <w:rPr>
          <w:sz w:val="24"/>
          <w:szCs w:val="24"/>
          <w:lang w:val="en-US"/>
        </w:rPr>
        <w:t xml:space="preserve">J. Hendy QC, ‘Procedure in the European Court of Human Rights (with a Particular Focus on Cases Concerning Trade Union Rights)’, in: F. </w:t>
      </w:r>
      <w:proofErr w:type="spellStart"/>
      <w:r w:rsidRPr="00121A6A">
        <w:rPr>
          <w:sz w:val="24"/>
          <w:szCs w:val="24"/>
          <w:lang w:val="en-US"/>
        </w:rPr>
        <w:t>Dorssemont</w:t>
      </w:r>
      <w:proofErr w:type="spellEnd"/>
      <w:r w:rsidRPr="00121A6A">
        <w:rPr>
          <w:sz w:val="24"/>
          <w:szCs w:val="24"/>
          <w:lang w:val="en-US"/>
        </w:rPr>
        <w:t xml:space="preserve">, K. </w:t>
      </w:r>
      <w:proofErr w:type="spellStart"/>
      <w:r w:rsidRPr="00121A6A">
        <w:rPr>
          <w:sz w:val="24"/>
          <w:szCs w:val="24"/>
          <w:lang w:val="en-US"/>
        </w:rPr>
        <w:t>Lörcher</w:t>
      </w:r>
      <w:proofErr w:type="spellEnd"/>
      <w:r w:rsidRPr="00121A6A">
        <w:rPr>
          <w:sz w:val="24"/>
          <w:szCs w:val="24"/>
          <w:lang w:val="en-US"/>
        </w:rPr>
        <w:t xml:space="preserve"> &amp; I. </w:t>
      </w:r>
      <w:proofErr w:type="spellStart"/>
      <w:r w:rsidRPr="00121A6A">
        <w:rPr>
          <w:sz w:val="24"/>
          <w:szCs w:val="24"/>
          <w:lang w:val="en-US"/>
        </w:rPr>
        <w:t>Schömann</w:t>
      </w:r>
      <w:proofErr w:type="spellEnd"/>
      <w:r w:rsidRPr="00121A6A">
        <w:rPr>
          <w:sz w:val="24"/>
          <w:szCs w:val="24"/>
          <w:lang w:val="en-US"/>
        </w:rPr>
        <w:t xml:space="preserve"> (</w:t>
      </w:r>
      <w:r w:rsidR="00F14AC5">
        <w:rPr>
          <w:sz w:val="24"/>
          <w:szCs w:val="24"/>
          <w:lang w:val="en-US"/>
        </w:rPr>
        <w:t>eds</w:t>
      </w:r>
      <w:r w:rsidRPr="00121A6A">
        <w:rPr>
          <w:sz w:val="24"/>
          <w:szCs w:val="24"/>
          <w:lang w:val="en-US"/>
        </w:rPr>
        <w:t xml:space="preserve">.), </w:t>
      </w:r>
      <w:r w:rsidRPr="00121A6A">
        <w:rPr>
          <w:i/>
          <w:iCs/>
          <w:sz w:val="24"/>
          <w:szCs w:val="24"/>
          <w:lang w:val="en-US"/>
        </w:rPr>
        <w:t>The European Convention on Human Rights and the Employment Relation</w:t>
      </w:r>
      <w:r w:rsidRPr="00121A6A">
        <w:rPr>
          <w:sz w:val="24"/>
          <w:szCs w:val="24"/>
          <w:lang w:val="en-US"/>
        </w:rPr>
        <w:t>, Oxford</w:t>
      </w:r>
      <w:r w:rsidR="00D160AE" w:rsidRPr="00121A6A">
        <w:rPr>
          <w:sz w:val="24"/>
          <w:szCs w:val="24"/>
          <w:lang w:val="en-US"/>
        </w:rPr>
        <w:t xml:space="preserve">, </w:t>
      </w:r>
      <w:r w:rsidR="00F14AC5">
        <w:rPr>
          <w:sz w:val="24"/>
          <w:szCs w:val="24"/>
          <w:lang w:val="en-US"/>
        </w:rPr>
        <w:t>UK</w:t>
      </w:r>
      <w:r w:rsidRPr="00121A6A">
        <w:rPr>
          <w:sz w:val="24"/>
          <w:szCs w:val="24"/>
          <w:lang w:val="en-US"/>
        </w:rPr>
        <w:t>: Hart Publishing 2013, p. 61-9</w:t>
      </w:r>
      <w:r w:rsidR="004D06FC" w:rsidRPr="00121A6A">
        <w:rPr>
          <w:sz w:val="24"/>
          <w:szCs w:val="24"/>
          <w:lang w:val="en-US"/>
        </w:rPr>
        <w:t>1</w:t>
      </w:r>
      <w:r w:rsidRPr="00121A6A">
        <w:rPr>
          <w:sz w:val="24"/>
          <w:szCs w:val="24"/>
          <w:lang w:val="en-US"/>
        </w:rPr>
        <w:t>.</w:t>
      </w:r>
    </w:p>
    <w:p w14:paraId="5519B837" w14:textId="77777777" w:rsidR="00E004ED" w:rsidRPr="00121A6A" w:rsidRDefault="00E004ED" w:rsidP="0015188E">
      <w:pPr>
        <w:spacing w:after="0"/>
        <w:jc w:val="both"/>
        <w:rPr>
          <w:sz w:val="24"/>
          <w:szCs w:val="24"/>
          <w:lang w:val="en-US"/>
        </w:rPr>
      </w:pPr>
    </w:p>
    <w:p w14:paraId="2B54456D" w14:textId="2A1ADBEA" w:rsidR="00E004ED" w:rsidRPr="00121A6A" w:rsidRDefault="00E004ED" w:rsidP="0015188E">
      <w:pPr>
        <w:spacing w:after="0"/>
        <w:jc w:val="both"/>
        <w:rPr>
          <w:b/>
          <w:bCs/>
          <w:sz w:val="24"/>
          <w:szCs w:val="24"/>
          <w:lang w:val="en-US"/>
        </w:rPr>
      </w:pPr>
      <w:r w:rsidRPr="00121A6A">
        <w:rPr>
          <w:b/>
          <w:bCs/>
          <w:sz w:val="24"/>
          <w:szCs w:val="24"/>
          <w:lang w:val="en-US"/>
        </w:rPr>
        <w:t xml:space="preserve">Hendy &amp; </w:t>
      </w:r>
      <w:proofErr w:type="spellStart"/>
      <w:r w:rsidRPr="00121A6A">
        <w:rPr>
          <w:b/>
          <w:bCs/>
          <w:sz w:val="24"/>
          <w:szCs w:val="24"/>
          <w:lang w:val="en-US"/>
        </w:rPr>
        <w:t>Novitz</w:t>
      </w:r>
      <w:proofErr w:type="spellEnd"/>
      <w:r w:rsidRPr="00121A6A">
        <w:rPr>
          <w:b/>
          <w:bCs/>
          <w:sz w:val="24"/>
          <w:szCs w:val="24"/>
          <w:lang w:val="en-US"/>
        </w:rPr>
        <w:t xml:space="preserve">, </w:t>
      </w:r>
      <w:r w:rsidRPr="00121A6A">
        <w:rPr>
          <w:b/>
          <w:bCs/>
          <w:i/>
          <w:iCs/>
          <w:sz w:val="24"/>
          <w:szCs w:val="24"/>
          <w:lang w:val="en-US"/>
        </w:rPr>
        <w:t xml:space="preserve">ILJ </w:t>
      </w:r>
      <w:r w:rsidRPr="00121A6A">
        <w:rPr>
          <w:b/>
          <w:bCs/>
          <w:sz w:val="24"/>
          <w:szCs w:val="24"/>
          <w:lang w:val="en-US"/>
        </w:rPr>
        <w:t>2018</w:t>
      </w:r>
    </w:p>
    <w:p w14:paraId="14D0DDA0" w14:textId="003D2E7B" w:rsidR="00E004ED" w:rsidRPr="00121A6A" w:rsidRDefault="00E004ED" w:rsidP="0015188E">
      <w:pPr>
        <w:spacing w:after="0"/>
        <w:jc w:val="both"/>
        <w:rPr>
          <w:sz w:val="24"/>
          <w:szCs w:val="24"/>
          <w:lang w:val="en-US"/>
        </w:rPr>
      </w:pPr>
      <w:r w:rsidRPr="00121A6A">
        <w:rPr>
          <w:sz w:val="24"/>
          <w:szCs w:val="24"/>
          <w:lang w:val="en-US"/>
        </w:rPr>
        <w:t xml:space="preserve">J. Hendy QC &amp; T. </w:t>
      </w:r>
      <w:proofErr w:type="spellStart"/>
      <w:r w:rsidRPr="00121A6A">
        <w:rPr>
          <w:sz w:val="24"/>
          <w:szCs w:val="24"/>
          <w:lang w:val="en-US"/>
        </w:rPr>
        <w:t>Novitz</w:t>
      </w:r>
      <w:proofErr w:type="spellEnd"/>
      <w:r w:rsidRPr="00121A6A">
        <w:rPr>
          <w:sz w:val="24"/>
          <w:szCs w:val="24"/>
          <w:lang w:val="en-US"/>
        </w:rPr>
        <w:t xml:space="preserve">, ‘The </w:t>
      </w:r>
      <w:proofErr w:type="spellStart"/>
      <w:r w:rsidRPr="00121A6A">
        <w:rPr>
          <w:i/>
          <w:iCs/>
          <w:sz w:val="24"/>
          <w:szCs w:val="24"/>
          <w:lang w:val="en-US"/>
        </w:rPr>
        <w:t>Holship</w:t>
      </w:r>
      <w:proofErr w:type="spellEnd"/>
      <w:r w:rsidRPr="00121A6A">
        <w:rPr>
          <w:sz w:val="24"/>
          <w:szCs w:val="24"/>
          <w:lang w:val="en-US"/>
        </w:rPr>
        <w:t xml:space="preserve"> Case’, </w:t>
      </w:r>
      <w:r w:rsidRPr="00121A6A">
        <w:rPr>
          <w:i/>
          <w:iCs/>
          <w:sz w:val="24"/>
          <w:szCs w:val="24"/>
          <w:lang w:val="en-US"/>
        </w:rPr>
        <w:t>Industrial Law Journal</w:t>
      </w:r>
      <w:r w:rsidRPr="00121A6A">
        <w:rPr>
          <w:sz w:val="24"/>
          <w:szCs w:val="24"/>
          <w:lang w:val="en-US"/>
        </w:rPr>
        <w:t xml:space="preserve"> 2018</w:t>
      </w:r>
      <w:r w:rsidR="00C32ACC" w:rsidRPr="00121A6A">
        <w:rPr>
          <w:sz w:val="24"/>
          <w:szCs w:val="24"/>
          <w:lang w:val="en-US"/>
        </w:rPr>
        <w:t xml:space="preserve">, </w:t>
      </w:r>
      <w:proofErr w:type="spellStart"/>
      <w:r w:rsidR="00C32ACC" w:rsidRPr="00121A6A">
        <w:rPr>
          <w:sz w:val="24"/>
          <w:szCs w:val="24"/>
          <w:lang w:val="en-US"/>
        </w:rPr>
        <w:t>afl</w:t>
      </w:r>
      <w:proofErr w:type="spellEnd"/>
      <w:r w:rsidR="00C32ACC" w:rsidRPr="00121A6A">
        <w:rPr>
          <w:sz w:val="24"/>
          <w:szCs w:val="24"/>
          <w:lang w:val="en-US"/>
        </w:rPr>
        <w:t xml:space="preserve">. </w:t>
      </w:r>
      <w:r w:rsidRPr="00121A6A">
        <w:rPr>
          <w:sz w:val="24"/>
          <w:szCs w:val="24"/>
          <w:lang w:val="en-US"/>
        </w:rPr>
        <w:t>2, p. 315-335.</w:t>
      </w:r>
    </w:p>
    <w:p w14:paraId="18946474" w14:textId="77777777" w:rsidR="008D35A9" w:rsidRPr="00121A6A" w:rsidRDefault="008D35A9" w:rsidP="00030EF2">
      <w:pPr>
        <w:spacing w:after="0"/>
        <w:jc w:val="both"/>
        <w:rPr>
          <w:sz w:val="24"/>
          <w:szCs w:val="24"/>
          <w:lang w:val="en-US"/>
        </w:rPr>
      </w:pPr>
    </w:p>
    <w:p w14:paraId="112BAAE2" w14:textId="270B11A5" w:rsidR="008E63BE" w:rsidRPr="00121A6A" w:rsidRDefault="008E63BE" w:rsidP="00030EF2">
      <w:pPr>
        <w:spacing w:after="0"/>
        <w:jc w:val="both"/>
        <w:rPr>
          <w:b/>
          <w:bCs/>
          <w:sz w:val="24"/>
          <w:szCs w:val="24"/>
          <w:lang w:val="en-GB"/>
        </w:rPr>
      </w:pPr>
      <w:proofErr w:type="spellStart"/>
      <w:r w:rsidRPr="00121A6A">
        <w:rPr>
          <w:b/>
          <w:bCs/>
          <w:sz w:val="24"/>
          <w:szCs w:val="24"/>
          <w:lang w:val="en-GB"/>
        </w:rPr>
        <w:t>Hös</w:t>
      </w:r>
      <w:proofErr w:type="spellEnd"/>
      <w:r w:rsidRPr="00121A6A">
        <w:rPr>
          <w:b/>
          <w:bCs/>
          <w:sz w:val="24"/>
          <w:szCs w:val="24"/>
          <w:lang w:val="en-GB"/>
        </w:rPr>
        <w:t xml:space="preserve">, </w:t>
      </w:r>
      <w:r w:rsidRPr="00121A6A">
        <w:rPr>
          <w:b/>
          <w:bCs/>
          <w:i/>
          <w:iCs/>
          <w:sz w:val="24"/>
          <w:szCs w:val="24"/>
          <w:lang w:val="en-GB"/>
        </w:rPr>
        <w:t>ELLJ</w:t>
      </w:r>
      <w:r w:rsidRPr="00121A6A">
        <w:rPr>
          <w:b/>
          <w:bCs/>
          <w:sz w:val="24"/>
          <w:szCs w:val="24"/>
          <w:lang w:val="en-GB"/>
        </w:rPr>
        <w:t xml:space="preserve"> 2010</w:t>
      </w:r>
    </w:p>
    <w:p w14:paraId="2B24790C" w14:textId="29420997" w:rsidR="008E63BE" w:rsidRPr="00121A6A" w:rsidRDefault="008E63BE" w:rsidP="00030EF2">
      <w:pPr>
        <w:spacing w:after="0"/>
        <w:jc w:val="both"/>
        <w:rPr>
          <w:sz w:val="24"/>
          <w:szCs w:val="24"/>
          <w:lang w:val="en-GB"/>
        </w:rPr>
      </w:pPr>
      <w:bookmarkStart w:id="99" w:name="_Hlk155951526"/>
      <w:r w:rsidRPr="00121A6A">
        <w:rPr>
          <w:sz w:val="24"/>
          <w:szCs w:val="24"/>
          <w:lang w:val="en-GB"/>
        </w:rPr>
        <w:t xml:space="preserve">N. </w:t>
      </w:r>
      <w:proofErr w:type="spellStart"/>
      <w:r w:rsidRPr="00121A6A">
        <w:rPr>
          <w:sz w:val="24"/>
          <w:szCs w:val="24"/>
          <w:lang w:val="en-GB"/>
        </w:rPr>
        <w:t>Hös</w:t>
      </w:r>
      <w:proofErr w:type="spellEnd"/>
      <w:r w:rsidRPr="00121A6A">
        <w:rPr>
          <w:sz w:val="24"/>
          <w:szCs w:val="24"/>
          <w:lang w:val="en-GB"/>
        </w:rPr>
        <w:t xml:space="preserve">, ‘The Principle of Proportionality in </w:t>
      </w:r>
      <w:r w:rsidRPr="00121A6A">
        <w:rPr>
          <w:i/>
          <w:iCs/>
          <w:sz w:val="24"/>
          <w:szCs w:val="24"/>
          <w:lang w:val="en-GB"/>
        </w:rPr>
        <w:t>Viking</w:t>
      </w:r>
      <w:r w:rsidRPr="00121A6A">
        <w:rPr>
          <w:sz w:val="24"/>
          <w:szCs w:val="24"/>
          <w:lang w:val="en-GB"/>
        </w:rPr>
        <w:t xml:space="preserve"> and </w:t>
      </w:r>
      <w:r w:rsidRPr="00121A6A">
        <w:rPr>
          <w:i/>
          <w:iCs/>
          <w:sz w:val="24"/>
          <w:szCs w:val="24"/>
          <w:lang w:val="en-GB"/>
        </w:rPr>
        <w:t>Laval</w:t>
      </w:r>
      <w:r w:rsidRPr="00121A6A">
        <w:rPr>
          <w:sz w:val="24"/>
          <w:szCs w:val="24"/>
          <w:lang w:val="en-GB"/>
        </w:rPr>
        <w:t xml:space="preserve">: An Appropriate Standard of Judicial Review?’, </w:t>
      </w:r>
      <w:r w:rsidRPr="00121A6A">
        <w:rPr>
          <w:i/>
          <w:iCs/>
          <w:sz w:val="24"/>
          <w:szCs w:val="24"/>
          <w:lang w:val="en-GB"/>
        </w:rPr>
        <w:t>European Labour Law Journal</w:t>
      </w:r>
      <w:r w:rsidRPr="00121A6A">
        <w:rPr>
          <w:sz w:val="24"/>
          <w:szCs w:val="24"/>
          <w:lang w:val="en-GB"/>
        </w:rPr>
        <w:t xml:space="preserve"> 2010</w:t>
      </w:r>
      <w:r w:rsidR="00C779CE" w:rsidRPr="00121A6A">
        <w:rPr>
          <w:sz w:val="24"/>
          <w:szCs w:val="24"/>
          <w:lang w:val="en-GB"/>
        </w:rPr>
        <w:t xml:space="preserve">, </w:t>
      </w:r>
      <w:proofErr w:type="spellStart"/>
      <w:r w:rsidR="00C779CE" w:rsidRPr="00121A6A">
        <w:rPr>
          <w:sz w:val="24"/>
          <w:szCs w:val="24"/>
          <w:lang w:val="en-GB"/>
        </w:rPr>
        <w:t>afl</w:t>
      </w:r>
      <w:proofErr w:type="spellEnd"/>
      <w:r w:rsidR="00C779CE" w:rsidRPr="00121A6A">
        <w:rPr>
          <w:sz w:val="24"/>
          <w:szCs w:val="24"/>
          <w:lang w:val="en-GB"/>
        </w:rPr>
        <w:t xml:space="preserve">. </w:t>
      </w:r>
      <w:r w:rsidRPr="00121A6A">
        <w:rPr>
          <w:sz w:val="24"/>
          <w:szCs w:val="24"/>
          <w:lang w:val="en-GB"/>
        </w:rPr>
        <w:t xml:space="preserve">2, </w:t>
      </w:r>
      <w:bookmarkEnd w:id="99"/>
      <w:r w:rsidRPr="00121A6A">
        <w:rPr>
          <w:sz w:val="24"/>
          <w:szCs w:val="24"/>
          <w:lang w:val="en-GB"/>
        </w:rPr>
        <w:t>p. 236-253.</w:t>
      </w:r>
    </w:p>
    <w:p w14:paraId="344E0C26" w14:textId="77777777" w:rsidR="008D35A9" w:rsidRPr="00121A6A" w:rsidRDefault="008D35A9" w:rsidP="00030EF2">
      <w:pPr>
        <w:spacing w:after="0"/>
        <w:jc w:val="both"/>
        <w:rPr>
          <w:sz w:val="24"/>
          <w:szCs w:val="24"/>
          <w:lang w:val="en-US"/>
        </w:rPr>
      </w:pPr>
    </w:p>
    <w:p w14:paraId="2E4FD938" w14:textId="04550B9D" w:rsidR="008D35A9" w:rsidRPr="00121A6A" w:rsidRDefault="008D35A9" w:rsidP="00030EF2">
      <w:pPr>
        <w:spacing w:after="0"/>
        <w:jc w:val="both"/>
        <w:rPr>
          <w:b/>
          <w:bCs/>
          <w:sz w:val="24"/>
          <w:szCs w:val="24"/>
          <w:lang w:val="en-US"/>
        </w:rPr>
      </w:pPr>
      <w:r w:rsidRPr="00121A6A">
        <w:rPr>
          <w:b/>
          <w:bCs/>
          <w:sz w:val="24"/>
          <w:szCs w:val="24"/>
          <w:lang w:val="en-US"/>
        </w:rPr>
        <w:t>Jacobs</w:t>
      </w:r>
      <w:r w:rsidR="00420C4C" w:rsidRPr="00121A6A">
        <w:rPr>
          <w:b/>
          <w:bCs/>
          <w:sz w:val="24"/>
          <w:szCs w:val="24"/>
          <w:lang w:val="en-US"/>
        </w:rPr>
        <w:t xml:space="preserve"> </w:t>
      </w:r>
      <w:r w:rsidRPr="00121A6A">
        <w:rPr>
          <w:b/>
          <w:bCs/>
          <w:sz w:val="24"/>
          <w:szCs w:val="24"/>
          <w:lang w:val="en-US"/>
        </w:rPr>
        <w:t>2023</w:t>
      </w:r>
    </w:p>
    <w:p w14:paraId="545725BE" w14:textId="4D56613B" w:rsidR="008D35A9" w:rsidRPr="00121A6A" w:rsidRDefault="008D35A9" w:rsidP="00030EF2">
      <w:pPr>
        <w:spacing w:after="0"/>
        <w:jc w:val="both"/>
        <w:rPr>
          <w:sz w:val="24"/>
          <w:szCs w:val="24"/>
          <w:lang w:val="en-US"/>
        </w:rPr>
      </w:pPr>
      <w:r w:rsidRPr="00121A6A">
        <w:rPr>
          <w:sz w:val="24"/>
          <w:szCs w:val="24"/>
          <w:lang w:val="en-US"/>
        </w:rPr>
        <w:t xml:space="preserve">A.T.J.M. Jacobs, </w:t>
      </w:r>
      <w:proofErr w:type="spellStart"/>
      <w:r w:rsidRPr="00121A6A">
        <w:rPr>
          <w:i/>
          <w:iCs/>
          <w:sz w:val="24"/>
          <w:szCs w:val="24"/>
          <w:lang w:val="en-US"/>
        </w:rPr>
        <w:t>Collectief</w:t>
      </w:r>
      <w:proofErr w:type="spellEnd"/>
      <w:r w:rsidRPr="00121A6A">
        <w:rPr>
          <w:i/>
          <w:iCs/>
          <w:sz w:val="24"/>
          <w:szCs w:val="24"/>
          <w:lang w:val="en-US"/>
        </w:rPr>
        <w:t xml:space="preserve"> </w:t>
      </w:r>
      <w:proofErr w:type="spellStart"/>
      <w:r w:rsidRPr="00121A6A">
        <w:rPr>
          <w:i/>
          <w:iCs/>
          <w:sz w:val="24"/>
          <w:szCs w:val="24"/>
          <w:lang w:val="en-US"/>
        </w:rPr>
        <w:t>Arbeidsrecht</w:t>
      </w:r>
      <w:proofErr w:type="spellEnd"/>
      <w:r w:rsidRPr="00121A6A">
        <w:rPr>
          <w:i/>
          <w:iCs/>
          <w:sz w:val="24"/>
          <w:szCs w:val="24"/>
          <w:lang w:val="en-US"/>
        </w:rPr>
        <w:t xml:space="preserve"> (</w:t>
      </w:r>
      <w:proofErr w:type="spellStart"/>
      <w:r w:rsidRPr="00121A6A">
        <w:rPr>
          <w:i/>
          <w:iCs/>
          <w:sz w:val="24"/>
          <w:szCs w:val="24"/>
          <w:lang w:val="en-US"/>
        </w:rPr>
        <w:t>Monografieën</w:t>
      </w:r>
      <w:proofErr w:type="spellEnd"/>
      <w:r w:rsidRPr="00121A6A">
        <w:rPr>
          <w:i/>
          <w:iCs/>
          <w:sz w:val="24"/>
          <w:szCs w:val="24"/>
          <w:lang w:val="en-US"/>
        </w:rPr>
        <w:t xml:space="preserve"> </w:t>
      </w:r>
      <w:proofErr w:type="spellStart"/>
      <w:r w:rsidRPr="00121A6A">
        <w:rPr>
          <w:i/>
          <w:iCs/>
          <w:sz w:val="24"/>
          <w:szCs w:val="24"/>
          <w:lang w:val="en-US"/>
        </w:rPr>
        <w:t>Sociaal</w:t>
      </w:r>
      <w:proofErr w:type="spellEnd"/>
      <w:r w:rsidRPr="00121A6A">
        <w:rPr>
          <w:i/>
          <w:iCs/>
          <w:sz w:val="24"/>
          <w:szCs w:val="24"/>
          <w:lang w:val="en-US"/>
        </w:rPr>
        <w:t xml:space="preserve"> Recht nr. 28)</w:t>
      </w:r>
      <w:r w:rsidRPr="00121A6A">
        <w:rPr>
          <w:sz w:val="24"/>
          <w:szCs w:val="24"/>
          <w:lang w:val="en-US"/>
        </w:rPr>
        <w:t>, Deventer: Wolters Kluwer 2023.</w:t>
      </w:r>
    </w:p>
    <w:p w14:paraId="0673B9FE" w14:textId="77777777" w:rsidR="00B525F4" w:rsidRPr="00121A6A" w:rsidRDefault="00B525F4" w:rsidP="00030EF2">
      <w:pPr>
        <w:spacing w:after="0"/>
        <w:jc w:val="both"/>
        <w:rPr>
          <w:sz w:val="24"/>
          <w:szCs w:val="24"/>
          <w:lang w:val="en-US"/>
        </w:rPr>
      </w:pPr>
    </w:p>
    <w:p w14:paraId="7F89D82D" w14:textId="00619474" w:rsidR="00B525F4" w:rsidRPr="00A872BE" w:rsidRDefault="00B525F4" w:rsidP="00030EF2">
      <w:pPr>
        <w:spacing w:after="0"/>
        <w:jc w:val="both"/>
        <w:rPr>
          <w:b/>
          <w:bCs/>
          <w:sz w:val="24"/>
          <w:szCs w:val="24"/>
        </w:rPr>
      </w:pPr>
      <w:r w:rsidRPr="00A872BE">
        <w:rPr>
          <w:b/>
          <w:bCs/>
          <w:sz w:val="24"/>
          <w:szCs w:val="24"/>
        </w:rPr>
        <w:t xml:space="preserve">Jaspers, </w:t>
      </w:r>
      <w:r w:rsidRPr="00A872BE">
        <w:rPr>
          <w:b/>
          <w:bCs/>
          <w:i/>
          <w:iCs/>
          <w:sz w:val="24"/>
          <w:szCs w:val="24"/>
        </w:rPr>
        <w:t>TRA</w:t>
      </w:r>
      <w:r w:rsidR="00287799" w:rsidRPr="00A872BE">
        <w:rPr>
          <w:b/>
          <w:bCs/>
          <w:i/>
          <w:iCs/>
          <w:sz w:val="24"/>
          <w:szCs w:val="24"/>
        </w:rPr>
        <w:t xml:space="preserve"> (archief SR)</w:t>
      </w:r>
      <w:r w:rsidRPr="00A872BE">
        <w:rPr>
          <w:b/>
          <w:bCs/>
          <w:sz w:val="24"/>
          <w:szCs w:val="24"/>
        </w:rPr>
        <w:t xml:space="preserve"> 2008/12</w:t>
      </w:r>
    </w:p>
    <w:p w14:paraId="0AE147BD" w14:textId="5197B261" w:rsidR="00B525F4" w:rsidRPr="00287799" w:rsidRDefault="00B525F4" w:rsidP="00030EF2">
      <w:pPr>
        <w:spacing w:after="0"/>
        <w:jc w:val="both"/>
        <w:rPr>
          <w:sz w:val="24"/>
          <w:szCs w:val="24"/>
        </w:rPr>
      </w:pPr>
      <w:proofErr w:type="spellStart"/>
      <w:r w:rsidRPr="00287799">
        <w:rPr>
          <w:sz w:val="24"/>
          <w:szCs w:val="24"/>
        </w:rPr>
        <w:t>A.Ph.C.M</w:t>
      </w:r>
      <w:proofErr w:type="spellEnd"/>
      <w:r w:rsidRPr="00287799">
        <w:rPr>
          <w:sz w:val="24"/>
          <w:szCs w:val="24"/>
        </w:rPr>
        <w:t xml:space="preserve">. Jaspers, ‘HvJ EG, 11-12-2007, nr. C-438/05: International Transport </w:t>
      </w:r>
      <w:proofErr w:type="spellStart"/>
      <w:r w:rsidRPr="00287799">
        <w:rPr>
          <w:sz w:val="24"/>
          <w:szCs w:val="24"/>
        </w:rPr>
        <w:t>Workers</w:t>
      </w:r>
      <w:proofErr w:type="spellEnd"/>
      <w:r w:rsidRPr="00287799">
        <w:rPr>
          <w:sz w:val="24"/>
          <w:szCs w:val="24"/>
        </w:rPr>
        <w:t xml:space="preserve">/Viking’, </w:t>
      </w:r>
      <w:r w:rsidRPr="00287799">
        <w:rPr>
          <w:i/>
          <w:iCs/>
          <w:sz w:val="24"/>
          <w:szCs w:val="24"/>
        </w:rPr>
        <w:t xml:space="preserve">Tijdschrift Recht en Arbeid (archief </w:t>
      </w:r>
      <w:r w:rsidR="00287799" w:rsidRPr="00287799">
        <w:rPr>
          <w:i/>
          <w:iCs/>
          <w:sz w:val="24"/>
          <w:szCs w:val="24"/>
        </w:rPr>
        <w:t>Nederlands Tijdschrift voor Sociaal Recht</w:t>
      </w:r>
      <w:r w:rsidRPr="00287799">
        <w:rPr>
          <w:i/>
          <w:iCs/>
          <w:sz w:val="24"/>
          <w:szCs w:val="24"/>
        </w:rPr>
        <w:t>)</w:t>
      </w:r>
      <w:r w:rsidRPr="00287799">
        <w:rPr>
          <w:sz w:val="24"/>
          <w:szCs w:val="24"/>
        </w:rPr>
        <w:t xml:space="preserve"> 2008/12, </w:t>
      </w:r>
      <w:r w:rsidR="00C779CE" w:rsidRPr="00287799">
        <w:rPr>
          <w:sz w:val="24"/>
          <w:szCs w:val="24"/>
        </w:rPr>
        <w:t>a</w:t>
      </w:r>
      <w:r w:rsidRPr="00287799">
        <w:rPr>
          <w:sz w:val="24"/>
          <w:szCs w:val="24"/>
        </w:rPr>
        <w:t>fl. 2.</w:t>
      </w:r>
    </w:p>
    <w:p w14:paraId="398A03A7" w14:textId="77777777" w:rsidR="00956E5D" w:rsidRPr="00287799" w:rsidRDefault="00956E5D" w:rsidP="00030EF2">
      <w:pPr>
        <w:spacing w:after="0"/>
        <w:jc w:val="both"/>
        <w:rPr>
          <w:sz w:val="24"/>
          <w:szCs w:val="24"/>
        </w:rPr>
      </w:pPr>
    </w:p>
    <w:p w14:paraId="658809F7" w14:textId="26B4E2ED" w:rsidR="00956E5D" w:rsidRPr="00121A6A" w:rsidRDefault="00956E5D" w:rsidP="00030EF2">
      <w:pPr>
        <w:spacing w:after="0"/>
        <w:jc w:val="both"/>
        <w:rPr>
          <w:b/>
          <w:bCs/>
          <w:sz w:val="24"/>
          <w:szCs w:val="24"/>
          <w:lang w:val="en-US"/>
        </w:rPr>
      </w:pPr>
      <w:proofErr w:type="spellStart"/>
      <w:r w:rsidRPr="00121A6A">
        <w:rPr>
          <w:b/>
          <w:bCs/>
          <w:sz w:val="24"/>
          <w:szCs w:val="24"/>
          <w:lang w:val="en-US"/>
        </w:rPr>
        <w:t>Kakouris</w:t>
      </w:r>
      <w:proofErr w:type="spellEnd"/>
      <w:r w:rsidRPr="00121A6A">
        <w:rPr>
          <w:b/>
          <w:bCs/>
          <w:sz w:val="24"/>
          <w:szCs w:val="24"/>
          <w:lang w:val="en-US"/>
        </w:rPr>
        <w:t xml:space="preserve">, </w:t>
      </w:r>
      <w:r w:rsidRPr="00121A6A">
        <w:rPr>
          <w:b/>
          <w:bCs/>
          <w:i/>
          <w:iCs/>
          <w:sz w:val="24"/>
          <w:szCs w:val="24"/>
          <w:lang w:val="en-US"/>
        </w:rPr>
        <w:t xml:space="preserve">CMLR </w:t>
      </w:r>
      <w:r w:rsidRPr="00121A6A">
        <w:rPr>
          <w:b/>
          <w:bCs/>
          <w:sz w:val="24"/>
          <w:szCs w:val="24"/>
          <w:lang w:val="en-US"/>
        </w:rPr>
        <w:t>1997</w:t>
      </w:r>
    </w:p>
    <w:p w14:paraId="3B6164AE" w14:textId="79BFB208" w:rsidR="00956E5D" w:rsidRPr="00121A6A" w:rsidRDefault="00956E5D" w:rsidP="00030EF2">
      <w:pPr>
        <w:spacing w:after="0"/>
        <w:jc w:val="both"/>
        <w:rPr>
          <w:sz w:val="24"/>
          <w:szCs w:val="24"/>
          <w:lang w:val="en-GB"/>
        </w:rPr>
      </w:pPr>
      <w:r w:rsidRPr="00121A6A">
        <w:rPr>
          <w:sz w:val="24"/>
          <w:szCs w:val="24"/>
          <w:lang w:val="en-GB"/>
        </w:rPr>
        <w:t xml:space="preserve">C.N. </w:t>
      </w:r>
      <w:proofErr w:type="spellStart"/>
      <w:r w:rsidRPr="00121A6A">
        <w:rPr>
          <w:sz w:val="24"/>
          <w:szCs w:val="24"/>
          <w:lang w:val="en-GB"/>
        </w:rPr>
        <w:t>Kakouris</w:t>
      </w:r>
      <w:proofErr w:type="spellEnd"/>
      <w:r w:rsidRPr="00121A6A">
        <w:rPr>
          <w:sz w:val="24"/>
          <w:szCs w:val="24"/>
          <w:lang w:val="en-GB"/>
        </w:rPr>
        <w:t xml:space="preserve">, ‘Do the Member States </w:t>
      </w:r>
      <w:r w:rsidR="004B1236" w:rsidRPr="00121A6A">
        <w:rPr>
          <w:sz w:val="24"/>
          <w:szCs w:val="24"/>
          <w:lang w:val="en-GB"/>
        </w:rPr>
        <w:t>P</w:t>
      </w:r>
      <w:r w:rsidRPr="00121A6A">
        <w:rPr>
          <w:sz w:val="24"/>
          <w:szCs w:val="24"/>
          <w:lang w:val="en-GB"/>
        </w:rPr>
        <w:t xml:space="preserve">ossess </w:t>
      </w:r>
      <w:r w:rsidR="004B1236" w:rsidRPr="00121A6A">
        <w:rPr>
          <w:sz w:val="24"/>
          <w:szCs w:val="24"/>
          <w:lang w:val="en-GB"/>
        </w:rPr>
        <w:t>J</w:t>
      </w:r>
      <w:r w:rsidRPr="00121A6A">
        <w:rPr>
          <w:sz w:val="24"/>
          <w:szCs w:val="24"/>
          <w:lang w:val="en-GB"/>
        </w:rPr>
        <w:t xml:space="preserve">udicial </w:t>
      </w:r>
      <w:r w:rsidR="004B1236" w:rsidRPr="00121A6A">
        <w:rPr>
          <w:sz w:val="24"/>
          <w:szCs w:val="24"/>
          <w:lang w:val="en-GB"/>
        </w:rPr>
        <w:t>P</w:t>
      </w:r>
      <w:r w:rsidRPr="00121A6A">
        <w:rPr>
          <w:sz w:val="24"/>
          <w:szCs w:val="24"/>
          <w:lang w:val="en-GB"/>
        </w:rPr>
        <w:t>rocedural “</w:t>
      </w:r>
      <w:r w:rsidR="004B1236" w:rsidRPr="00121A6A">
        <w:rPr>
          <w:sz w:val="24"/>
          <w:szCs w:val="24"/>
          <w:lang w:val="en-GB"/>
        </w:rPr>
        <w:t>A</w:t>
      </w:r>
      <w:r w:rsidRPr="00121A6A">
        <w:rPr>
          <w:sz w:val="24"/>
          <w:szCs w:val="24"/>
          <w:lang w:val="en-GB"/>
        </w:rPr>
        <w:t xml:space="preserve">utonomy”?’, </w:t>
      </w:r>
      <w:r w:rsidRPr="00121A6A">
        <w:rPr>
          <w:i/>
          <w:iCs/>
          <w:sz w:val="24"/>
          <w:szCs w:val="24"/>
          <w:lang w:val="en-GB"/>
        </w:rPr>
        <w:t>Common Market Law Review</w:t>
      </w:r>
      <w:r w:rsidRPr="00121A6A">
        <w:rPr>
          <w:sz w:val="24"/>
          <w:szCs w:val="24"/>
          <w:lang w:val="en-GB"/>
        </w:rPr>
        <w:t xml:space="preserve"> 1997</w:t>
      </w:r>
      <w:r w:rsidR="00C779CE" w:rsidRPr="00121A6A">
        <w:rPr>
          <w:sz w:val="24"/>
          <w:szCs w:val="24"/>
          <w:lang w:val="en-GB"/>
        </w:rPr>
        <w:t xml:space="preserve">, </w:t>
      </w:r>
      <w:proofErr w:type="spellStart"/>
      <w:r w:rsidR="00C779CE" w:rsidRPr="00121A6A">
        <w:rPr>
          <w:sz w:val="24"/>
          <w:szCs w:val="24"/>
          <w:lang w:val="en-GB"/>
        </w:rPr>
        <w:t>afl</w:t>
      </w:r>
      <w:proofErr w:type="spellEnd"/>
      <w:r w:rsidR="00C779CE" w:rsidRPr="00121A6A">
        <w:rPr>
          <w:sz w:val="24"/>
          <w:szCs w:val="24"/>
          <w:lang w:val="en-GB"/>
        </w:rPr>
        <w:t xml:space="preserve">. </w:t>
      </w:r>
      <w:r w:rsidR="00662C28" w:rsidRPr="00121A6A">
        <w:rPr>
          <w:sz w:val="24"/>
          <w:szCs w:val="24"/>
          <w:lang w:val="en-GB"/>
        </w:rPr>
        <w:t>6</w:t>
      </w:r>
      <w:r w:rsidRPr="00121A6A">
        <w:rPr>
          <w:sz w:val="24"/>
          <w:szCs w:val="24"/>
          <w:lang w:val="en-GB"/>
        </w:rPr>
        <w:t>, p. 1389-1412.</w:t>
      </w:r>
    </w:p>
    <w:p w14:paraId="276CB0B4" w14:textId="77777777" w:rsidR="00A81717" w:rsidRPr="00121A6A" w:rsidRDefault="00A81717" w:rsidP="00030EF2">
      <w:pPr>
        <w:spacing w:after="0"/>
        <w:jc w:val="both"/>
        <w:rPr>
          <w:sz w:val="24"/>
          <w:szCs w:val="24"/>
          <w:lang w:val="en-GB"/>
        </w:rPr>
      </w:pPr>
    </w:p>
    <w:p w14:paraId="60AD4811" w14:textId="0A9271F4" w:rsidR="00A81717" w:rsidRPr="00121A6A" w:rsidRDefault="00A81717" w:rsidP="00030EF2">
      <w:pPr>
        <w:spacing w:after="0"/>
        <w:jc w:val="both"/>
        <w:rPr>
          <w:b/>
          <w:bCs/>
          <w:sz w:val="24"/>
          <w:szCs w:val="24"/>
          <w:lang w:val="en-US"/>
        </w:rPr>
      </w:pPr>
      <w:r w:rsidRPr="00121A6A">
        <w:rPr>
          <w:b/>
          <w:bCs/>
          <w:sz w:val="24"/>
          <w:szCs w:val="24"/>
          <w:lang w:val="en-US"/>
        </w:rPr>
        <w:t xml:space="preserve">Krause, </w:t>
      </w:r>
      <w:r w:rsidRPr="00121A6A">
        <w:rPr>
          <w:b/>
          <w:bCs/>
          <w:i/>
          <w:iCs/>
          <w:sz w:val="24"/>
          <w:szCs w:val="24"/>
          <w:lang w:val="en-US"/>
        </w:rPr>
        <w:t>CMLR</w:t>
      </w:r>
      <w:r w:rsidRPr="00121A6A">
        <w:rPr>
          <w:b/>
          <w:bCs/>
          <w:sz w:val="24"/>
          <w:szCs w:val="24"/>
          <w:lang w:val="en-US"/>
        </w:rPr>
        <w:t xml:space="preserve"> 2021</w:t>
      </w:r>
    </w:p>
    <w:p w14:paraId="53E6BCE0" w14:textId="33558800" w:rsidR="002C168A" w:rsidRPr="00217971" w:rsidRDefault="00A81717" w:rsidP="00030EF2">
      <w:pPr>
        <w:spacing w:after="0"/>
        <w:jc w:val="both"/>
        <w:rPr>
          <w:sz w:val="24"/>
          <w:szCs w:val="24"/>
          <w:lang w:val="en-US"/>
        </w:rPr>
      </w:pPr>
      <w:r w:rsidRPr="00121A6A">
        <w:rPr>
          <w:sz w:val="24"/>
          <w:szCs w:val="24"/>
          <w:lang w:val="en-US"/>
        </w:rPr>
        <w:t xml:space="preserve">R. Krause, ‘Horizontal Effect of the EU Charter of Fundamental Rights: </w:t>
      </w:r>
      <w:r w:rsidRPr="00121A6A">
        <w:rPr>
          <w:i/>
          <w:iCs/>
          <w:sz w:val="24"/>
          <w:szCs w:val="24"/>
          <w:lang w:val="en-US"/>
        </w:rPr>
        <w:t xml:space="preserve">Bauer and </w:t>
      </w:r>
      <w:proofErr w:type="spellStart"/>
      <w:r w:rsidRPr="00121A6A">
        <w:rPr>
          <w:i/>
          <w:iCs/>
          <w:sz w:val="24"/>
          <w:szCs w:val="24"/>
          <w:lang w:val="en-US"/>
        </w:rPr>
        <w:t>Willmeroth</w:t>
      </w:r>
      <w:proofErr w:type="spellEnd"/>
      <w:r w:rsidR="004B1236" w:rsidRPr="00121A6A">
        <w:rPr>
          <w:i/>
          <w:iCs/>
          <w:sz w:val="24"/>
          <w:szCs w:val="24"/>
          <w:lang w:val="en-US"/>
        </w:rPr>
        <w:t>, MPG</w:t>
      </w:r>
      <w:r w:rsidR="004B1236" w:rsidRPr="00121A6A">
        <w:rPr>
          <w:sz w:val="24"/>
          <w:szCs w:val="24"/>
          <w:lang w:val="en-US"/>
        </w:rPr>
        <w:t>’</w:t>
      </w:r>
      <w:r w:rsidRPr="00121A6A">
        <w:rPr>
          <w:sz w:val="24"/>
          <w:szCs w:val="24"/>
          <w:lang w:val="en-US"/>
        </w:rPr>
        <w:t xml:space="preserve">, </w:t>
      </w:r>
      <w:r w:rsidRPr="00121A6A">
        <w:rPr>
          <w:i/>
          <w:iCs/>
          <w:sz w:val="24"/>
          <w:szCs w:val="24"/>
          <w:lang w:val="en-US"/>
        </w:rPr>
        <w:t>Common Market Law Review</w:t>
      </w:r>
      <w:r w:rsidRPr="00121A6A">
        <w:rPr>
          <w:sz w:val="24"/>
          <w:szCs w:val="24"/>
          <w:lang w:val="en-US"/>
        </w:rPr>
        <w:t xml:space="preserve"> 2021</w:t>
      </w:r>
      <w:r w:rsidR="00C779CE" w:rsidRPr="00121A6A">
        <w:rPr>
          <w:sz w:val="24"/>
          <w:szCs w:val="24"/>
          <w:lang w:val="en-US"/>
        </w:rPr>
        <w:t xml:space="preserve">, </w:t>
      </w:r>
      <w:proofErr w:type="spellStart"/>
      <w:r w:rsidR="00C779CE" w:rsidRPr="00121A6A">
        <w:rPr>
          <w:sz w:val="24"/>
          <w:szCs w:val="24"/>
          <w:lang w:val="en-US"/>
        </w:rPr>
        <w:t>afl</w:t>
      </w:r>
      <w:proofErr w:type="spellEnd"/>
      <w:r w:rsidR="00C779CE" w:rsidRPr="00121A6A">
        <w:rPr>
          <w:sz w:val="24"/>
          <w:szCs w:val="24"/>
          <w:lang w:val="en-US"/>
        </w:rPr>
        <w:t xml:space="preserve">. </w:t>
      </w:r>
      <w:r w:rsidRPr="00121A6A">
        <w:rPr>
          <w:sz w:val="24"/>
          <w:szCs w:val="24"/>
          <w:lang w:val="en-US"/>
        </w:rPr>
        <w:t>4, p. 1173-</w:t>
      </w:r>
      <w:r w:rsidR="00604C68" w:rsidRPr="00121A6A">
        <w:rPr>
          <w:sz w:val="24"/>
          <w:szCs w:val="24"/>
          <w:lang w:val="en-US"/>
        </w:rPr>
        <w:t>1206.</w:t>
      </w:r>
    </w:p>
    <w:p w14:paraId="4003321A" w14:textId="77777777" w:rsidR="00CD76EA" w:rsidRDefault="00CD76EA" w:rsidP="00030EF2">
      <w:pPr>
        <w:spacing w:after="0"/>
        <w:jc w:val="both"/>
        <w:rPr>
          <w:b/>
          <w:bCs/>
          <w:sz w:val="24"/>
          <w:szCs w:val="24"/>
          <w:lang w:val="en-US"/>
        </w:rPr>
      </w:pPr>
    </w:p>
    <w:p w14:paraId="49BA4983" w14:textId="5FB1B896" w:rsidR="00355F03" w:rsidRPr="00121A6A" w:rsidRDefault="00355F03" w:rsidP="00030EF2">
      <w:pPr>
        <w:spacing w:after="0"/>
        <w:jc w:val="both"/>
        <w:rPr>
          <w:b/>
          <w:bCs/>
          <w:sz w:val="24"/>
          <w:szCs w:val="24"/>
          <w:lang w:val="en-US"/>
        </w:rPr>
      </w:pPr>
      <w:proofErr w:type="spellStart"/>
      <w:r w:rsidRPr="00121A6A">
        <w:rPr>
          <w:b/>
          <w:bCs/>
          <w:sz w:val="24"/>
          <w:szCs w:val="24"/>
          <w:lang w:val="en-US"/>
        </w:rPr>
        <w:t>Krommendijk</w:t>
      </w:r>
      <w:proofErr w:type="spellEnd"/>
      <w:r w:rsidRPr="00121A6A">
        <w:rPr>
          <w:b/>
          <w:bCs/>
          <w:sz w:val="24"/>
          <w:szCs w:val="24"/>
          <w:lang w:val="en-US"/>
        </w:rPr>
        <w:t xml:space="preserve">, </w:t>
      </w:r>
      <w:r w:rsidRPr="00121A6A">
        <w:rPr>
          <w:b/>
          <w:bCs/>
          <w:i/>
          <w:iCs/>
          <w:sz w:val="24"/>
          <w:szCs w:val="24"/>
          <w:lang w:val="en-US"/>
        </w:rPr>
        <w:t>MFLWP</w:t>
      </w:r>
      <w:r w:rsidRPr="00121A6A">
        <w:rPr>
          <w:b/>
          <w:bCs/>
          <w:sz w:val="24"/>
          <w:szCs w:val="24"/>
          <w:lang w:val="en-US"/>
        </w:rPr>
        <w:t xml:space="preserve"> 2015/6</w:t>
      </w:r>
    </w:p>
    <w:p w14:paraId="78D3B15E" w14:textId="0C6547D4" w:rsidR="00355F03" w:rsidRPr="00121A6A" w:rsidRDefault="00355F03" w:rsidP="00030EF2">
      <w:pPr>
        <w:spacing w:after="0"/>
        <w:jc w:val="both"/>
        <w:rPr>
          <w:sz w:val="24"/>
          <w:szCs w:val="24"/>
          <w:lang w:val="en-US"/>
        </w:rPr>
      </w:pPr>
      <w:r w:rsidRPr="00121A6A">
        <w:rPr>
          <w:sz w:val="24"/>
          <w:szCs w:val="24"/>
          <w:lang w:val="en-US"/>
        </w:rPr>
        <w:t xml:space="preserve">J. </w:t>
      </w:r>
      <w:proofErr w:type="spellStart"/>
      <w:r w:rsidRPr="00121A6A">
        <w:rPr>
          <w:sz w:val="24"/>
          <w:szCs w:val="24"/>
          <w:lang w:val="en-US"/>
        </w:rPr>
        <w:t>Krommendijk</w:t>
      </w:r>
      <w:proofErr w:type="spellEnd"/>
      <w:r w:rsidRPr="00121A6A">
        <w:rPr>
          <w:sz w:val="24"/>
          <w:szCs w:val="24"/>
          <w:lang w:val="en-US"/>
        </w:rPr>
        <w:t xml:space="preserve">, ‘The use of ECTHR Case law by the CJEU after Lisbon: The view of the Luxembourg insiders’, </w:t>
      </w:r>
      <w:r w:rsidRPr="00121A6A">
        <w:rPr>
          <w:i/>
          <w:iCs/>
          <w:sz w:val="24"/>
          <w:szCs w:val="24"/>
          <w:lang w:val="en-US"/>
        </w:rPr>
        <w:t>Maastricht Faculty of Law Working Papers</w:t>
      </w:r>
      <w:r w:rsidRPr="00121A6A">
        <w:rPr>
          <w:sz w:val="24"/>
          <w:szCs w:val="24"/>
          <w:lang w:val="en-US"/>
        </w:rPr>
        <w:t xml:space="preserve"> 2015/6, p. 2-38.</w:t>
      </w:r>
    </w:p>
    <w:p w14:paraId="0A9513F7" w14:textId="77777777" w:rsidR="00604216" w:rsidRPr="00121A6A" w:rsidRDefault="00604216" w:rsidP="00030EF2">
      <w:pPr>
        <w:spacing w:after="0"/>
        <w:jc w:val="both"/>
        <w:rPr>
          <w:sz w:val="24"/>
          <w:szCs w:val="24"/>
          <w:lang w:val="en-US"/>
        </w:rPr>
      </w:pPr>
    </w:p>
    <w:p w14:paraId="407E5F38" w14:textId="77777777" w:rsidR="00217971" w:rsidRPr="00A872BE" w:rsidRDefault="00217971" w:rsidP="00030EF2">
      <w:pPr>
        <w:spacing w:after="0"/>
        <w:jc w:val="both"/>
        <w:rPr>
          <w:b/>
          <w:bCs/>
          <w:sz w:val="24"/>
          <w:szCs w:val="24"/>
          <w:lang w:val="en-US"/>
        </w:rPr>
      </w:pPr>
    </w:p>
    <w:p w14:paraId="681F0BE6" w14:textId="734F33AD" w:rsidR="00604216" w:rsidRPr="00121A6A" w:rsidRDefault="00604216" w:rsidP="00030EF2">
      <w:pPr>
        <w:spacing w:after="0"/>
        <w:jc w:val="both"/>
        <w:rPr>
          <w:b/>
          <w:bCs/>
          <w:sz w:val="24"/>
          <w:szCs w:val="24"/>
        </w:rPr>
      </w:pPr>
      <w:r w:rsidRPr="00121A6A">
        <w:rPr>
          <w:b/>
          <w:bCs/>
          <w:sz w:val="24"/>
          <w:szCs w:val="24"/>
        </w:rPr>
        <w:lastRenderedPageBreak/>
        <w:t xml:space="preserve">Krommendijk, </w:t>
      </w:r>
      <w:r w:rsidRPr="00121A6A">
        <w:rPr>
          <w:b/>
          <w:bCs/>
          <w:i/>
          <w:iCs/>
          <w:sz w:val="24"/>
          <w:szCs w:val="24"/>
        </w:rPr>
        <w:t>NJB</w:t>
      </w:r>
      <w:r w:rsidRPr="00121A6A">
        <w:rPr>
          <w:b/>
          <w:bCs/>
          <w:sz w:val="24"/>
          <w:szCs w:val="24"/>
        </w:rPr>
        <w:t xml:space="preserve"> 2023/</w:t>
      </w:r>
      <w:r w:rsidR="004B1236" w:rsidRPr="00121A6A">
        <w:rPr>
          <w:b/>
          <w:bCs/>
          <w:sz w:val="24"/>
          <w:szCs w:val="24"/>
        </w:rPr>
        <w:t>2123</w:t>
      </w:r>
    </w:p>
    <w:p w14:paraId="13F00CBB" w14:textId="2ECEC9BA" w:rsidR="00604216" w:rsidRPr="00121A6A" w:rsidRDefault="00604216" w:rsidP="00030EF2">
      <w:pPr>
        <w:spacing w:after="0"/>
        <w:jc w:val="both"/>
        <w:rPr>
          <w:sz w:val="24"/>
          <w:szCs w:val="24"/>
        </w:rPr>
      </w:pPr>
      <w:r w:rsidRPr="00121A6A">
        <w:rPr>
          <w:sz w:val="24"/>
          <w:szCs w:val="24"/>
        </w:rPr>
        <w:t xml:space="preserve">J. Krommendijk, ‘Straatsburg als hoeder van het EU-recht’, </w:t>
      </w:r>
      <w:r w:rsidRPr="00121A6A">
        <w:rPr>
          <w:i/>
          <w:iCs/>
          <w:sz w:val="24"/>
          <w:szCs w:val="24"/>
        </w:rPr>
        <w:t xml:space="preserve">Nederlands Juristenblad </w:t>
      </w:r>
      <w:r w:rsidRPr="00121A6A">
        <w:rPr>
          <w:sz w:val="24"/>
          <w:szCs w:val="24"/>
        </w:rPr>
        <w:t>2023/</w:t>
      </w:r>
      <w:r w:rsidR="004B1236" w:rsidRPr="00121A6A">
        <w:rPr>
          <w:sz w:val="24"/>
          <w:szCs w:val="24"/>
        </w:rPr>
        <w:t xml:space="preserve">2123, afl. </w:t>
      </w:r>
      <w:r w:rsidRPr="00121A6A">
        <w:rPr>
          <w:sz w:val="24"/>
          <w:szCs w:val="24"/>
        </w:rPr>
        <w:t>29, p. 2462-</w:t>
      </w:r>
      <w:r w:rsidR="00CC7EB6" w:rsidRPr="00121A6A">
        <w:rPr>
          <w:sz w:val="24"/>
          <w:szCs w:val="24"/>
        </w:rPr>
        <w:t>2471.</w:t>
      </w:r>
    </w:p>
    <w:p w14:paraId="7A780EE2" w14:textId="77777777" w:rsidR="00E75BB2" w:rsidRPr="00121A6A" w:rsidRDefault="00E75BB2" w:rsidP="00030EF2">
      <w:pPr>
        <w:spacing w:after="0"/>
        <w:jc w:val="both"/>
        <w:rPr>
          <w:sz w:val="24"/>
          <w:szCs w:val="24"/>
        </w:rPr>
      </w:pPr>
    </w:p>
    <w:p w14:paraId="2B841354" w14:textId="4B229C99" w:rsidR="00E75BB2" w:rsidRPr="00121A6A" w:rsidRDefault="00E75BB2" w:rsidP="00030EF2">
      <w:pPr>
        <w:spacing w:after="0"/>
        <w:jc w:val="both"/>
        <w:rPr>
          <w:b/>
          <w:bCs/>
          <w:sz w:val="24"/>
          <w:szCs w:val="24"/>
          <w:lang w:val="en-US"/>
        </w:rPr>
      </w:pPr>
      <w:r w:rsidRPr="00121A6A">
        <w:rPr>
          <w:b/>
          <w:bCs/>
          <w:sz w:val="24"/>
          <w:szCs w:val="24"/>
          <w:lang w:val="en-US"/>
        </w:rPr>
        <w:t>Kullmann 201</w:t>
      </w:r>
      <w:r w:rsidR="002A2826" w:rsidRPr="00121A6A">
        <w:rPr>
          <w:b/>
          <w:bCs/>
          <w:sz w:val="24"/>
          <w:szCs w:val="24"/>
          <w:lang w:val="en-US"/>
        </w:rPr>
        <w:t>5</w:t>
      </w:r>
    </w:p>
    <w:p w14:paraId="50BF96BA" w14:textId="6A286991" w:rsidR="00E75BB2" w:rsidRPr="00121A6A" w:rsidRDefault="00E75BB2" w:rsidP="00030EF2">
      <w:pPr>
        <w:spacing w:after="0"/>
        <w:jc w:val="both"/>
        <w:rPr>
          <w:sz w:val="24"/>
          <w:szCs w:val="24"/>
        </w:rPr>
      </w:pPr>
      <w:r w:rsidRPr="00121A6A">
        <w:rPr>
          <w:sz w:val="24"/>
          <w:szCs w:val="24"/>
          <w:lang w:val="en-US"/>
        </w:rPr>
        <w:t xml:space="preserve">M. Kullmann, </w:t>
      </w:r>
      <w:r w:rsidR="002A2826" w:rsidRPr="00121A6A">
        <w:rPr>
          <w:i/>
          <w:iCs/>
          <w:sz w:val="24"/>
          <w:szCs w:val="24"/>
          <w:lang w:val="en-US"/>
        </w:rPr>
        <w:t xml:space="preserve">Enforcement of </w:t>
      </w:r>
      <w:proofErr w:type="spellStart"/>
      <w:r w:rsidR="002A2826" w:rsidRPr="00121A6A">
        <w:rPr>
          <w:i/>
          <w:iCs/>
          <w:sz w:val="24"/>
          <w:szCs w:val="24"/>
          <w:lang w:val="en-US"/>
        </w:rPr>
        <w:t>Labour</w:t>
      </w:r>
      <w:proofErr w:type="spellEnd"/>
      <w:r w:rsidR="002A2826" w:rsidRPr="00121A6A">
        <w:rPr>
          <w:i/>
          <w:iCs/>
          <w:sz w:val="24"/>
          <w:szCs w:val="24"/>
          <w:lang w:val="en-US"/>
        </w:rPr>
        <w:t xml:space="preserve"> Law in Cross-border situations. A Legal Study of the EU’s influence on the Dutch, German, and Swedish Enforcement Systems</w:t>
      </w:r>
      <w:r w:rsidR="002A2826" w:rsidRPr="00121A6A">
        <w:rPr>
          <w:sz w:val="24"/>
          <w:szCs w:val="24"/>
          <w:lang w:val="en-US"/>
        </w:rPr>
        <w:t xml:space="preserve"> (diss. </w:t>
      </w:r>
      <w:r w:rsidR="002A2826" w:rsidRPr="00121A6A">
        <w:rPr>
          <w:sz w:val="24"/>
          <w:szCs w:val="24"/>
        </w:rPr>
        <w:t>Nijmegen), Deventer: Wolters Kluwer 2015.</w:t>
      </w:r>
    </w:p>
    <w:p w14:paraId="2E5F1815" w14:textId="77777777" w:rsidR="008E63BE" w:rsidRPr="00121A6A" w:rsidRDefault="008E63BE" w:rsidP="00030EF2">
      <w:pPr>
        <w:spacing w:after="0"/>
        <w:jc w:val="both"/>
        <w:rPr>
          <w:b/>
          <w:bCs/>
          <w:sz w:val="24"/>
          <w:szCs w:val="24"/>
        </w:rPr>
      </w:pPr>
    </w:p>
    <w:p w14:paraId="5C4FEEA7" w14:textId="31449043" w:rsidR="008E63BE" w:rsidRPr="00121A6A" w:rsidRDefault="008E63BE" w:rsidP="00030EF2">
      <w:pPr>
        <w:spacing w:after="0"/>
        <w:jc w:val="both"/>
        <w:rPr>
          <w:b/>
          <w:bCs/>
          <w:sz w:val="24"/>
          <w:szCs w:val="24"/>
        </w:rPr>
      </w:pPr>
      <w:r w:rsidRPr="00121A6A">
        <w:rPr>
          <w:b/>
          <w:bCs/>
          <w:sz w:val="24"/>
          <w:szCs w:val="24"/>
        </w:rPr>
        <w:t xml:space="preserve">Laagland, </w:t>
      </w:r>
      <w:r w:rsidRPr="00121A6A">
        <w:rPr>
          <w:b/>
          <w:bCs/>
          <w:i/>
          <w:iCs/>
          <w:sz w:val="24"/>
          <w:szCs w:val="24"/>
        </w:rPr>
        <w:t>AR Updates</w:t>
      </w:r>
      <w:r w:rsidRPr="00121A6A">
        <w:rPr>
          <w:b/>
          <w:bCs/>
          <w:sz w:val="24"/>
          <w:szCs w:val="24"/>
        </w:rPr>
        <w:t xml:space="preserve"> 2017</w:t>
      </w:r>
    </w:p>
    <w:p w14:paraId="01836951" w14:textId="77777777" w:rsidR="008E63BE" w:rsidRPr="00121A6A" w:rsidRDefault="008E63BE" w:rsidP="00030EF2">
      <w:pPr>
        <w:spacing w:after="0"/>
        <w:jc w:val="both"/>
        <w:rPr>
          <w:sz w:val="24"/>
          <w:szCs w:val="24"/>
        </w:rPr>
      </w:pPr>
      <w:r w:rsidRPr="00121A6A">
        <w:rPr>
          <w:sz w:val="24"/>
          <w:szCs w:val="24"/>
        </w:rPr>
        <w:t xml:space="preserve">F.G. Laagland, ‘Het Nederlandse stakingsrecht en de vrijheid van vestiging: de ultimum-remediumtoets in volle glorie hersteld’, </w:t>
      </w:r>
      <w:r w:rsidRPr="00121A6A">
        <w:rPr>
          <w:i/>
          <w:iCs/>
          <w:sz w:val="24"/>
          <w:szCs w:val="24"/>
        </w:rPr>
        <w:t xml:space="preserve">AR Updates </w:t>
      </w:r>
      <w:r w:rsidRPr="00121A6A">
        <w:rPr>
          <w:sz w:val="24"/>
          <w:szCs w:val="24"/>
        </w:rPr>
        <w:t>25 augustus 2017.</w:t>
      </w:r>
    </w:p>
    <w:p w14:paraId="4199FB24" w14:textId="77777777" w:rsidR="00B525F4" w:rsidRPr="00121A6A" w:rsidRDefault="00B525F4" w:rsidP="00030EF2">
      <w:pPr>
        <w:spacing w:after="0"/>
        <w:jc w:val="both"/>
        <w:rPr>
          <w:sz w:val="24"/>
          <w:szCs w:val="24"/>
        </w:rPr>
      </w:pPr>
    </w:p>
    <w:p w14:paraId="4DA07419" w14:textId="29CF1BB2" w:rsidR="00B525F4" w:rsidRPr="00121A6A" w:rsidRDefault="00B525F4" w:rsidP="00030EF2">
      <w:pPr>
        <w:spacing w:after="0"/>
        <w:jc w:val="both"/>
        <w:rPr>
          <w:b/>
          <w:bCs/>
          <w:sz w:val="24"/>
          <w:szCs w:val="24"/>
        </w:rPr>
      </w:pPr>
      <w:r w:rsidRPr="00121A6A">
        <w:rPr>
          <w:b/>
          <w:bCs/>
          <w:sz w:val="24"/>
          <w:szCs w:val="24"/>
        </w:rPr>
        <w:t xml:space="preserve">Laagland, </w:t>
      </w:r>
      <w:proofErr w:type="spellStart"/>
      <w:r w:rsidRPr="00121A6A">
        <w:rPr>
          <w:b/>
          <w:bCs/>
          <w:i/>
          <w:iCs/>
          <w:sz w:val="24"/>
          <w:szCs w:val="24"/>
        </w:rPr>
        <w:t>ArA</w:t>
      </w:r>
      <w:proofErr w:type="spellEnd"/>
      <w:r w:rsidRPr="00121A6A">
        <w:rPr>
          <w:b/>
          <w:bCs/>
          <w:sz w:val="24"/>
          <w:szCs w:val="24"/>
        </w:rPr>
        <w:t xml:space="preserve"> 2021</w:t>
      </w:r>
    </w:p>
    <w:p w14:paraId="1D9DE680" w14:textId="13C48B6A" w:rsidR="00B525F4" w:rsidRPr="00121A6A" w:rsidRDefault="00B525F4" w:rsidP="00030EF2">
      <w:pPr>
        <w:spacing w:after="0"/>
        <w:jc w:val="both"/>
        <w:rPr>
          <w:sz w:val="24"/>
          <w:szCs w:val="24"/>
        </w:rPr>
      </w:pPr>
      <w:r w:rsidRPr="00121A6A">
        <w:rPr>
          <w:sz w:val="24"/>
          <w:szCs w:val="24"/>
        </w:rPr>
        <w:t xml:space="preserve">F.G. Laagland, ‘De impact van Laval anno 2021’, </w:t>
      </w:r>
      <w:r w:rsidRPr="00121A6A">
        <w:rPr>
          <w:i/>
          <w:iCs/>
          <w:sz w:val="24"/>
          <w:szCs w:val="24"/>
        </w:rPr>
        <w:t>Arbeidsrechtelijke Annotaties</w:t>
      </w:r>
      <w:r w:rsidRPr="00121A6A">
        <w:rPr>
          <w:sz w:val="24"/>
          <w:szCs w:val="24"/>
        </w:rPr>
        <w:t xml:space="preserve"> 2021</w:t>
      </w:r>
      <w:r w:rsidR="004B1236" w:rsidRPr="00121A6A">
        <w:rPr>
          <w:sz w:val="24"/>
          <w:szCs w:val="24"/>
        </w:rPr>
        <w:t xml:space="preserve">, afl. </w:t>
      </w:r>
      <w:r w:rsidRPr="00121A6A">
        <w:rPr>
          <w:sz w:val="24"/>
          <w:szCs w:val="24"/>
        </w:rPr>
        <w:t>3, p. 52-63.</w:t>
      </w:r>
    </w:p>
    <w:p w14:paraId="24EBA0EE" w14:textId="77777777" w:rsidR="00604216" w:rsidRPr="00121A6A" w:rsidRDefault="00604216" w:rsidP="00030EF2">
      <w:pPr>
        <w:spacing w:after="0"/>
        <w:jc w:val="both"/>
        <w:rPr>
          <w:sz w:val="24"/>
          <w:szCs w:val="24"/>
        </w:rPr>
      </w:pPr>
    </w:p>
    <w:p w14:paraId="7ED32DC6" w14:textId="069005E3" w:rsidR="00604216" w:rsidRPr="00121A6A" w:rsidRDefault="00604216" w:rsidP="00030EF2">
      <w:pPr>
        <w:spacing w:after="0"/>
        <w:jc w:val="both"/>
        <w:rPr>
          <w:b/>
          <w:bCs/>
          <w:sz w:val="24"/>
          <w:szCs w:val="24"/>
          <w:lang w:val="en-US"/>
        </w:rPr>
      </w:pPr>
      <w:r w:rsidRPr="00121A6A">
        <w:rPr>
          <w:b/>
          <w:bCs/>
          <w:sz w:val="24"/>
          <w:szCs w:val="24"/>
          <w:lang w:val="en-US"/>
        </w:rPr>
        <w:t>Lawson 2013</w:t>
      </w:r>
    </w:p>
    <w:p w14:paraId="057ADCE4" w14:textId="54284646" w:rsidR="00604216" w:rsidRPr="00121A6A" w:rsidRDefault="00604216" w:rsidP="00030EF2">
      <w:pPr>
        <w:spacing w:after="0"/>
        <w:jc w:val="both"/>
        <w:rPr>
          <w:sz w:val="24"/>
          <w:szCs w:val="24"/>
          <w:lang w:val="en-US"/>
        </w:rPr>
      </w:pPr>
      <w:r w:rsidRPr="00121A6A">
        <w:rPr>
          <w:sz w:val="24"/>
          <w:szCs w:val="24"/>
          <w:lang w:val="en-US"/>
        </w:rPr>
        <w:t xml:space="preserve">R. Lawson, ‘A Twenty-First-Century Procession of Echternach: The Accession of the EU to the European Convention on Human Rights’, in: F. </w:t>
      </w:r>
      <w:proofErr w:type="spellStart"/>
      <w:r w:rsidRPr="00121A6A">
        <w:rPr>
          <w:sz w:val="24"/>
          <w:szCs w:val="24"/>
          <w:lang w:val="en-US"/>
        </w:rPr>
        <w:t>Dorssemont</w:t>
      </w:r>
      <w:proofErr w:type="spellEnd"/>
      <w:r w:rsidRPr="00121A6A">
        <w:rPr>
          <w:sz w:val="24"/>
          <w:szCs w:val="24"/>
          <w:lang w:val="en-US"/>
        </w:rPr>
        <w:t xml:space="preserve">, K. </w:t>
      </w:r>
      <w:proofErr w:type="spellStart"/>
      <w:r w:rsidRPr="00121A6A">
        <w:rPr>
          <w:sz w:val="24"/>
          <w:szCs w:val="24"/>
          <w:lang w:val="en-US"/>
        </w:rPr>
        <w:t>Lörcher</w:t>
      </w:r>
      <w:proofErr w:type="spellEnd"/>
      <w:r w:rsidRPr="00121A6A">
        <w:rPr>
          <w:sz w:val="24"/>
          <w:szCs w:val="24"/>
          <w:lang w:val="en-US"/>
        </w:rPr>
        <w:t xml:space="preserve"> &amp; I. </w:t>
      </w:r>
      <w:proofErr w:type="spellStart"/>
      <w:r w:rsidRPr="00121A6A">
        <w:rPr>
          <w:sz w:val="24"/>
          <w:szCs w:val="24"/>
          <w:lang w:val="en-US"/>
        </w:rPr>
        <w:t>Schömann</w:t>
      </w:r>
      <w:proofErr w:type="spellEnd"/>
      <w:r w:rsidRPr="00121A6A">
        <w:rPr>
          <w:sz w:val="24"/>
          <w:szCs w:val="24"/>
          <w:lang w:val="en-US"/>
        </w:rPr>
        <w:t xml:space="preserve"> (</w:t>
      </w:r>
      <w:r w:rsidR="00DD65B4">
        <w:rPr>
          <w:sz w:val="24"/>
          <w:szCs w:val="24"/>
          <w:lang w:val="en-US"/>
        </w:rPr>
        <w:t>eds</w:t>
      </w:r>
      <w:r w:rsidRPr="00121A6A">
        <w:rPr>
          <w:sz w:val="24"/>
          <w:szCs w:val="24"/>
          <w:lang w:val="en-US"/>
        </w:rPr>
        <w:t xml:space="preserve">.), </w:t>
      </w:r>
      <w:r w:rsidRPr="00121A6A">
        <w:rPr>
          <w:i/>
          <w:iCs/>
          <w:sz w:val="24"/>
          <w:szCs w:val="24"/>
          <w:lang w:val="en-US"/>
        </w:rPr>
        <w:t>The European Convention on Human Rights and the Employment Relation</w:t>
      </w:r>
      <w:r w:rsidRPr="00121A6A">
        <w:rPr>
          <w:sz w:val="24"/>
          <w:szCs w:val="24"/>
          <w:lang w:val="en-US"/>
        </w:rPr>
        <w:t>, Oxford</w:t>
      </w:r>
      <w:r w:rsidR="00D160AE" w:rsidRPr="00121A6A">
        <w:rPr>
          <w:sz w:val="24"/>
          <w:szCs w:val="24"/>
          <w:lang w:val="en-US"/>
        </w:rPr>
        <w:t xml:space="preserve">, </w:t>
      </w:r>
      <w:r w:rsidR="00DD65B4">
        <w:rPr>
          <w:sz w:val="24"/>
          <w:szCs w:val="24"/>
          <w:lang w:val="en-US"/>
        </w:rPr>
        <w:t>UK</w:t>
      </w:r>
      <w:r w:rsidRPr="00121A6A">
        <w:rPr>
          <w:sz w:val="24"/>
          <w:szCs w:val="24"/>
          <w:lang w:val="en-US"/>
        </w:rPr>
        <w:t>: Hart Publishing 2013, p. 47-59.</w:t>
      </w:r>
    </w:p>
    <w:p w14:paraId="5EEF46C3" w14:textId="77777777" w:rsidR="00B525F4" w:rsidRPr="00121A6A" w:rsidRDefault="00B525F4" w:rsidP="00030EF2">
      <w:pPr>
        <w:spacing w:after="0"/>
        <w:jc w:val="both"/>
        <w:rPr>
          <w:sz w:val="24"/>
          <w:szCs w:val="24"/>
          <w:lang w:val="en-US"/>
        </w:rPr>
      </w:pPr>
    </w:p>
    <w:p w14:paraId="51BC63ED" w14:textId="77777777" w:rsidR="00B525F4" w:rsidRPr="00121A6A" w:rsidRDefault="00B525F4" w:rsidP="00030EF2">
      <w:pPr>
        <w:spacing w:after="0"/>
        <w:jc w:val="both"/>
        <w:rPr>
          <w:b/>
          <w:bCs/>
          <w:sz w:val="24"/>
          <w:szCs w:val="24"/>
          <w:lang w:val="en-US"/>
        </w:rPr>
      </w:pPr>
      <w:proofErr w:type="spellStart"/>
      <w:r w:rsidRPr="00121A6A">
        <w:rPr>
          <w:b/>
          <w:bCs/>
          <w:sz w:val="24"/>
          <w:szCs w:val="24"/>
          <w:lang w:val="en-US"/>
        </w:rPr>
        <w:t>Leczykiewicz</w:t>
      </w:r>
      <w:proofErr w:type="spellEnd"/>
      <w:r w:rsidRPr="00121A6A">
        <w:rPr>
          <w:b/>
          <w:bCs/>
          <w:sz w:val="24"/>
          <w:szCs w:val="24"/>
          <w:lang w:val="en-US"/>
        </w:rPr>
        <w:t xml:space="preserve"> 2014</w:t>
      </w:r>
    </w:p>
    <w:p w14:paraId="43526E30" w14:textId="72F4282B" w:rsidR="00B525F4" w:rsidRPr="00121A6A" w:rsidRDefault="00B525F4" w:rsidP="00030EF2">
      <w:pPr>
        <w:spacing w:after="0"/>
        <w:jc w:val="both"/>
        <w:rPr>
          <w:sz w:val="24"/>
          <w:szCs w:val="24"/>
          <w:lang w:val="en-US"/>
        </w:rPr>
      </w:pPr>
      <w:r w:rsidRPr="00121A6A">
        <w:rPr>
          <w:sz w:val="24"/>
          <w:szCs w:val="24"/>
          <w:lang w:val="en-US"/>
        </w:rPr>
        <w:t xml:space="preserve">D. </w:t>
      </w:r>
      <w:proofErr w:type="spellStart"/>
      <w:r w:rsidRPr="00121A6A">
        <w:rPr>
          <w:sz w:val="24"/>
          <w:szCs w:val="24"/>
          <w:lang w:val="en-US"/>
        </w:rPr>
        <w:t>Leczykiewicz</w:t>
      </w:r>
      <w:proofErr w:type="spellEnd"/>
      <w:r w:rsidRPr="00121A6A">
        <w:rPr>
          <w:sz w:val="24"/>
          <w:szCs w:val="24"/>
          <w:lang w:val="en-US"/>
        </w:rPr>
        <w:t>, ‘</w:t>
      </w:r>
      <w:proofErr w:type="spellStart"/>
      <w:r w:rsidRPr="00121A6A">
        <w:rPr>
          <w:sz w:val="24"/>
          <w:szCs w:val="24"/>
          <w:lang w:val="en-US"/>
        </w:rPr>
        <w:t>Conceptualising</w:t>
      </w:r>
      <w:proofErr w:type="spellEnd"/>
      <w:r w:rsidRPr="00121A6A">
        <w:rPr>
          <w:sz w:val="24"/>
          <w:szCs w:val="24"/>
          <w:lang w:val="en-US"/>
        </w:rPr>
        <w:t xml:space="preserve"> Conflict between the Economic and the Social in EU Law after </w:t>
      </w:r>
      <w:r w:rsidRPr="00121A6A">
        <w:rPr>
          <w:i/>
          <w:iCs/>
          <w:sz w:val="24"/>
          <w:szCs w:val="24"/>
          <w:lang w:val="en-US"/>
        </w:rPr>
        <w:t>Viking</w:t>
      </w:r>
      <w:r w:rsidRPr="00121A6A">
        <w:rPr>
          <w:sz w:val="24"/>
          <w:szCs w:val="24"/>
          <w:lang w:val="en-US"/>
        </w:rPr>
        <w:t xml:space="preserve"> and </w:t>
      </w:r>
      <w:r w:rsidRPr="00121A6A">
        <w:rPr>
          <w:i/>
          <w:iCs/>
          <w:sz w:val="24"/>
          <w:szCs w:val="24"/>
          <w:lang w:val="en-US"/>
        </w:rPr>
        <w:t>Laval</w:t>
      </w:r>
      <w:r w:rsidRPr="00121A6A">
        <w:rPr>
          <w:sz w:val="24"/>
          <w:szCs w:val="24"/>
          <w:lang w:val="en-US"/>
        </w:rPr>
        <w:t xml:space="preserve">’, in: M. Freedland &amp; J. </w:t>
      </w:r>
      <w:proofErr w:type="spellStart"/>
      <w:r w:rsidRPr="00121A6A">
        <w:rPr>
          <w:sz w:val="24"/>
          <w:szCs w:val="24"/>
          <w:lang w:val="en-US"/>
        </w:rPr>
        <w:t>Prassl</w:t>
      </w:r>
      <w:proofErr w:type="spellEnd"/>
      <w:r w:rsidRPr="00121A6A">
        <w:rPr>
          <w:sz w:val="24"/>
          <w:szCs w:val="24"/>
          <w:lang w:val="en-US"/>
        </w:rPr>
        <w:t xml:space="preserve"> (</w:t>
      </w:r>
      <w:r w:rsidR="00DD65B4">
        <w:rPr>
          <w:sz w:val="24"/>
          <w:szCs w:val="24"/>
          <w:lang w:val="en-US"/>
        </w:rPr>
        <w:t>eds</w:t>
      </w:r>
      <w:r w:rsidRPr="00121A6A">
        <w:rPr>
          <w:sz w:val="24"/>
          <w:szCs w:val="24"/>
          <w:lang w:val="en-US"/>
        </w:rPr>
        <w:t xml:space="preserve">.), </w:t>
      </w:r>
      <w:r w:rsidRPr="00121A6A">
        <w:rPr>
          <w:i/>
          <w:iCs/>
          <w:sz w:val="24"/>
          <w:szCs w:val="24"/>
          <w:lang w:val="en-US"/>
        </w:rPr>
        <w:t>EU Law in the Member States: Viking, Laval and Beyond</w:t>
      </w:r>
      <w:r w:rsidRPr="00121A6A">
        <w:rPr>
          <w:sz w:val="24"/>
          <w:szCs w:val="24"/>
          <w:lang w:val="en-US"/>
        </w:rPr>
        <w:t>, Oxford</w:t>
      </w:r>
      <w:r w:rsidR="00D160AE" w:rsidRPr="00121A6A">
        <w:rPr>
          <w:sz w:val="24"/>
          <w:szCs w:val="24"/>
          <w:lang w:val="en-US"/>
        </w:rPr>
        <w:t xml:space="preserve">, </w:t>
      </w:r>
      <w:r w:rsidR="00DD65B4">
        <w:rPr>
          <w:sz w:val="24"/>
          <w:szCs w:val="24"/>
          <w:lang w:val="en-US"/>
        </w:rPr>
        <w:t>UK</w:t>
      </w:r>
      <w:r w:rsidRPr="00121A6A">
        <w:rPr>
          <w:sz w:val="24"/>
          <w:szCs w:val="24"/>
          <w:lang w:val="en-US"/>
        </w:rPr>
        <w:t>: Hart Publishing 2015, p. 307-322.</w:t>
      </w:r>
    </w:p>
    <w:p w14:paraId="7E77E6F1" w14:textId="77777777" w:rsidR="004F4056" w:rsidRPr="00121A6A" w:rsidRDefault="004F4056" w:rsidP="00030EF2">
      <w:pPr>
        <w:spacing w:after="0"/>
        <w:jc w:val="both"/>
        <w:rPr>
          <w:sz w:val="24"/>
          <w:szCs w:val="24"/>
          <w:lang w:val="en-US"/>
        </w:rPr>
      </w:pPr>
    </w:p>
    <w:p w14:paraId="2DF982A0" w14:textId="5D100B3C" w:rsidR="004F4056" w:rsidRPr="00121A6A" w:rsidRDefault="004F4056" w:rsidP="00030EF2">
      <w:pPr>
        <w:spacing w:after="0"/>
        <w:jc w:val="both"/>
        <w:rPr>
          <w:b/>
          <w:bCs/>
          <w:sz w:val="24"/>
          <w:szCs w:val="24"/>
          <w:lang w:val="en-US"/>
        </w:rPr>
      </w:pPr>
      <w:r w:rsidRPr="00121A6A">
        <w:rPr>
          <w:b/>
          <w:bCs/>
          <w:sz w:val="24"/>
          <w:szCs w:val="24"/>
          <w:lang w:val="en-US"/>
        </w:rPr>
        <w:t xml:space="preserve">Lenaerts, </w:t>
      </w:r>
      <w:proofErr w:type="spellStart"/>
      <w:r w:rsidRPr="00121A6A">
        <w:rPr>
          <w:b/>
          <w:bCs/>
          <w:i/>
          <w:iCs/>
          <w:sz w:val="24"/>
          <w:szCs w:val="24"/>
          <w:lang w:val="en-US"/>
        </w:rPr>
        <w:t>EuConst</w:t>
      </w:r>
      <w:proofErr w:type="spellEnd"/>
      <w:r w:rsidRPr="00121A6A">
        <w:rPr>
          <w:b/>
          <w:bCs/>
          <w:i/>
          <w:iCs/>
          <w:sz w:val="24"/>
          <w:szCs w:val="24"/>
          <w:lang w:val="en-US"/>
        </w:rPr>
        <w:t xml:space="preserve"> </w:t>
      </w:r>
      <w:r w:rsidRPr="00121A6A">
        <w:rPr>
          <w:b/>
          <w:bCs/>
          <w:sz w:val="24"/>
          <w:szCs w:val="24"/>
          <w:lang w:val="en-US"/>
        </w:rPr>
        <w:t>2012</w:t>
      </w:r>
    </w:p>
    <w:p w14:paraId="63F909FE" w14:textId="2A677A18" w:rsidR="004F4056" w:rsidRPr="00121A6A" w:rsidRDefault="004F4056" w:rsidP="00030EF2">
      <w:pPr>
        <w:spacing w:after="0"/>
        <w:jc w:val="both"/>
        <w:rPr>
          <w:sz w:val="24"/>
          <w:szCs w:val="24"/>
          <w:lang w:val="en-US"/>
        </w:rPr>
      </w:pPr>
      <w:r w:rsidRPr="00121A6A">
        <w:rPr>
          <w:sz w:val="24"/>
          <w:szCs w:val="24"/>
          <w:lang w:val="en-US"/>
        </w:rPr>
        <w:t>K. Lenaerts, ‘Exploring the Limits of the EU Charter of Fundamental Rights’,</w:t>
      </w:r>
      <w:r w:rsidRPr="00121A6A">
        <w:rPr>
          <w:i/>
          <w:iCs/>
          <w:sz w:val="24"/>
          <w:szCs w:val="24"/>
          <w:lang w:val="en-US"/>
        </w:rPr>
        <w:t xml:space="preserve"> European Constitutional Law Review</w:t>
      </w:r>
      <w:r w:rsidRPr="00121A6A">
        <w:rPr>
          <w:b/>
          <w:bCs/>
          <w:sz w:val="24"/>
          <w:szCs w:val="24"/>
          <w:lang w:val="en-US"/>
        </w:rPr>
        <w:t xml:space="preserve"> </w:t>
      </w:r>
      <w:r w:rsidRPr="00121A6A">
        <w:rPr>
          <w:sz w:val="24"/>
          <w:szCs w:val="24"/>
          <w:lang w:val="en-US"/>
        </w:rPr>
        <w:t>2012</w:t>
      </w:r>
      <w:r w:rsidR="00B509E4" w:rsidRPr="00121A6A">
        <w:rPr>
          <w:sz w:val="24"/>
          <w:szCs w:val="24"/>
          <w:lang w:val="en-US"/>
        </w:rPr>
        <w:t xml:space="preserve">, </w:t>
      </w:r>
      <w:proofErr w:type="spellStart"/>
      <w:r w:rsidR="00B509E4" w:rsidRPr="00121A6A">
        <w:rPr>
          <w:sz w:val="24"/>
          <w:szCs w:val="24"/>
          <w:lang w:val="en-US"/>
        </w:rPr>
        <w:t>afl</w:t>
      </w:r>
      <w:proofErr w:type="spellEnd"/>
      <w:r w:rsidR="00B509E4" w:rsidRPr="00121A6A">
        <w:rPr>
          <w:sz w:val="24"/>
          <w:szCs w:val="24"/>
          <w:lang w:val="en-US"/>
        </w:rPr>
        <w:t xml:space="preserve">. </w:t>
      </w:r>
      <w:r w:rsidRPr="00121A6A">
        <w:rPr>
          <w:sz w:val="24"/>
          <w:szCs w:val="24"/>
          <w:lang w:val="en-US"/>
        </w:rPr>
        <w:t>3, p. 375-403.</w:t>
      </w:r>
    </w:p>
    <w:p w14:paraId="7BDB1256" w14:textId="77777777" w:rsidR="00142A7B" w:rsidRPr="00121A6A" w:rsidRDefault="00142A7B" w:rsidP="00030EF2">
      <w:pPr>
        <w:spacing w:after="0"/>
        <w:jc w:val="both"/>
        <w:rPr>
          <w:sz w:val="24"/>
          <w:szCs w:val="24"/>
          <w:lang w:val="en-US"/>
        </w:rPr>
      </w:pPr>
    </w:p>
    <w:p w14:paraId="33E74725" w14:textId="5021DE33" w:rsidR="00142A7B" w:rsidRPr="00121A6A" w:rsidRDefault="00142A7B" w:rsidP="00030EF2">
      <w:pPr>
        <w:spacing w:after="0"/>
        <w:jc w:val="both"/>
        <w:rPr>
          <w:b/>
          <w:bCs/>
          <w:sz w:val="24"/>
          <w:szCs w:val="24"/>
          <w:lang w:val="fr-BE"/>
        </w:rPr>
      </w:pPr>
      <w:proofErr w:type="spellStart"/>
      <w:r w:rsidRPr="00121A6A">
        <w:rPr>
          <w:b/>
          <w:bCs/>
          <w:sz w:val="24"/>
          <w:szCs w:val="24"/>
          <w:lang w:val="fr-BE"/>
        </w:rPr>
        <w:t>Lhernould</w:t>
      </w:r>
      <w:proofErr w:type="spellEnd"/>
      <w:r w:rsidRPr="00121A6A">
        <w:rPr>
          <w:b/>
          <w:bCs/>
          <w:sz w:val="24"/>
          <w:szCs w:val="24"/>
          <w:lang w:val="fr-BE"/>
        </w:rPr>
        <w:t xml:space="preserve">, </w:t>
      </w:r>
      <w:r w:rsidRPr="00121A6A">
        <w:rPr>
          <w:b/>
          <w:bCs/>
          <w:i/>
          <w:iCs/>
          <w:sz w:val="24"/>
          <w:szCs w:val="24"/>
          <w:lang w:val="fr-BE"/>
        </w:rPr>
        <w:t>Droit Social</w:t>
      </w:r>
      <w:r w:rsidRPr="00121A6A">
        <w:rPr>
          <w:b/>
          <w:bCs/>
          <w:sz w:val="24"/>
          <w:szCs w:val="24"/>
          <w:lang w:val="fr-BE"/>
        </w:rPr>
        <w:t xml:space="preserve"> 2021</w:t>
      </w:r>
    </w:p>
    <w:p w14:paraId="55427A81" w14:textId="4B17CC6C" w:rsidR="00CD76EA" w:rsidRPr="00217971" w:rsidRDefault="00142A7B" w:rsidP="00604216">
      <w:pPr>
        <w:spacing w:after="0"/>
        <w:jc w:val="both"/>
        <w:rPr>
          <w:sz w:val="24"/>
          <w:szCs w:val="24"/>
          <w:lang w:val="fr-BE"/>
        </w:rPr>
      </w:pPr>
      <w:r w:rsidRPr="00121A6A">
        <w:rPr>
          <w:sz w:val="24"/>
          <w:szCs w:val="24"/>
          <w:lang w:val="fr-BE"/>
        </w:rPr>
        <w:t xml:space="preserve">J.-Ph. </w:t>
      </w:r>
      <w:proofErr w:type="spellStart"/>
      <w:r w:rsidRPr="00121A6A">
        <w:rPr>
          <w:sz w:val="24"/>
          <w:szCs w:val="24"/>
          <w:lang w:val="fr-BE"/>
        </w:rPr>
        <w:t>Lhernould</w:t>
      </w:r>
      <w:proofErr w:type="spellEnd"/>
      <w:r w:rsidRPr="00121A6A">
        <w:rPr>
          <w:sz w:val="24"/>
          <w:szCs w:val="24"/>
          <w:lang w:val="fr-BE"/>
        </w:rPr>
        <w:t xml:space="preserve">, ‘Cour de justice et droit de grève: l'heure de la réhabilitation ?’, </w:t>
      </w:r>
      <w:r w:rsidRPr="00121A6A">
        <w:rPr>
          <w:i/>
          <w:iCs/>
          <w:sz w:val="24"/>
          <w:szCs w:val="24"/>
          <w:lang w:val="fr-BE"/>
        </w:rPr>
        <w:t xml:space="preserve">Droit Social </w:t>
      </w:r>
      <w:r w:rsidRPr="00121A6A">
        <w:rPr>
          <w:sz w:val="24"/>
          <w:szCs w:val="24"/>
          <w:lang w:val="fr-BE"/>
        </w:rPr>
        <w:t>2021</w:t>
      </w:r>
      <w:r w:rsidR="00B509E4" w:rsidRPr="00121A6A">
        <w:rPr>
          <w:sz w:val="24"/>
          <w:szCs w:val="24"/>
          <w:lang w:val="fr-BE"/>
        </w:rPr>
        <w:t xml:space="preserve">, </w:t>
      </w:r>
      <w:proofErr w:type="spellStart"/>
      <w:r w:rsidR="00B509E4" w:rsidRPr="00121A6A">
        <w:rPr>
          <w:sz w:val="24"/>
          <w:szCs w:val="24"/>
          <w:lang w:val="fr-BE"/>
        </w:rPr>
        <w:t>afl</w:t>
      </w:r>
      <w:proofErr w:type="spellEnd"/>
      <w:r w:rsidR="00B509E4" w:rsidRPr="00121A6A">
        <w:rPr>
          <w:sz w:val="24"/>
          <w:szCs w:val="24"/>
          <w:lang w:val="fr-BE"/>
        </w:rPr>
        <w:t xml:space="preserve">. </w:t>
      </w:r>
      <w:r w:rsidRPr="00121A6A">
        <w:rPr>
          <w:sz w:val="24"/>
          <w:szCs w:val="24"/>
          <w:lang w:val="fr-BE"/>
        </w:rPr>
        <w:t>6, p. 534-538.</w:t>
      </w:r>
    </w:p>
    <w:p w14:paraId="498E3870" w14:textId="77777777" w:rsidR="00CD76EA" w:rsidRPr="002315FE" w:rsidRDefault="00CD76EA" w:rsidP="00604216">
      <w:pPr>
        <w:spacing w:after="0"/>
        <w:jc w:val="both"/>
        <w:rPr>
          <w:b/>
          <w:bCs/>
          <w:sz w:val="24"/>
          <w:szCs w:val="24"/>
          <w:lang w:val="fr-BE"/>
        </w:rPr>
      </w:pPr>
    </w:p>
    <w:p w14:paraId="14E1C29E" w14:textId="72628B7D" w:rsidR="00604216" w:rsidRPr="00121A6A" w:rsidRDefault="00604216" w:rsidP="00604216">
      <w:pPr>
        <w:spacing w:after="0"/>
        <w:jc w:val="both"/>
        <w:rPr>
          <w:b/>
          <w:bCs/>
          <w:sz w:val="24"/>
          <w:szCs w:val="24"/>
        </w:rPr>
      </w:pPr>
      <w:proofErr w:type="spellStart"/>
      <w:r w:rsidRPr="00121A6A">
        <w:rPr>
          <w:b/>
          <w:bCs/>
          <w:sz w:val="24"/>
          <w:szCs w:val="24"/>
        </w:rPr>
        <w:t>Lintsen</w:t>
      </w:r>
      <w:proofErr w:type="spellEnd"/>
      <w:r w:rsidR="00420C4C" w:rsidRPr="00121A6A">
        <w:rPr>
          <w:b/>
          <w:bCs/>
          <w:sz w:val="24"/>
          <w:szCs w:val="24"/>
        </w:rPr>
        <w:t xml:space="preserve"> </w:t>
      </w:r>
      <w:r w:rsidRPr="00121A6A">
        <w:rPr>
          <w:b/>
          <w:bCs/>
          <w:sz w:val="24"/>
          <w:szCs w:val="24"/>
        </w:rPr>
        <w:t>2022</w:t>
      </w:r>
    </w:p>
    <w:p w14:paraId="096FCEFE" w14:textId="0757C36D" w:rsidR="00D46AF4" w:rsidRDefault="00604216" w:rsidP="00604216">
      <w:pPr>
        <w:spacing w:after="0"/>
        <w:jc w:val="both"/>
        <w:rPr>
          <w:sz w:val="24"/>
          <w:szCs w:val="24"/>
        </w:rPr>
      </w:pPr>
      <w:r w:rsidRPr="00121A6A">
        <w:rPr>
          <w:sz w:val="24"/>
          <w:szCs w:val="24"/>
        </w:rPr>
        <w:t xml:space="preserve">I. </w:t>
      </w:r>
      <w:proofErr w:type="spellStart"/>
      <w:r w:rsidRPr="00121A6A">
        <w:rPr>
          <w:sz w:val="24"/>
          <w:szCs w:val="24"/>
        </w:rPr>
        <w:t>Lintsen</w:t>
      </w:r>
      <w:proofErr w:type="spellEnd"/>
      <w:r w:rsidRPr="00121A6A">
        <w:rPr>
          <w:sz w:val="24"/>
          <w:szCs w:val="24"/>
        </w:rPr>
        <w:t xml:space="preserve">, </w:t>
      </w:r>
      <w:r w:rsidRPr="00121A6A">
        <w:rPr>
          <w:i/>
          <w:iCs/>
          <w:sz w:val="24"/>
          <w:szCs w:val="24"/>
        </w:rPr>
        <w:t>De continuïteit van de arbeidsrelatie bij aanbestedingen. Een onderzoek naar de afstemming tussen het arbeidsrecht en het aanbestedingsrecht (Monografieën Sociaal Recht nr. 80</w:t>
      </w:r>
      <w:r w:rsidRPr="00121A6A">
        <w:rPr>
          <w:sz w:val="24"/>
          <w:szCs w:val="24"/>
        </w:rPr>
        <w:t>), Deventer: Wolters Kluwer 2022.</w:t>
      </w:r>
    </w:p>
    <w:p w14:paraId="0514005E" w14:textId="77777777" w:rsidR="00217971" w:rsidRDefault="00217971" w:rsidP="00604216">
      <w:pPr>
        <w:spacing w:after="0"/>
        <w:jc w:val="both"/>
        <w:rPr>
          <w:sz w:val="24"/>
          <w:szCs w:val="24"/>
        </w:rPr>
      </w:pPr>
    </w:p>
    <w:p w14:paraId="14FBECD0" w14:textId="77777777" w:rsidR="00EF245F" w:rsidRDefault="00EF245F" w:rsidP="00604216">
      <w:pPr>
        <w:spacing w:after="0"/>
        <w:jc w:val="both"/>
        <w:rPr>
          <w:sz w:val="24"/>
          <w:szCs w:val="24"/>
        </w:rPr>
      </w:pPr>
    </w:p>
    <w:p w14:paraId="090F3593" w14:textId="77777777" w:rsidR="00EF245F" w:rsidRPr="00A872BE" w:rsidRDefault="00EF245F" w:rsidP="00604216">
      <w:pPr>
        <w:spacing w:after="0"/>
        <w:jc w:val="both"/>
        <w:rPr>
          <w:b/>
          <w:bCs/>
          <w:sz w:val="24"/>
          <w:szCs w:val="24"/>
        </w:rPr>
      </w:pPr>
    </w:p>
    <w:p w14:paraId="269FD215" w14:textId="3904B802" w:rsidR="00D46AF4" w:rsidRPr="00121A6A" w:rsidRDefault="00D46AF4" w:rsidP="00604216">
      <w:pPr>
        <w:spacing w:after="0"/>
        <w:jc w:val="both"/>
        <w:rPr>
          <w:b/>
          <w:bCs/>
          <w:sz w:val="24"/>
          <w:szCs w:val="24"/>
          <w:lang w:val="en-US"/>
        </w:rPr>
      </w:pPr>
      <w:proofErr w:type="spellStart"/>
      <w:r w:rsidRPr="00121A6A">
        <w:rPr>
          <w:b/>
          <w:bCs/>
          <w:sz w:val="24"/>
          <w:szCs w:val="24"/>
          <w:lang w:val="en-US"/>
        </w:rPr>
        <w:lastRenderedPageBreak/>
        <w:t>Lörcher</w:t>
      </w:r>
      <w:proofErr w:type="spellEnd"/>
      <w:r w:rsidRPr="00121A6A">
        <w:rPr>
          <w:b/>
          <w:bCs/>
          <w:sz w:val="24"/>
          <w:szCs w:val="24"/>
          <w:lang w:val="en-US"/>
        </w:rPr>
        <w:t xml:space="preserve"> 2013</w:t>
      </w:r>
    </w:p>
    <w:p w14:paraId="3437DD37" w14:textId="003B561A" w:rsidR="00D46AF4" w:rsidRPr="00121A6A" w:rsidRDefault="00D46AF4" w:rsidP="00604216">
      <w:pPr>
        <w:spacing w:after="0"/>
        <w:jc w:val="both"/>
        <w:rPr>
          <w:sz w:val="24"/>
          <w:szCs w:val="24"/>
          <w:lang w:val="en-US"/>
        </w:rPr>
      </w:pPr>
      <w:r w:rsidRPr="00121A6A">
        <w:rPr>
          <w:sz w:val="24"/>
          <w:szCs w:val="24"/>
          <w:lang w:val="en-US"/>
        </w:rPr>
        <w:t xml:space="preserve">K. </w:t>
      </w:r>
      <w:proofErr w:type="spellStart"/>
      <w:r w:rsidRPr="00121A6A">
        <w:rPr>
          <w:sz w:val="24"/>
          <w:szCs w:val="24"/>
          <w:lang w:val="en-US"/>
        </w:rPr>
        <w:t>Lörcher</w:t>
      </w:r>
      <w:proofErr w:type="spellEnd"/>
      <w:r w:rsidRPr="00121A6A">
        <w:rPr>
          <w:sz w:val="24"/>
          <w:szCs w:val="24"/>
          <w:lang w:val="en-US"/>
        </w:rPr>
        <w:t xml:space="preserve">, ‘The New Social Dimension in the Jurisprudence of the European Court of Human Rights (ECtHR): The </w:t>
      </w:r>
      <w:r w:rsidRPr="00121A6A">
        <w:rPr>
          <w:i/>
          <w:iCs/>
          <w:sz w:val="24"/>
          <w:szCs w:val="24"/>
          <w:lang w:val="en-US"/>
        </w:rPr>
        <w:t xml:space="preserve">Demir and Baykara </w:t>
      </w:r>
      <w:r w:rsidRPr="00121A6A">
        <w:rPr>
          <w:sz w:val="24"/>
          <w:szCs w:val="24"/>
          <w:lang w:val="en-US"/>
        </w:rPr>
        <w:t>Judgment, its Methodology and Follow-up</w:t>
      </w:r>
      <w:r w:rsidR="004451B2" w:rsidRPr="00121A6A">
        <w:rPr>
          <w:sz w:val="24"/>
          <w:szCs w:val="24"/>
          <w:lang w:val="en-US"/>
        </w:rPr>
        <w:t>’</w:t>
      </w:r>
      <w:r w:rsidRPr="00121A6A">
        <w:rPr>
          <w:sz w:val="24"/>
          <w:szCs w:val="24"/>
          <w:lang w:val="en-US"/>
        </w:rPr>
        <w:t xml:space="preserve">, in: F. </w:t>
      </w:r>
      <w:proofErr w:type="spellStart"/>
      <w:r w:rsidRPr="00121A6A">
        <w:rPr>
          <w:sz w:val="24"/>
          <w:szCs w:val="24"/>
          <w:lang w:val="en-US"/>
        </w:rPr>
        <w:t>Dorssemont</w:t>
      </w:r>
      <w:proofErr w:type="spellEnd"/>
      <w:r w:rsidRPr="00121A6A">
        <w:rPr>
          <w:sz w:val="24"/>
          <w:szCs w:val="24"/>
          <w:lang w:val="en-US"/>
        </w:rPr>
        <w:t xml:space="preserve">, K. </w:t>
      </w:r>
      <w:proofErr w:type="spellStart"/>
      <w:r w:rsidRPr="00121A6A">
        <w:rPr>
          <w:sz w:val="24"/>
          <w:szCs w:val="24"/>
          <w:lang w:val="en-US"/>
        </w:rPr>
        <w:t>Lörcher</w:t>
      </w:r>
      <w:proofErr w:type="spellEnd"/>
      <w:r w:rsidRPr="00121A6A">
        <w:rPr>
          <w:sz w:val="24"/>
          <w:szCs w:val="24"/>
          <w:lang w:val="en-US"/>
        </w:rPr>
        <w:t xml:space="preserve"> &amp; I. </w:t>
      </w:r>
      <w:proofErr w:type="spellStart"/>
      <w:r w:rsidRPr="00121A6A">
        <w:rPr>
          <w:sz w:val="24"/>
          <w:szCs w:val="24"/>
          <w:lang w:val="en-US"/>
        </w:rPr>
        <w:t>Schömann</w:t>
      </w:r>
      <w:proofErr w:type="spellEnd"/>
      <w:r w:rsidRPr="00121A6A">
        <w:rPr>
          <w:sz w:val="24"/>
          <w:szCs w:val="24"/>
          <w:lang w:val="en-US"/>
        </w:rPr>
        <w:t xml:space="preserve"> (</w:t>
      </w:r>
      <w:r w:rsidR="00822F7E">
        <w:rPr>
          <w:sz w:val="24"/>
          <w:szCs w:val="24"/>
          <w:lang w:val="en-US"/>
        </w:rPr>
        <w:t>eds</w:t>
      </w:r>
      <w:r w:rsidRPr="00121A6A">
        <w:rPr>
          <w:sz w:val="24"/>
          <w:szCs w:val="24"/>
          <w:lang w:val="en-US"/>
        </w:rPr>
        <w:t xml:space="preserve">.), </w:t>
      </w:r>
      <w:r w:rsidRPr="00121A6A">
        <w:rPr>
          <w:i/>
          <w:iCs/>
          <w:sz w:val="24"/>
          <w:szCs w:val="24"/>
          <w:lang w:val="en-US"/>
        </w:rPr>
        <w:t>The European Convention on Human Rights and the Employment Relation</w:t>
      </w:r>
      <w:r w:rsidRPr="00121A6A">
        <w:rPr>
          <w:sz w:val="24"/>
          <w:szCs w:val="24"/>
          <w:lang w:val="en-US"/>
        </w:rPr>
        <w:t>, Oxfor</w:t>
      </w:r>
      <w:r w:rsidR="00D160AE" w:rsidRPr="00121A6A">
        <w:rPr>
          <w:sz w:val="24"/>
          <w:szCs w:val="24"/>
          <w:lang w:val="en-US"/>
        </w:rPr>
        <w:t xml:space="preserve">d, </w:t>
      </w:r>
      <w:r w:rsidR="00822F7E">
        <w:rPr>
          <w:sz w:val="24"/>
          <w:szCs w:val="24"/>
          <w:lang w:val="en-US"/>
        </w:rPr>
        <w:t>UK</w:t>
      </w:r>
      <w:r w:rsidRPr="00121A6A">
        <w:rPr>
          <w:sz w:val="24"/>
          <w:szCs w:val="24"/>
          <w:lang w:val="en-US"/>
        </w:rPr>
        <w:t>: Hart Publishing 2013, p. 3-46.</w:t>
      </w:r>
    </w:p>
    <w:p w14:paraId="23A249C6" w14:textId="77777777" w:rsidR="006D144C" w:rsidRPr="00121A6A" w:rsidRDefault="006D144C" w:rsidP="00604216">
      <w:pPr>
        <w:spacing w:after="0"/>
        <w:jc w:val="both"/>
        <w:rPr>
          <w:sz w:val="24"/>
          <w:szCs w:val="24"/>
          <w:lang w:val="en-US"/>
        </w:rPr>
      </w:pPr>
    </w:p>
    <w:p w14:paraId="08C52F19" w14:textId="368C3FB6" w:rsidR="006D144C" w:rsidRPr="00121A6A" w:rsidRDefault="006D144C" w:rsidP="00604216">
      <w:pPr>
        <w:spacing w:after="0"/>
        <w:jc w:val="both"/>
        <w:rPr>
          <w:b/>
          <w:bCs/>
          <w:sz w:val="24"/>
          <w:szCs w:val="24"/>
          <w:lang w:val="en-US"/>
        </w:rPr>
      </w:pPr>
      <w:r w:rsidRPr="00121A6A">
        <w:rPr>
          <w:b/>
          <w:bCs/>
          <w:sz w:val="24"/>
          <w:szCs w:val="24"/>
          <w:lang w:val="en-US"/>
        </w:rPr>
        <w:t xml:space="preserve">Malmberg </w:t>
      </w:r>
      <w:proofErr w:type="spellStart"/>
      <w:r w:rsidRPr="00121A6A">
        <w:rPr>
          <w:b/>
          <w:bCs/>
          <w:sz w:val="24"/>
          <w:szCs w:val="24"/>
          <w:lang w:val="en-US"/>
        </w:rPr>
        <w:t>e.a.</w:t>
      </w:r>
      <w:proofErr w:type="spellEnd"/>
      <w:r w:rsidRPr="00121A6A">
        <w:rPr>
          <w:b/>
          <w:bCs/>
          <w:sz w:val="24"/>
          <w:szCs w:val="24"/>
          <w:lang w:val="en-US"/>
        </w:rPr>
        <w:t xml:space="preserve"> 2003</w:t>
      </w:r>
    </w:p>
    <w:p w14:paraId="4E3B7473" w14:textId="58909C68" w:rsidR="006D144C" w:rsidRPr="00121A6A" w:rsidRDefault="006D144C" w:rsidP="00604216">
      <w:pPr>
        <w:spacing w:after="0"/>
        <w:jc w:val="both"/>
        <w:rPr>
          <w:sz w:val="24"/>
          <w:szCs w:val="24"/>
          <w:lang w:val="en-US"/>
        </w:rPr>
      </w:pPr>
      <w:r w:rsidRPr="00121A6A">
        <w:rPr>
          <w:sz w:val="24"/>
          <w:szCs w:val="24"/>
          <w:lang w:val="en-US"/>
        </w:rPr>
        <w:t xml:space="preserve">J. Malmberg </w:t>
      </w:r>
      <w:proofErr w:type="spellStart"/>
      <w:r w:rsidR="0044453F" w:rsidRPr="00121A6A">
        <w:rPr>
          <w:sz w:val="24"/>
          <w:szCs w:val="24"/>
          <w:lang w:val="en-US"/>
        </w:rPr>
        <w:t>e.a.</w:t>
      </w:r>
      <w:proofErr w:type="spellEnd"/>
      <w:r w:rsidR="0044453F" w:rsidRPr="00121A6A">
        <w:rPr>
          <w:sz w:val="24"/>
          <w:szCs w:val="24"/>
          <w:lang w:val="en-US"/>
        </w:rPr>
        <w:t xml:space="preserve">, </w:t>
      </w:r>
      <w:r w:rsidRPr="00121A6A">
        <w:rPr>
          <w:i/>
          <w:iCs/>
          <w:sz w:val="24"/>
          <w:szCs w:val="24"/>
          <w:lang w:val="en-US"/>
        </w:rPr>
        <w:t xml:space="preserve">Effective Enforcement of EC </w:t>
      </w:r>
      <w:proofErr w:type="spellStart"/>
      <w:r w:rsidRPr="00121A6A">
        <w:rPr>
          <w:i/>
          <w:iCs/>
          <w:sz w:val="24"/>
          <w:szCs w:val="24"/>
          <w:lang w:val="en-US"/>
        </w:rPr>
        <w:t>Labour</w:t>
      </w:r>
      <w:proofErr w:type="spellEnd"/>
      <w:r w:rsidRPr="00121A6A">
        <w:rPr>
          <w:i/>
          <w:iCs/>
          <w:sz w:val="24"/>
          <w:szCs w:val="24"/>
          <w:lang w:val="en-US"/>
        </w:rPr>
        <w:t xml:space="preserve"> Law</w:t>
      </w:r>
      <w:r w:rsidRPr="00121A6A">
        <w:rPr>
          <w:sz w:val="24"/>
          <w:szCs w:val="24"/>
          <w:lang w:val="en-US"/>
        </w:rPr>
        <w:t>, Den Haag: Kluwer Law International 2003.</w:t>
      </w:r>
    </w:p>
    <w:p w14:paraId="2BCA57C3" w14:textId="77777777" w:rsidR="006F42E2" w:rsidRPr="00121A6A" w:rsidRDefault="006F42E2" w:rsidP="00030EF2">
      <w:pPr>
        <w:spacing w:after="0"/>
        <w:jc w:val="both"/>
        <w:rPr>
          <w:sz w:val="24"/>
          <w:szCs w:val="24"/>
          <w:lang w:val="en-US"/>
        </w:rPr>
      </w:pPr>
    </w:p>
    <w:p w14:paraId="64B64392" w14:textId="6F069D63" w:rsidR="006F42E2" w:rsidRPr="00121A6A" w:rsidRDefault="006F42E2" w:rsidP="00030EF2">
      <w:pPr>
        <w:spacing w:after="0"/>
        <w:jc w:val="both"/>
        <w:rPr>
          <w:b/>
          <w:bCs/>
          <w:sz w:val="24"/>
          <w:szCs w:val="24"/>
          <w:lang w:val="en-US"/>
        </w:rPr>
      </w:pPr>
      <w:r w:rsidRPr="00121A6A">
        <w:rPr>
          <w:b/>
          <w:bCs/>
          <w:sz w:val="24"/>
          <w:szCs w:val="24"/>
          <w:lang w:val="en-US"/>
        </w:rPr>
        <w:t xml:space="preserve">Malmberg, </w:t>
      </w:r>
      <w:r w:rsidRPr="00121A6A">
        <w:rPr>
          <w:b/>
          <w:bCs/>
          <w:i/>
          <w:iCs/>
          <w:sz w:val="24"/>
          <w:szCs w:val="24"/>
          <w:lang w:val="en-US"/>
        </w:rPr>
        <w:t xml:space="preserve">ELLJ </w:t>
      </w:r>
      <w:r w:rsidRPr="00121A6A">
        <w:rPr>
          <w:b/>
          <w:bCs/>
          <w:sz w:val="24"/>
          <w:szCs w:val="24"/>
          <w:lang w:val="en-US"/>
        </w:rPr>
        <w:t>2012</w:t>
      </w:r>
    </w:p>
    <w:p w14:paraId="589C3EEB" w14:textId="5B202414" w:rsidR="006F42E2" w:rsidRPr="00121A6A" w:rsidRDefault="006F42E2" w:rsidP="00030EF2">
      <w:pPr>
        <w:spacing w:after="0"/>
        <w:jc w:val="both"/>
        <w:rPr>
          <w:sz w:val="24"/>
          <w:szCs w:val="24"/>
          <w:lang w:val="en-US"/>
        </w:rPr>
      </w:pPr>
      <w:r w:rsidRPr="00121A6A">
        <w:rPr>
          <w:sz w:val="24"/>
          <w:szCs w:val="24"/>
          <w:lang w:val="en-US"/>
        </w:rPr>
        <w:t xml:space="preserve">J. Malmberg, ‘Trade Union Liability for ‘EU-Unlawful’ Collective Action’, </w:t>
      </w:r>
      <w:r w:rsidRPr="00121A6A">
        <w:rPr>
          <w:i/>
          <w:iCs/>
          <w:sz w:val="24"/>
          <w:szCs w:val="24"/>
          <w:lang w:val="en-US"/>
        </w:rPr>
        <w:t xml:space="preserve">European </w:t>
      </w:r>
      <w:proofErr w:type="spellStart"/>
      <w:r w:rsidRPr="00121A6A">
        <w:rPr>
          <w:i/>
          <w:iCs/>
          <w:sz w:val="24"/>
          <w:szCs w:val="24"/>
          <w:lang w:val="en-US"/>
        </w:rPr>
        <w:t>Labour</w:t>
      </w:r>
      <w:proofErr w:type="spellEnd"/>
      <w:r w:rsidRPr="00121A6A">
        <w:rPr>
          <w:i/>
          <w:iCs/>
          <w:sz w:val="24"/>
          <w:szCs w:val="24"/>
          <w:lang w:val="en-US"/>
        </w:rPr>
        <w:t xml:space="preserve"> Law Journal </w:t>
      </w:r>
      <w:r w:rsidRPr="00121A6A">
        <w:rPr>
          <w:sz w:val="24"/>
          <w:szCs w:val="24"/>
          <w:lang w:val="en-US"/>
        </w:rPr>
        <w:t>2012</w:t>
      </w:r>
      <w:r w:rsidR="009E461D" w:rsidRPr="00121A6A">
        <w:rPr>
          <w:sz w:val="24"/>
          <w:szCs w:val="24"/>
          <w:lang w:val="en-US"/>
        </w:rPr>
        <w:t xml:space="preserve">, </w:t>
      </w:r>
      <w:proofErr w:type="spellStart"/>
      <w:r w:rsidR="009E461D" w:rsidRPr="00121A6A">
        <w:rPr>
          <w:sz w:val="24"/>
          <w:szCs w:val="24"/>
          <w:lang w:val="en-US"/>
        </w:rPr>
        <w:t>afl</w:t>
      </w:r>
      <w:proofErr w:type="spellEnd"/>
      <w:r w:rsidR="009E461D" w:rsidRPr="00121A6A">
        <w:rPr>
          <w:sz w:val="24"/>
          <w:szCs w:val="24"/>
          <w:lang w:val="en-US"/>
        </w:rPr>
        <w:t xml:space="preserve">. </w:t>
      </w:r>
      <w:r w:rsidRPr="00121A6A">
        <w:rPr>
          <w:sz w:val="24"/>
          <w:szCs w:val="24"/>
          <w:lang w:val="en-US"/>
        </w:rPr>
        <w:t>1, p. 5-18.</w:t>
      </w:r>
    </w:p>
    <w:p w14:paraId="72E74E32" w14:textId="77777777" w:rsidR="003408C1" w:rsidRPr="00121A6A" w:rsidRDefault="003408C1" w:rsidP="00030EF2">
      <w:pPr>
        <w:spacing w:after="0"/>
        <w:jc w:val="both"/>
        <w:rPr>
          <w:sz w:val="24"/>
          <w:szCs w:val="24"/>
          <w:lang w:val="en-US"/>
        </w:rPr>
      </w:pPr>
    </w:p>
    <w:p w14:paraId="2A33AEBE" w14:textId="1BC376F5" w:rsidR="003408C1" w:rsidRPr="00121A6A" w:rsidRDefault="003408C1" w:rsidP="00030EF2">
      <w:pPr>
        <w:spacing w:after="0"/>
        <w:jc w:val="both"/>
        <w:rPr>
          <w:b/>
          <w:bCs/>
          <w:sz w:val="24"/>
          <w:szCs w:val="24"/>
          <w:lang w:val="en-US"/>
        </w:rPr>
      </w:pPr>
      <w:r w:rsidRPr="00121A6A">
        <w:rPr>
          <w:b/>
          <w:bCs/>
          <w:sz w:val="24"/>
          <w:szCs w:val="24"/>
          <w:lang w:val="en-US"/>
        </w:rPr>
        <w:t>Martínez-Capdevila 2021</w:t>
      </w:r>
    </w:p>
    <w:p w14:paraId="678A039A" w14:textId="3D510DE5" w:rsidR="003408C1" w:rsidRPr="00121A6A" w:rsidRDefault="003408C1" w:rsidP="003408C1">
      <w:pPr>
        <w:spacing w:after="0"/>
        <w:jc w:val="both"/>
        <w:rPr>
          <w:sz w:val="24"/>
          <w:szCs w:val="24"/>
          <w:lang w:val="en-US"/>
        </w:rPr>
      </w:pPr>
      <w:r w:rsidRPr="00121A6A">
        <w:rPr>
          <w:sz w:val="24"/>
          <w:szCs w:val="24"/>
          <w:lang w:val="en-US"/>
        </w:rPr>
        <w:t>C. Martínez-Capdevila, ‘The Concept of ‘State’ for the Purposes of the EU Charter of Fundamental Rights’, in: C. Izquierdo-Sans, C. Martínez-Capdevila &amp; M. Nogueira-Guastavino (</w:t>
      </w:r>
      <w:r w:rsidR="00822F7E">
        <w:rPr>
          <w:sz w:val="24"/>
          <w:szCs w:val="24"/>
          <w:lang w:val="en-US"/>
        </w:rPr>
        <w:t>eds</w:t>
      </w:r>
      <w:r w:rsidRPr="00121A6A">
        <w:rPr>
          <w:sz w:val="24"/>
          <w:szCs w:val="24"/>
          <w:lang w:val="en-US"/>
        </w:rPr>
        <w:t xml:space="preserve">.), </w:t>
      </w:r>
      <w:r w:rsidRPr="00121A6A">
        <w:rPr>
          <w:i/>
          <w:iCs/>
          <w:sz w:val="24"/>
          <w:szCs w:val="24"/>
          <w:lang w:val="en-US"/>
        </w:rPr>
        <w:t>Fundamental Rights Challenges. Horizontal Effectiveness, Rule of Law and Margin of National Appreciation</w:t>
      </w:r>
      <w:r w:rsidRPr="00121A6A">
        <w:rPr>
          <w:sz w:val="24"/>
          <w:szCs w:val="24"/>
          <w:lang w:val="en-US"/>
        </w:rPr>
        <w:t xml:space="preserve">, Cham, </w:t>
      </w:r>
      <w:proofErr w:type="spellStart"/>
      <w:r w:rsidRPr="00121A6A">
        <w:rPr>
          <w:sz w:val="24"/>
          <w:szCs w:val="24"/>
          <w:lang w:val="en-US"/>
        </w:rPr>
        <w:t>Zwitserland</w:t>
      </w:r>
      <w:proofErr w:type="spellEnd"/>
      <w:r w:rsidRPr="00121A6A">
        <w:rPr>
          <w:sz w:val="24"/>
          <w:szCs w:val="24"/>
          <w:lang w:val="en-US"/>
        </w:rPr>
        <w:t>: Springer 2021</w:t>
      </w:r>
      <w:r w:rsidR="003113BE" w:rsidRPr="00121A6A">
        <w:rPr>
          <w:sz w:val="24"/>
          <w:szCs w:val="24"/>
          <w:lang w:val="en-US"/>
        </w:rPr>
        <w:t>, p. 23-34.</w:t>
      </w:r>
    </w:p>
    <w:p w14:paraId="3151D65C" w14:textId="77777777" w:rsidR="00053DA4" w:rsidRPr="00121A6A" w:rsidRDefault="00053DA4" w:rsidP="00030EF2">
      <w:pPr>
        <w:spacing w:after="0"/>
        <w:jc w:val="both"/>
        <w:rPr>
          <w:sz w:val="24"/>
          <w:szCs w:val="24"/>
          <w:lang w:val="en-US"/>
        </w:rPr>
      </w:pPr>
    </w:p>
    <w:p w14:paraId="31D9CB31" w14:textId="7CFD489C" w:rsidR="00053DA4" w:rsidRPr="00121A6A" w:rsidRDefault="00053DA4" w:rsidP="00030EF2">
      <w:pPr>
        <w:spacing w:after="0"/>
        <w:jc w:val="both"/>
        <w:rPr>
          <w:b/>
          <w:bCs/>
          <w:sz w:val="24"/>
          <w:szCs w:val="24"/>
        </w:rPr>
      </w:pPr>
      <w:r w:rsidRPr="00121A6A">
        <w:rPr>
          <w:b/>
          <w:bCs/>
          <w:sz w:val="24"/>
          <w:szCs w:val="24"/>
        </w:rPr>
        <w:t xml:space="preserve">Nieuwenhuis, </w:t>
      </w:r>
      <w:r w:rsidRPr="00121A6A">
        <w:rPr>
          <w:b/>
          <w:bCs/>
          <w:i/>
          <w:iCs/>
          <w:sz w:val="24"/>
          <w:szCs w:val="24"/>
        </w:rPr>
        <w:t xml:space="preserve">TVCR </w:t>
      </w:r>
      <w:r w:rsidRPr="00121A6A">
        <w:rPr>
          <w:b/>
          <w:bCs/>
          <w:sz w:val="24"/>
          <w:szCs w:val="24"/>
        </w:rPr>
        <w:t>2012</w:t>
      </w:r>
    </w:p>
    <w:p w14:paraId="74C84039" w14:textId="63663229" w:rsidR="00053DA4" w:rsidRPr="00121A6A" w:rsidRDefault="00053DA4" w:rsidP="00030EF2">
      <w:pPr>
        <w:spacing w:after="0"/>
        <w:jc w:val="both"/>
        <w:rPr>
          <w:sz w:val="24"/>
          <w:szCs w:val="24"/>
        </w:rPr>
      </w:pPr>
      <w:r w:rsidRPr="00121A6A">
        <w:rPr>
          <w:sz w:val="24"/>
          <w:szCs w:val="24"/>
        </w:rPr>
        <w:t xml:space="preserve">A.J. Nieuwenhuis, ‘De kernrechtenbenadering bij de grondrechten’, </w:t>
      </w:r>
      <w:r w:rsidRPr="00121A6A">
        <w:rPr>
          <w:i/>
          <w:iCs/>
          <w:sz w:val="24"/>
          <w:szCs w:val="24"/>
        </w:rPr>
        <w:t>Tijdschrift voor Constitutioneel Recht</w:t>
      </w:r>
      <w:r w:rsidRPr="00121A6A">
        <w:rPr>
          <w:sz w:val="24"/>
          <w:szCs w:val="24"/>
        </w:rPr>
        <w:t xml:space="preserve"> 2012, afl. 2, p. 138-159.</w:t>
      </w:r>
    </w:p>
    <w:p w14:paraId="3BDA9BA3" w14:textId="77777777" w:rsidR="00191F65" w:rsidRPr="00121A6A" w:rsidRDefault="00191F65" w:rsidP="00030EF2">
      <w:pPr>
        <w:spacing w:after="0"/>
        <w:jc w:val="both"/>
        <w:rPr>
          <w:sz w:val="24"/>
          <w:szCs w:val="24"/>
        </w:rPr>
      </w:pPr>
    </w:p>
    <w:p w14:paraId="090B1F31" w14:textId="3065EF98" w:rsidR="00191F65" w:rsidRPr="00121A6A" w:rsidRDefault="00191F65" w:rsidP="00030EF2">
      <w:pPr>
        <w:spacing w:after="0"/>
        <w:jc w:val="both"/>
        <w:rPr>
          <w:b/>
          <w:bCs/>
          <w:sz w:val="24"/>
          <w:szCs w:val="24"/>
        </w:rPr>
      </w:pPr>
      <w:r w:rsidRPr="00121A6A">
        <w:rPr>
          <w:b/>
          <w:bCs/>
          <w:sz w:val="24"/>
          <w:szCs w:val="24"/>
        </w:rPr>
        <w:t xml:space="preserve">Nieuwenhuis &amp; </w:t>
      </w:r>
      <w:proofErr w:type="spellStart"/>
      <w:r w:rsidRPr="00121A6A">
        <w:rPr>
          <w:b/>
          <w:bCs/>
          <w:sz w:val="24"/>
          <w:szCs w:val="24"/>
        </w:rPr>
        <w:t>Dragstra</w:t>
      </w:r>
      <w:proofErr w:type="spellEnd"/>
      <w:r w:rsidR="009E461D" w:rsidRPr="00121A6A">
        <w:rPr>
          <w:b/>
          <w:bCs/>
          <w:sz w:val="24"/>
          <w:szCs w:val="24"/>
        </w:rPr>
        <w:t xml:space="preserve"> 2008</w:t>
      </w:r>
    </w:p>
    <w:p w14:paraId="1BEA667D" w14:textId="6A32FCCE" w:rsidR="00191F65" w:rsidRPr="00121A6A" w:rsidRDefault="00191F65" w:rsidP="009E461D">
      <w:pPr>
        <w:spacing w:after="0"/>
        <w:jc w:val="both"/>
        <w:rPr>
          <w:sz w:val="24"/>
          <w:szCs w:val="24"/>
        </w:rPr>
      </w:pPr>
      <w:r w:rsidRPr="00121A6A">
        <w:rPr>
          <w:sz w:val="24"/>
          <w:szCs w:val="24"/>
        </w:rPr>
        <w:t xml:space="preserve">A. Nieuwenhuis &amp; L. </w:t>
      </w:r>
      <w:proofErr w:type="spellStart"/>
      <w:r w:rsidRPr="00121A6A">
        <w:rPr>
          <w:sz w:val="24"/>
          <w:szCs w:val="24"/>
        </w:rPr>
        <w:t>Dragstra</w:t>
      </w:r>
      <w:proofErr w:type="spellEnd"/>
      <w:r w:rsidRPr="00121A6A">
        <w:rPr>
          <w:sz w:val="24"/>
          <w:szCs w:val="24"/>
        </w:rPr>
        <w:t>, 'Van minimum, tekort en meerwaarde</w:t>
      </w:r>
      <w:r w:rsidR="00053DA4" w:rsidRPr="00121A6A">
        <w:rPr>
          <w:sz w:val="24"/>
          <w:szCs w:val="24"/>
        </w:rPr>
        <w:t>. Een vergelijking tussen de grondwettelijke bescherming van grondrechten en de bescherming op grond van het EVRM’</w:t>
      </w:r>
      <w:r w:rsidRPr="00121A6A">
        <w:rPr>
          <w:sz w:val="24"/>
          <w:szCs w:val="24"/>
        </w:rPr>
        <w:t>,</w:t>
      </w:r>
      <w:r w:rsidR="009E461D" w:rsidRPr="00121A6A">
        <w:rPr>
          <w:sz w:val="24"/>
          <w:szCs w:val="24"/>
        </w:rPr>
        <w:t xml:space="preserve"> in:</w:t>
      </w:r>
      <w:r w:rsidRPr="00121A6A">
        <w:rPr>
          <w:sz w:val="24"/>
          <w:szCs w:val="24"/>
        </w:rPr>
        <w:t xml:space="preserve"> </w:t>
      </w:r>
      <w:r w:rsidR="009E461D" w:rsidRPr="00121A6A">
        <w:rPr>
          <w:sz w:val="24"/>
          <w:szCs w:val="24"/>
        </w:rPr>
        <w:t xml:space="preserve">A. Nieuwenhuis e.a. (red.), </w:t>
      </w:r>
      <w:r w:rsidR="009E461D" w:rsidRPr="00121A6A">
        <w:rPr>
          <w:i/>
          <w:iCs/>
          <w:sz w:val="24"/>
          <w:szCs w:val="24"/>
        </w:rPr>
        <w:t xml:space="preserve">Samenloop van grondrechten in verschillende rechtsstelsels, </w:t>
      </w:r>
      <w:proofErr w:type="spellStart"/>
      <w:r w:rsidR="009E461D" w:rsidRPr="00121A6A">
        <w:rPr>
          <w:i/>
          <w:iCs/>
          <w:sz w:val="24"/>
          <w:szCs w:val="24"/>
        </w:rPr>
        <w:t>multiculturaliteit</w:t>
      </w:r>
      <w:proofErr w:type="spellEnd"/>
      <w:r w:rsidR="009E461D" w:rsidRPr="00121A6A">
        <w:rPr>
          <w:i/>
          <w:iCs/>
          <w:sz w:val="24"/>
          <w:szCs w:val="24"/>
        </w:rPr>
        <w:t xml:space="preserve"> in het strafrecht &amp; schuldsanering en collectieve schuldenregeling </w:t>
      </w:r>
      <w:r w:rsidR="009E461D" w:rsidRPr="00121A6A">
        <w:rPr>
          <w:sz w:val="24"/>
          <w:szCs w:val="24"/>
        </w:rPr>
        <w:t>(</w:t>
      </w:r>
      <w:r w:rsidRPr="00121A6A">
        <w:rPr>
          <w:sz w:val="24"/>
          <w:szCs w:val="24"/>
        </w:rPr>
        <w:t>Preadviezen</w:t>
      </w:r>
      <w:r w:rsidR="009E461D" w:rsidRPr="00121A6A">
        <w:rPr>
          <w:sz w:val="24"/>
          <w:szCs w:val="24"/>
        </w:rPr>
        <w:t>/</w:t>
      </w:r>
      <w:r w:rsidRPr="00121A6A">
        <w:rPr>
          <w:sz w:val="24"/>
          <w:szCs w:val="24"/>
        </w:rPr>
        <w:t>Vereniging voor de vergelijkende studie van het recht</w:t>
      </w:r>
      <w:r w:rsidR="009E461D" w:rsidRPr="00121A6A">
        <w:rPr>
          <w:sz w:val="24"/>
          <w:szCs w:val="24"/>
        </w:rPr>
        <w:t xml:space="preserve"> van België en Nederland)</w:t>
      </w:r>
      <w:r w:rsidRPr="00121A6A">
        <w:rPr>
          <w:sz w:val="24"/>
          <w:szCs w:val="24"/>
        </w:rPr>
        <w:t>,</w:t>
      </w:r>
      <w:r w:rsidR="009E461D" w:rsidRPr="00121A6A">
        <w:rPr>
          <w:sz w:val="24"/>
          <w:szCs w:val="24"/>
        </w:rPr>
        <w:t xml:space="preserve"> Den Haag: Boom </w:t>
      </w:r>
      <w:r w:rsidR="0043270C" w:rsidRPr="00121A6A">
        <w:rPr>
          <w:sz w:val="24"/>
          <w:szCs w:val="24"/>
        </w:rPr>
        <w:t>Juridisch</w:t>
      </w:r>
      <w:r w:rsidR="009E461D" w:rsidRPr="00121A6A">
        <w:rPr>
          <w:sz w:val="24"/>
          <w:szCs w:val="24"/>
        </w:rPr>
        <w:t xml:space="preserve"> 2008,</w:t>
      </w:r>
      <w:r w:rsidRPr="00121A6A">
        <w:rPr>
          <w:sz w:val="24"/>
          <w:szCs w:val="24"/>
        </w:rPr>
        <w:t xml:space="preserve"> p. 11-</w:t>
      </w:r>
      <w:r w:rsidR="009E461D" w:rsidRPr="00121A6A">
        <w:rPr>
          <w:sz w:val="24"/>
          <w:szCs w:val="24"/>
        </w:rPr>
        <w:t>80</w:t>
      </w:r>
      <w:r w:rsidRPr="00121A6A">
        <w:rPr>
          <w:sz w:val="24"/>
          <w:szCs w:val="24"/>
        </w:rPr>
        <w:t>.</w:t>
      </w:r>
    </w:p>
    <w:p w14:paraId="35E7D0C5" w14:textId="77777777" w:rsidR="00604C68" w:rsidRPr="00121A6A" w:rsidRDefault="00604C68" w:rsidP="00030EF2">
      <w:pPr>
        <w:spacing w:after="0"/>
        <w:jc w:val="both"/>
        <w:rPr>
          <w:sz w:val="24"/>
          <w:szCs w:val="24"/>
        </w:rPr>
      </w:pPr>
    </w:p>
    <w:p w14:paraId="68AF1729" w14:textId="204BF021" w:rsidR="00604C68" w:rsidRPr="00121A6A" w:rsidRDefault="00604C68" w:rsidP="00030EF2">
      <w:pPr>
        <w:spacing w:after="0"/>
        <w:jc w:val="both"/>
        <w:rPr>
          <w:b/>
          <w:bCs/>
          <w:sz w:val="24"/>
          <w:szCs w:val="24"/>
          <w:lang w:val="en-US"/>
        </w:rPr>
      </w:pPr>
      <w:r w:rsidRPr="00121A6A">
        <w:rPr>
          <w:b/>
          <w:bCs/>
          <w:sz w:val="24"/>
          <w:szCs w:val="24"/>
          <w:lang w:val="en-US"/>
        </w:rPr>
        <w:t xml:space="preserve">Olsson, </w:t>
      </w:r>
      <w:r w:rsidRPr="00121A6A">
        <w:rPr>
          <w:b/>
          <w:bCs/>
          <w:i/>
          <w:iCs/>
          <w:sz w:val="24"/>
          <w:szCs w:val="24"/>
          <w:lang w:val="en-US"/>
        </w:rPr>
        <w:t xml:space="preserve">IJCLLIR </w:t>
      </w:r>
      <w:r w:rsidRPr="00121A6A">
        <w:rPr>
          <w:b/>
          <w:bCs/>
          <w:sz w:val="24"/>
          <w:szCs w:val="24"/>
          <w:lang w:val="en-US"/>
        </w:rPr>
        <w:t>2016</w:t>
      </w:r>
    </w:p>
    <w:p w14:paraId="751A8E84" w14:textId="7E556B94" w:rsidR="007B3338" w:rsidRPr="00121A6A" w:rsidRDefault="00604C68" w:rsidP="00030EF2">
      <w:pPr>
        <w:spacing w:after="0"/>
        <w:jc w:val="both"/>
        <w:rPr>
          <w:sz w:val="24"/>
          <w:szCs w:val="24"/>
          <w:lang w:val="en-US"/>
        </w:rPr>
      </w:pPr>
      <w:r w:rsidRPr="00121A6A">
        <w:rPr>
          <w:sz w:val="24"/>
          <w:szCs w:val="24"/>
          <w:lang w:val="en-US"/>
        </w:rPr>
        <w:t xml:space="preserve">P.H. Olsson, ‘Possible Shielding Effects of Article 27 on Workers’ Rights to Information and Consultation in the EU Charter of Fundamental Rights’, </w:t>
      </w:r>
      <w:r w:rsidRPr="00121A6A">
        <w:rPr>
          <w:i/>
          <w:iCs/>
          <w:sz w:val="24"/>
          <w:szCs w:val="24"/>
          <w:lang w:val="en-US"/>
        </w:rPr>
        <w:t xml:space="preserve">The International Journal of Comparative </w:t>
      </w:r>
      <w:proofErr w:type="spellStart"/>
      <w:r w:rsidRPr="00121A6A">
        <w:rPr>
          <w:i/>
          <w:iCs/>
          <w:sz w:val="24"/>
          <w:szCs w:val="24"/>
          <w:lang w:val="en-US"/>
        </w:rPr>
        <w:t>Labour</w:t>
      </w:r>
      <w:proofErr w:type="spellEnd"/>
      <w:r w:rsidRPr="00121A6A">
        <w:rPr>
          <w:i/>
          <w:iCs/>
          <w:sz w:val="24"/>
          <w:szCs w:val="24"/>
          <w:lang w:val="en-US"/>
        </w:rPr>
        <w:t xml:space="preserve"> Law and Industrial Relations </w:t>
      </w:r>
      <w:r w:rsidRPr="00121A6A">
        <w:rPr>
          <w:sz w:val="24"/>
          <w:szCs w:val="24"/>
          <w:lang w:val="en-US"/>
        </w:rPr>
        <w:t>2016</w:t>
      </w:r>
      <w:r w:rsidR="0043270C" w:rsidRPr="00121A6A">
        <w:rPr>
          <w:sz w:val="24"/>
          <w:szCs w:val="24"/>
          <w:lang w:val="en-US"/>
        </w:rPr>
        <w:t xml:space="preserve">, </w:t>
      </w:r>
      <w:proofErr w:type="spellStart"/>
      <w:r w:rsidR="0043270C" w:rsidRPr="00121A6A">
        <w:rPr>
          <w:sz w:val="24"/>
          <w:szCs w:val="24"/>
          <w:lang w:val="en-US"/>
        </w:rPr>
        <w:t>afl</w:t>
      </w:r>
      <w:proofErr w:type="spellEnd"/>
      <w:r w:rsidR="0043270C" w:rsidRPr="00121A6A">
        <w:rPr>
          <w:sz w:val="24"/>
          <w:szCs w:val="24"/>
          <w:lang w:val="en-US"/>
        </w:rPr>
        <w:t xml:space="preserve">. </w:t>
      </w:r>
      <w:r w:rsidRPr="00121A6A">
        <w:rPr>
          <w:sz w:val="24"/>
          <w:szCs w:val="24"/>
          <w:lang w:val="en-US"/>
        </w:rPr>
        <w:t>2, p. 251-274.</w:t>
      </w:r>
    </w:p>
    <w:p w14:paraId="65F53C0E" w14:textId="77777777" w:rsidR="00CD76EA" w:rsidRDefault="00CD76EA" w:rsidP="00030EF2">
      <w:pPr>
        <w:spacing w:after="0"/>
        <w:jc w:val="both"/>
        <w:rPr>
          <w:b/>
          <w:bCs/>
          <w:sz w:val="24"/>
          <w:szCs w:val="24"/>
          <w:lang w:val="en-US"/>
        </w:rPr>
      </w:pPr>
    </w:p>
    <w:p w14:paraId="7183052E" w14:textId="70180E9B" w:rsidR="008E63BE" w:rsidRPr="00121A6A" w:rsidRDefault="008E63BE" w:rsidP="00030EF2">
      <w:pPr>
        <w:spacing w:after="0"/>
        <w:jc w:val="both"/>
        <w:rPr>
          <w:b/>
          <w:bCs/>
          <w:sz w:val="24"/>
          <w:szCs w:val="24"/>
          <w:lang w:val="en-US"/>
        </w:rPr>
      </w:pPr>
      <w:r w:rsidRPr="00121A6A">
        <w:rPr>
          <w:b/>
          <w:bCs/>
          <w:sz w:val="24"/>
          <w:szCs w:val="24"/>
          <w:lang w:val="en-US"/>
        </w:rPr>
        <w:t xml:space="preserve">Papa, </w:t>
      </w:r>
      <w:r w:rsidRPr="00121A6A">
        <w:rPr>
          <w:b/>
          <w:bCs/>
          <w:i/>
          <w:iCs/>
          <w:sz w:val="24"/>
          <w:szCs w:val="24"/>
          <w:lang w:val="en-US"/>
        </w:rPr>
        <w:t>ELLJ</w:t>
      </w:r>
      <w:r w:rsidRPr="00121A6A">
        <w:rPr>
          <w:b/>
          <w:bCs/>
          <w:sz w:val="24"/>
          <w:szCs w:val="24"/>
          <w:lang w:val="en-US"/>
        </w:rPr>
        <w:t xml:space="preserve"> 2015</w:t>
      </w:r>
    </w:p>
    <w:p w14:paraId="4A6A99AA" w14:textId="29376C2E" w:rsidR="008E63BE" w:rsidRPr="00121A6A" w:rsidRDefault="008E63BE" w:rsidP="00030EF2">
      <w:pPr>
        <w:spacing w:after="0"/>
        <w:jc w:val="both"/>
        <w:rPr>
          <w:sz w:val="24"/>
          <w:szCs w:val="24"/>
          <w:lang w:val="en-US"/>
        </w:rPr>
      </w:pPr>
      <w:r w:rsidRPr="00121A6A">
        <w:rPr>
          <w:sz w:val="24"/>
          <w:szCs w:val="24"/>
          <w:lang w:val="en-US"/>
        </w:rPr>
        <w:t xml:space="preserve">V. Papa, ‘The Dark Side of Fundamental Rights Adjudication? The Court, the Charter and the Asymmetric Interpretation of Fundamental Rights in the AMS Case and beyond’, </w:t>
      </w:r>
      <w:r w:rsidRPr="00121A6A">
        <w:rPr>
          <w:i/>
          <w:iCs/>
          <w:sz w:val="24"/>
          <w:szCs w:val="24"/>
          <w:lang w:val="en-US"/>
        </w:rPr>
        <w:t xml:space="preserve">European </w:t>
      </w:r>
      <w:proofErr w:type="spellStart"/>
      <w:r w:rsidRPr="00121A6A">
        <w:rPr>
          <w:i/>
          <w:iCs/>
          <w:sz w:val="24"/>
          <w:szCs w:val="24"/>
          <w:lang w:val="en-US"/>
        </w:rPr>
        <w:t>Labour</w:t>
      </w:r>
      <w:proofErr w:type="spellEnd"/>
      <w:r w:rsidRPr="00121A6A">
        <w:rPr>
          <w:i/>
          <w:iCs/>
          <w:sz w:val="24"/>
          <w:szCs w:val="24"/>
          <w:lang w:val="en-US"/>
        </w:rPr>
        <w:t xml:space="preserve"> Law Journal</w:t>
      </w:r>
      <w:r w:rsidRPr="00121A6A">
        <w:rPr>
          <w:sz w:val="24"/>
          <w:szCs w:val="24"/>
          <w:lang w:val="en-US"/>
        </w:rPr>
        <w:t xml:space="preserve"> 2015</w:t>
      </w:r>
      <w:r w:rsidR="0043270C" w:rsidRPr="00121A6A">
        <w:rPr>
          <w:sz w:val="24"/>
          <w:szCs w:val="24"/>
          <w:lang w:val="en-US"/>
        </w:rPr>
        <w:t xml:space="preserve">, </w:t>
      </w:r>
      <w:proofErr w:type="spellStart"/>
      <w:r w:rsidR="0043270C" w:rsidRPr="00121A6A">
        <w:rPr>
          <w:sz w:val="24"/>
          <w:szCs w:val="24"/>
          <w:lang w:val="en-US"/>
        </w:rPr>
        <w:t>afl</w:t>
      </w:r>
      <w:proofErr w:type="spellEnd"/>
      <w:r w:rsidR="0043270C" w:rsidRPr="00121A6A">
        <w:rPr>
          <w:sz w:val="24"/>
          <w:szCs w:val="24"/>
          <w:lang w:val="en-US"/>
        </w:rPr>
        <w:t xml:space="preserve">. </w:t>
      </w:r>
      <w:r w:rsidRPr="00121A6A">
        <w:rPr>
          <w:sz w:val="24"/>
          <w:szCs w:val="24"/>
          <w:lang w:val="en-US"/>
        </w:rPr>
        <w:t>3, p. 190-214.</w:t>
      </w:r>
    </w:p>
    <w:p w14:paraId="12F2390B" w14:textId="77777777" w:rsidR="008E63BE" w:rsidRPr="00121A6A" w:rsidRDefault="008E63BE" w:rsidP="00030EF2">
      <w:pPr>
        <w:spacing w:after="0"/>
        <w:jc w:val="both"/>
        <w:rPr>
          <w:sz w:val="24"/>
          <w:szCs w:val="24"/>
          <w:lang w:val="en-US"/>
        </w:rPr>
      </w:pPr>
    </w:p>
    <w:p w14:paraId="2F416719" w14:textId="77777777" w:rsidR="00217971" w:rsidRDefault="00217971" w:rsidP="00030EF2">
      <w:pPr>
        <w:spacing w:after="0"/>
        <w:jc w:val="both"/>
        <w:rPr>
          <w:b/>
          <w:bCs/>
          <w:sz w:val="24"/>
          <w:szCs w:val="24"/>
          <w:lang w:val="en-US"/>
        </w:rPr>
      </w:pPr>
    </w:p>
    <w:p w14:paraId="614CD1DE" w14:textId="6B5ECF3E" w:rsidR="007B3338" w:rsidRPr="00121A6A" w:rsidRDefault="00886F8F" w:rsidP="00030EF2">
      <w:pPr>
        <w:spacing w:after="0"/>
        <w:jc w:val="both"/>
        <w:rPr>
          <w:b/>
          <w:bCs/>
          <w:sz w:val="24"/>
          <w:szCs w:val="24"/>
          <w:lang w:val="en-US"/>
        </w:rPr>
      </w:pPr>
      <w:r w:rsidRPr="00121A6A">
        <w:rPr>
          <w:b/>
          <w:bCs/>
          <w:sz w:val="24"/>
          <w:szCs w:val="24"/>
          <w:lang w:val="en-US"/>
        </w:rPr>
        <w:lastRenderedPageBreak/>
        <w:t xml:space="preserve">Pecinovsky, </w:t>
      </w:r>
      <w:r w:rsidRPr="00121A6A">
        <w:rPr>
          <w:b/>
          <w:bCs/>
          <w:i/>
          <w:iCs/>
          <w:sz w:val="24"/>
          <w:szCs w:val="24"/>
          <w:lang w:val="en-US"/>
        </w:rPr>
        <w:t>E</w:t>
      </w:r>
      <w:r w:rsidR="004F4056" w:rsidRPr="00121A6A">
        <w:rPr>
          <w:b/>
          <w:bCs/>
          <w:i/>
          <w:iCs/>
          <w:sz w:val="24"/>
          <w:szCs w:val="24"/>
          <w:lang w:val="en-US"/>
        </w:rPr>
        <w:t>L</w:t>
      </w:r>
      <w:r w:rsidRPr="00121A6A">
        <w:rPr>
          <w:b/>
          <w:bCs/>
          <w:i/>
          <w:iCs/>
          <w:sz w:val="24"/>
          <w:szCs w:val="24"/>
          <w:lang w:val="en-US"/>
        </w:rPr>
        <w:t>LJ</w:t>
      </w:r>
      <w:r w:rsidRPr="00121A6A">
        <w:rPr>
          <w:b/>
          <w:bCs/>
          <w:sz w:val="24"/>
          <w:szCs w:val="24"/>
          <w:lang w:val="en-US"/>
        </w:rPr>
        <w:t xml:space="preserve"> 2016</w:t>
      </w:r>
    </w:p>
    <w:p w14:paraId="77062524" w14:textId="53CA5D25" w:rsidR="005B28A5" w:rsidRPr="00121A6A" w:rsidRDefault="005B28A5" w:rsidP="00030EF2">
      <w:pPr>
        <w:spacing w:after="0"/>
        <w:jc w:val="both"/>
        <w:rPr>
          <w:sz w:val="24"/>
          <w:szCs w:val="24"/>
          <w:lang w:val="en-US"/>
        </w:rPr>
      </w:pPr>
      <w:r w:rsidRPr="00121A6A">
        <w:rPr>
          <w:sz w:val="24"/>
          <w:szCs w:val="24"/>
          <w:lang w:val="en-US"/>
        </w:rPr>
        <w:t xml:space="preserve">P. Pecinovsky, ‘Evolutions in the Social Case Law of the Court of Justice. The Follow-up Cases of the </w:t>
      </w:r>
      <w:r w:rsidRPr="00121A6A">
        <w:rPr>
          <w:i/>
          <w:iCs/>
          <w:sz w:val="24"/>
          <w:szCs w:val="24"/>
          <w:lang w:val="en-US"/>
        </w:rPr>
        <w:t>Laval</w:t>
      </w:r>
      <w:r w:rsidRPr="00121A6A">
        <w:rPr>
          <w:sz w:val="24"/>
          <w:szCs w:val="24"/>
          <w:lang w:val="en-US"/>
        </w:rPr>
        <w:t xml:space="preserve"> Quartet: ESA and Regiopost’, </w:t>
      </w:r>
      <w:r w:rsidRPr="00121A6A">
        <w:rPr>
          <w:i/>
          <w:iCs/>
          <w:sz w:val="24"/>
          <w:szCs w:val="24"/>
          <w:lang w:val="en-US"/>
        </w:rPr>
        <w:t xml:space="preserve">European </w:t>
      </w:r>
      <w:proofErr w:type="spellStart"/>
      <w:r w:rsidRPr="00121A6A">
        <w:rPr>
          <w:i/>
          <w:iCs/>
          <w:sz w:val="24"/>
          <w:szCs w:val="24"/>
          <w:lang w:val="en-US"/>
        </w:rPr>
        <w:t>Labour</w:t>
      </w:r>
      <w:proofErr w:type="spellEnd"/>
      <w:r w:rsidRPr="00121A6A">
        <w:rPr>
          <w:i/>
          <w:iCs/>
          <w:sz w:val="24"/>
          <w:szCs w:val="24"/>
          <w:lang w:val="en-US"/>
        </w:rPr>
        <w:t xml:space="preserve"> Law Journal </w:t>
      </w:r>
      <w:r w:rsidRPr="00121A6A">
        <w:rPr>
          <w:sz w:val="24"/>
          <w:szCs w:val="24"/>
          <w:lang w:val="en-US"/>
        </w:rPr>
        <w:t>2016</w:t>
      </w:r>
      <w:r w:rsidR="0043270C" w:rsidRPr="00121A6A">
        <w:rPr>
          <w:sz w:val="24"/>
          <w:szCs w:val="24"/>
          <w:lang w:val="en-US"/>
        </w:rPr>
        <w:t xml:space="preserve">, </w:t>
      </w:r>
      <w:proofErr w:type="spellStart"/>
      <w:r w:rsidR="0043270C" w:rsidRPr="00121A6A">
        <w:rPr>
          <w:sz w:val="24"/>
          <w:szCs w:val="24"/>
          <w:lang w:val="en-US"/>
        </w:rPr>
        <w:t>afl</w:t>
      </w:r>
      <w:proofErr w:type="spellEnd"/>
      <w:r w:rsidR="0043270C" w:rsidRPr="00121A6A">
        <w:rPr>
          <w:sz w:val="24"/>
          <w:szCs w:val="24"/>
          <w:lang w:val="en-US"/>
        </w:rPr>
        <w:t xml:space="preserve">. </w:t>
      </w:r>
      <w:r w:rsidRPr="00121A6A">
        <w:rPr>
          <w:sz w:val="24"/>
          <w:szCs w:val="24"/>
          <w:lang w:val="en-US"/>
        </w:rPr>
        <w:t>2, p. 294-309.</w:t>
      </w:r>
    </w:p>
    <w:p w14:paraId="5A5A217D" w14:textId="77777777" w:rsidR="009F4FA2" w:rsidRPr="00121A6A" w:rsidRDefault="009F4FA2" w:rsidP="00030EF2">
      <w:pPr>
        <w:spacing w:after="0"/>
        <w:jc w:val="both"/>
        <w:rPr>
          <w:b/>
          <w:bCs/>
          <w:sz w:val="24"/>
          <w:szCs w:val="24"/>
          <w:lang w:val="en-US"/>
        </w:rPr>
      </w:pPr>
    </w:p>
    <w:p w14:paraId="311A779B" w14:textId="77777777" w:rsidR="00B525F4" w:rsidRPr="00121A6A" w:rsidRDefault="00B525F4" w:rsidP="00030EF2">
      <w:pPr>
        <w:spacing w:after="0"/>
        <w:jc w:val="both"/>
        <w:rPr>
          <w:b/>
          <w:bCs/>
          <w:sz w:val="24"/>
          <w:szCs w:val="24"/>
          <w:lang w:val="en-US"/>
        </w:rPr>
      </w:pPr>
      <w:r w:rsidRPr="00121A6A">
        <w:rPr>
          <w:b/>
          <w:bCs/>
          <w:sz w:val="24"/>
          <w:szCs w:val="24"/>
          <w:lang w:val="en-US"/>
        </w:rPr>
        <w:t xml:space="preserve">Peers &amp; </w:t>
      </w:r>
      <w:proofErr w:type="spellStart"/>
      <w:r w:rsidRPr="00121A6A">
        <w:rPr>
          <w:b/>
          <w:bCs/>
          <w:sz w:val="24"/>
          <w:szCs w:val="24"/>
          <w:lang w:val="en-US"/>
        </w:rPr>
        <w:t>Prechal</w:t>
      </w:r>
      <w:proofErr w:type="spellEnd"/>
      <w:r w:rsidRPr="00121A6A">
        <w:rPr>
          <w:b/>
          <w:bCs/>
          <w:sz w:val="24"/>
          <w:szCs w:val="24"/>
          <w:lang w:val="en-US"/>
        </w:rPr>
        <w:t xml:space="preserve"> 2021</w:t>
      </w:r>
    </w:p>
    <w:p w14:paraId="5F6B440E" w14:textId="4E96C9F0" w:rsidR="00B525F4" w:rsidRPr="00121A6A" w:rsidRDefault="00B525F4" w:rsidP="00030EF2">
      <w:pPr>
        <w:spacing w:after="0"/>
        <w:jc w:val="both"/>
        <w:rPr>
          <w:sz w:val="24"/>
          <w:szCs w:val="24"/>
          <w:lang w:val="en-US"/>
        </w:rPr>
      </w:pPr>
      <w:r w:rsidRPr="00121A6A">
        <w:rPr>
          <w:sz w:val="24"/>
          <w:szCs w:val="24"/>
          <w:lang w:val="en-US"/>
        </w:rPr>
        <w:t xml:space="preserve">S. Peers &amp; A. </w:t>
      </w:r>
      <w:proofErr w:type="spellStart"/>
      <w:r w:rsidRPr="00121A6A">
        <w:rPr>
          <w:sz w:val="24"/>
          <w:szCs w:val="24"/>
          <w:lang w:val="en-US"/>
        </w:rPr>
        <w:t>Prechal</w:t>
      </w:r>
      <w:proofErr w:type="spellEnd"/>
      <w:r w:rsidRPr="00121A6A">
        <w:rPr>
          <w:sz w:val="24"/>
          <w:szCs w:val="24"/>
          <w:lang w:val="en-US"/>
        </w:rPr>
        <w:t xml:space="preserve">, ‘Art. 52 – Scope and Interpretation of Rights and Principles’, in: S. Peers </w:t>
      </w:r>
      <w:proofErr w:type="spellStart"/>
      <w:r w:rsidRPr="00121A6A">
        <w:rPr>
          <w:sz w:val="24"/>
          <w:szCs w:val="24"/>
          <w:lang w:val="en-US"/>
        </w:rPr>
        <w:t>e.a.</w:t>
      </w:r>
      <w:proofErr w:type="spellEnd"/>
      <w:r w:rsidR="00251E6D" w:rsidRPr="00121A6A">
        <w:rPr>
          <w:sz w:val="24"/>
          <w:szCs w:val="24"/>
          <w:lang w:val="en-US"/>
        </w:rPr>
        <w:t xml:space="preserve"> (</w:t>
      </w:r>
      <w:r w:rsidR="00822F7E">
        <w:rPr>
          <w:sz w:val="24"/>
          <w:szCs w:val="24"/>
          <w:lang w:val="en-US"/>
        </w:rPr>
        <w:t>eds</w:t>
      </w:r>
      <w:r w:rsidR="00251E6D" w:rsidRPr="00121A6A">
        <w:rPr>
          <w:sz w:val="24"/>
          <w:szCs w:val="24"/>
          <w:lang w:val="en-US"/>
        </w:rPr>
        <w:t>.)</w:t>
      </w:r>
      <w:r w:rsidRPr="00121A6A">
        <w:rPr>
          <w:sz w:val="24"/>
          <w:szCs w:val="24"/>
          <w:lang w:val="en-US"/>
        </w:rPr>
        <w:t xml:space="preserve">, </w:t>
      </w:r>
      <w:r w:rsidRPr="00121A6A">
        <w:rPr>
          <w:i/>
          <w:iCs/>
          <w:sz w:val="24"/>
          <w:szCs w:val="24"/>
          <w:lang w:val="en-US"/>
        </w:rPr>
        <w:t xml:space="preserve">The EU Charter of Fundamental Rights: </w:t>
      </w:r>
      <w:r w:rsidR="000A53D3">
        <w:rPr>
          <w:i/>
          <w:iCs/>
          <w:sz w:val="24"/>
          <w:szCs w:val="24"/>
          <w:lang w:val="en-US"/>
        </w:rPr>
        <w:t>A</w:t>
      </w:r>
      <w:r w:rsidRPr="00121A6A">
        <w:rPr>
          <w:i/>
          <w:iCs/>
          <w:sz w:val="24"/>
          <w:szCs w:val="24"/>
          <w:lang w:val="en-US"/>
        </w:rPr>
        <w:t xml:space="preserve"> commentary, </w:t>
      </w:r>
      <w:r w:rsidRPr="00121A6A">
        <w:rPr>
          <w:sz w:val="24"/>
          <w:szCs w:val="24"/>
          <w:lang w:val="en-US"/>
        </w:rPr>
        <w:t>Oxford</w:t>
      </w:r>
      <w:r w:rsidR="00D160AE" w:rsidRPr="00121A6A">
        <w:rPr>
          <w:sz w:val="24"/>
          <w:szCs w:val="24"/>
          <w:lang w:val="en-US"/>
        </w:rPr>
        <w:t xml:space="preserve">, </w:t>
      </w:r>
      <w:r w:rsidR="00822F7E">
        <w:rPr>
          <w:sz w:val="24"/>
          <w:szCs w:val="24"/>
          <w:lang w:val="en-US"/>
        </w:rPr>
        <w:t>UK</w:t>
      </w:r>
      <w:r w:rsidRPr="00121A6A">
        <w:rPr>
          <w:sz w:val="24"/>
          <w:szCs w:val="24"/>
          <w:lang w:val="en-US"/>
        </w:rPr>
        <w:t>: Hart Publishing 2021.</w:t>
      </w:r>
    </w:p>
    <w:p w14:paraId="53A42811" w14:textId="77777777" w:rsidR="00213477" w:rsidRPr="00121A6A" w:rsidRDefault="00213477" w:rsidP="00030EF2">
      <w:pPr>
        <w:spacing w:after="0"/>
        <w:jc w:val="both"/>
        <w:rPr>
          <w:sz w:val="24"/>
          <w:szCs w:val="24"/>
          <w:lang w:val="en-US"/>
        </w:rPr>
      </w:pPr>
    </w:p>
    <w:p w14:paraId="6CFB8F38" w14:textId="3D52F74B" w:rsidR="00213477" w:rsidRPr="00121A6A" w:rsidRDefault="00213477" w:rsidP="00030EF2">
      <w:pPr>
        <w:spacing w:after="0"/>
        <w:jc w:val="both"/>
        <w:rPr>
          <w:b/>
          <w:bCs/>
          <w:sz w:val="24"/>
          <w:szCs w:val="24"/>
        </w:rPr>
      </w:pPr>
      <w:proofErr w:type="spellStart"/>
      <w:r w:rsidRPr="00121A6A">
        <w:rPr>
          <w:b/>
          <w:bCs/>
          <w:sz w:val="24"/>
          <w:szCs w:val="24"/>
        </w:rPr>
        <w:t>Pennings</w:t>
      </w:r>
      <w:proofErr w:type="spellEnd"/>
      <w:r w:rsidRPr="00121A6A">
        <w:rPr>
          <w:b/>
          <w:bCs/>
          <w:sz w:val="24"/>
          <w:szCs w:val="24"/>
        </w:rPr>
        <w:t xml:space="preserve">, </w:t>
      </w:r>
      <w:proofErr w:type="spellStart"/>
      <w:r w:rsidRPr="00121A6A">
        <w:rPr>
          <w:b/>
          <w:bCs/>
          <w:i/>
          <w:iCs/>
          <w:sz w:val="24"/>
          <w:szCs w:val="24"/>
        </w:rPr>
        <w:t>N</w:t>
      </w:r>
      <w:r w:rsidR="00577940" w:rsidRPr="00121A6A">
        <w:rPr>
          <w:b/>
          <w:bCs/>
          <w:i/>
          <w:iCs/>
          <w:sz w:val="24"/>
          <w:szCs w:val="24"/>
        </w:rPr>
        <w:t>t</w:t>
      </w:r>
      <w:r w:rsidRPr="00121A6A">
        <w:rPr>
          <w:b/>
          <w:bCs/>
          <w:i/>
          <w:iCs/>
          <w:sz w:val="24"/>
          <w:szCs w:val="24"/>
        </w:rPr>
        <w:t>E</w:t>
      </w:r>
      <w:r w:rsidR="0043270C" w:rsidRPr="00121A6A">
        <w:rPr>
          <w:b/>
          <w:bCs/>
          <w:i/>
          <w:iCs/>
          <w:sz w:val="24"/>
          <w:szCs w:val="24"/>
        </w:rPr>
        <w:t>r</w:t>
      </w:r>
      <w:proofErr w:type="spellEnd"/>
      <w:r w:rsidRPr="00121A6A">
        <w:rPr>
          <w:b/>
          <w:bCs/>
          <w:sz w:val="24"/>
          <w:szCs w:val="24"/>
        </w:rPr>
        <w:t xml:space="preserve"> 2017</w:t>
      </w:r>
    </w:p>
    <w:p w14:paraId="33EC3E2E" w14:textId="28640A75" w:rsidR="00213477" w:rsidRPr="00121A6A" w:rsidRDefault="00213477" w:rsidP="00030EF2">
      <w:pPr>
        <w:spacing w:after="0"/>
        <w:jc w:val="both"/>
        <w:rPr>
          <w:sz w:val="24"/>
          <w:szCs w:val="24"/>
        </w:rPr>
      </w:pPr>
      <w:r w:rsidRPr="00121A6A">
        <w:rPr>
          <w:sz w:val="24"/>
          <w:szCs w:val="24"/>
        </w:rPr>
        <w:t xml:space="preserve">F.J.L. </w:t>
      </w:r>
      <w:proofErr w:type="spellStart"/>
      <w:r w:rsidR="00030EE0" w:rsidRPr="00121A6A">
        <w:rPr>
          <w:sz w:val="24"/>
          <w:szCs w:val="24"/>
        </w:rPr>
        <w:t>Pennings</w:t>
      </w:r>
      <w:proofErr w:type="spellEnd"/>
      <w:r w:rsidR="00030EE0" w:rsidRPr="00121A6A">
        <w:rPr>
          <w:sz w:val="24"/>
          <w:szCs w:val="24"/>
        </w:rPr>
        <w:t xml:space="preserve">, ‘Een Europese pijler van sociale rechten’, </w:t>
      </w:r>
      <w:proofErr w:type="spellStart"/>
      <w:r w:rsidR="00030EE0" w:rsidRPr="00121A6A">
        <w:rPr>
          <w:i/>
          <w:iCs/>
          <w:sz w:val="24"/>
          <w:szCs w:val="24"/>
        </w:rPr>
        <w:t>N</w:t>
      </w:r>
      <w:r w:rsidR="00577940" w:rsidRPr="00121A6A">
        <w:rPr>
          <w:i/>
          <w:iCs/>
          <w:sz w:val="24"/>
          <w:szCs w:val="24"/>
        </w:rPr>
        <w:t>t</w:t>
      </w:r>
      <w:r w:rsidR="00030EE0" w:rsidRPr="00121A6A">
        <w:rPr>
          <w:i/>
          <w:iCs/>
          <w:sz w:val="24"/>
          <w:szCs w:val="24"/>
        </w:rPr>
        <w:t>ER</w:t>
      </w:r>
      <w:proofErr w:type="spellEnd"/>
      <w:r w:rsidR="00030EE0" w:rsidRPr="00121A6A">
        <w:rPr>
          <w:sz w:val="24"/>
          <w:szCs w:val="24"/>
        </w:rPr>
        <w:t xml:space="preserve"> 2017</w:t>
      </w:r>
      <w:r w:rsidR="0043270C" w:rsidRPr="00121A6A">
        <w:rPr>
          <w:sz w:val="24"/>
          <w:szCs w:val="24"/>
        </w:rPr>
        <w:t xml:space="preserve">, afl. </w:t>
      </w:r>
      <w:r w:rsidR="00030EE0" w:rsidRPr="00121A6A">
        <w:rPr>
          <w:sz w:val="24"/>
          <w:szCs w:val="24"/>
        </w:rPr>
        <w:t>9</w:t>
      </w:r>
      <w:r w:rsidR="0043270C" w:rsidRPr="00121A6A">
        <w:rPr>
          <w:sz w:val="24"/>
          <w:szCs w:val="24"/>
        </w:rPr>
        <w:t>/</w:t>
      </w:r>
      <w:r w:rsidR="00030EE0" w:rsidRPr="00121A6A">
        <w:rPr>
          <w:sz w:val="24"/>
          <w:szCs w:val="24"/>
        </w:rPr>
        <w:t>10, p. 233-240.</w:t>
      </w:r>
    </w:p>
    <w:p w14:paraId="737E1AE8" w14:textId="77777777" w:rsidR="003113BE" w:rsidRPr="00121A6A" w:rsidRDefault="003113BE" w:rsidP="00030EF2">
      <w:pPr>
        <w:spacing w:after="0"/>
        <w:jc w:val="both"/>
        <w:rPr>
          <w:sz w:val="24"/>
          <w:szCs w:val="24"/>
        </w:rPr>
      </w:pPr>
    </w:p>
    <w:p w14:paraId="3D2B22CC" w14:textId="3AE2C978" w:rsidR="003113BE" w:rsidRPr="00121A6A" w:rsidRDefault="003113BE" w:rsidP="00030EF2">
      <w:pPr>
        <w:spacing w:after="0"/>
        <w:jc w:val="both"/>
        <w:rPr>
          <w:b/>
          <w:bCs/>
          <w:sz w:val="24"/>
          <w:szCs w:val="24"/>
        </w:rPr>
      </w:pPr>
      <w:proofErr w:type="spellStart"/>
      <w:r w:rsidRPr="00121A6A">
        <w:rPr>
          <w:b/>
          <w:bCs/>
          <w:sz w:val="24"/>
          <w:szCs w:val="24"/>
        </w:rPr>
        <w:t>Pennings</w:t>
      </w:r>
      <w:proofErr w:type="spellEnd"/>
      <w:r w:rsidRPr="00121A6A">
        <w:rPr>
          <w:b/>
          <w:bCs/>
          <w:sz w:val="24"/>
          <w:szCs w:val="24"/>
        </w:rPr>
        <w:t xml:space="preserve">, </w:t>
      </w:r>
      <w:r w:rsidRPr="00121A6A">
        <w:rPr>
          <w:b/>
          <w:bCs/>
          <w:i/>
          <w:iCs/>
          <w:sz w:val="24"/>
          <w:szCs w:val="24"/>
        </w:rPr>
        <w:t xml:space="preserve">TRA </w:t>
      </w:r>
      <w:r w:rsidRPr="00121A6A">
        <w:rPr>
          <w:b/>
          <w:bCs/>
          <w:sz w:val="24"/>
          <w:szCs w:val="24"/>
        </w:rPr>
        <w:t>2022/4</w:t>
      </w:r>
    </w:p>
    <w:p w14:paraId="4A3D928B" w14:textId="438B2128" w:rsidR="003113BE" w:rsidRPr="00121A6A" w:rsidRDefault="003113BE" w:rsidP="003113BE">
      <w:pPr>
        <w:spacing w:after="0"/>
        <w:jc w:val="both"/>
        <w:rPr>
          <w:sz w:val="24"/>
          <w:szCs w:val="24"/>
        </w:rPr>
      </w:pPr>
      <w:r w:rsidRPr="00121A6A">
        <w:rPr>
          <w:sz w:val="24"/>
          <w:szCs w:val="24"/>
        </w:rPr>
        <w:t xml:space="preserve">F.J.L. </w:t>
      </w:r>
      <w:proofErr w:type="spellStart"/>
      <w:r w:rsidRPr="00121A6A">
        <w:rPr>
          <w:sz w:val="24"/>
          <w:szCs w:val="24"/>
        </w:rPr>
        <w:t>Pennings</w:t>
      </w:r>
      <w:proofErr w:type="spellEnd"/>
      <w:r w:rsidRPr="00121A6A">
        <w:rPr>
          <w:sz w:val="24"/>
          <w:szCs w:val="24"/>
        </w:rPr>
        <w:t xml:space="preserve">, ‘Heeft het Handvest van de Grondrechten van de EU meerwaarde?’, </w:t>
      </w:r>
      <w:r w:rsidRPr="00121A6A">
        <w:rPr>
          <w:i/>
          <w:iCs/>
          <w:sz w:val="24"/>
          <w:szCs w:val="24"/>
        </w:rPr>
        <w:t>Tijdschrift Recht en Arbeid</w:t>
      </w:r>
      <w:r w:rsidRPr="00121A6A">
        <w:rPr>
          <w:sz w:val="24"/>
          <w:szCs w:val="24"/>
        </w:rPr>
        <w:t xml:space="preserve"> 2022/4, afl. 1, p. 16-22.</w:t>
      </w:r>
    </w:p>
    <w:p w14:paraId="3F0660B8" w14:textId="77777777" w:rsidR="007B3338" w:rsidRPr="00121A6A" w:rsidRDefault="007B3338" w:rsidP="00030EF2">
      <w:pPr>
        <w:spacing w:after="0"/>
        <w:jc w:val="both"/>
        <w:rPr>
          <w:sz w:val="24"/>
          <w:szCs w:val="24"/>
        </w:rPr>
      </w:pPr>
    </w:p>
    <w:p w14:paraId="10CDFF03" w14:textId="058E229C" w:rsidR="00886F8F" w:rsidRPr="00121A6A" w:rsidRDefault="00886F8F" w:rsidP="00030EF2">
      <w:pPr>
        <w:spacing w:after="0"/>
        <w:jc w:val="both"/>
        <w:rPr>
          <w:b/>
          <w:bCs/>
          <w:sz w:val="24"/>
          <w:szCs w:val="24"/>
        </w:rPr>
      </w:pPr>
      <w:proofErr w:type="spellStart"/>
      <w:r w:rsidRPr="00121A6A">
        <w:rPr>
          <w:b/>
          <w:bCs/>
          <w:sz w:val="24"/>
          <w:szCs w:val="24"/>
        </w:rPr>
        <w:t>Pennings</w:t>
      </w:r>
      <w:proofErr w:type="spellEnd"/>
      <w:r w:rsidRPr="00121A6A">
        <w:rPr>
          <w:b/>
          <w:bCs/>
          <w:sz w:val="24"/>
          <w:szCs w:val="24"/>
        </w:rPr>
        <w:t xml:space="preserve"> &amp; Peters</w:t>
      </w:r>
      <w:r w:rsidR="006E4AE5" w:rsidRPr="00121A6A">
        <w:rPr>
          <w:b/>
          <w:bCs/>
          <w:sz w:val="24"/>
          <w:szCs w:val="24"/>
        </w:rPr>
        <w:t xml:space="preserve"> </w:t>
      </w:r>
      <w:r w:rsidRPr="00121A6A">
        <w:rPr>
          <w:b/>
          <w:bCs/>
          <w:sz w:val="24"/>
          <w:szCs w:val="24"/>
        </w:rPr>
        <w:t>2021</w:t>
      </w:r>
    </w:p>
    <w:p w14:paraId="5ED97E24" w14:textId="186E57E1" w:rsidR="007F56DA" w:rsidRPr="00121A6A" w:rsidRDefault="007F56DA" w:rsidP="00030EF2">
      <w:pPr>
        <w:spacing w:after="0"/>
        <w:jc w:val="both"/>
        <w:rPr>
          <w:sz w:val="24"/>
          <w:szCs w:val="24"/>
        </w:rPr>
      </w:pPr>
      <w:r w:rsidRPr="00121A6A">
        <w:rPr>
          <w:sz w:val="24"/>
          <w:szCs w:val="24"/>
        </w:rPr>
        <w:t xml:space="preserve">F.J.L. </w:t>
      </w:r>
      <w:proofErr w:type="spellStart"/>
      <w:r w:rsidRPr="00121A6A">
        <w:rPr>
          <w:sz w:val="24"/>
          <w:szCs w:val="24"/>
        </w:rPr>
        <w:t>Pennings</w:t>
      </w:r>
      <w:proofErr w:type="spellEnd"/>
      <w:r w:rsidRPr="00121A6A">
        <w:rPr>
          <w:sz w:val="24"/>
          <w:szCs w:val="24"/>
        </w:rPr>
        <w:t xml:space="preserve"> &amp; S.S.M. Peters (red.), </w:t>
      </w:r>
      <w:r w:rsidRPr="00121A6A">
        <w:rPr>
          <w:i/>
          <w:iCs/>
          <w:sz w:val="24"/>
          <w:szCs w:val="24"/>
        </w:rPr>
        <w:t>Europees arbeidsrecht (Monografieën</w:t>
      </w:r>
      <w:r w:rsidRPr="00121A6A">
        <w:rPr>
          <w:sz w:val="24"/>
          <w:szCs w:val="24"/>
        </w:rPr>
        <w:t xml:space="preserve"> </w:t>
      </w:r>
      <w:r w:rsidRPr="00121A6A">
        <w:rPr>
          <w:i/>
          <w:iCs/>
          <w:sz w:val="24"/>
          <w:szCs w:val="24"/>
        </w:rPr>
        <w:t>Sociaal Recht nr. 2</w:t>
      </w:r>
      <w:r w:rsidRPr="00121A6A">
        <w:rPr>
          <w:sz w:val="24"/>
          <w:szCs w:val="24"/>
        </w:rPr>
        <w:t>), Deventer: Wolters Kluwer 2021.</w:t>
      </w:r>
    </w:p>
    <w:p w14:paraId="40BFC9E1" w14:textId="77777777" w:rsidR="005C4A7B" w:rsidRPr="00121A6A" w:rsidRDefault="005C4A7B" w:rsidP="00030EF2">
      <w:pPr>
        <w:spacing w:after="0"/>
        <w:jc w:val="both"/>
        <w:rPr>
          <w:sz w:val="24"/>
          <w:szCs w:val="24"/>
        </w:rPr>
      </w:pPr>
    </w:p>
    <w:p w14:paraId="46C77D62" w14:textId="598AE4FB" w:rsidR="005C4A7B" w:rsidRPr="00121A6A" w:rsidRDefault="005C4A7B" w:rsidP="00030EF2">
      <w:pPr>
        <w:spacing w:after="0"/>
        <w:jc w:val="both"/>
        <w:rPr>
          <w:b/>
          <w:bCs/>
          <w:sz w:val="24"/>
          <w:szCs w:val="24"/>
          <w:lang w:val="en-US"/>
        </w:rPr>
      </w:pPr>
      <w:r w:rsidRPr="00121A6A">
        <w:rPr>
          <w:b/>
          <w:bCs/>
          <w:sz w:val="24"/>
          <w:szCs w:val="24"/>
          <w:lang w:val="en-US"/>
        </w:rPr>
        <w:t xml:space="preserve">Picard, </w:t>
      </w:r>
      <w:r w:rsidRPr="00121A6A">
        <w:rPr>
          <w:b/>
          <w:bCs/>
          <w:i/>
          <w:iCs/>
          <w:sz w:val="24"/>
          <w:szCs w:val="24"/>
          <w:lang w:val="en-US"/>
        </w:rPr>
        <w:t>ERLR</w:t>
      </w:r>
      <w:r w:rsidRPr="00121A6A">
        <w:rPr>
          <w:b/>
          <w:bCs/>
          <w:sz w:val="24"/>
          <w:szCs w:val="24"/>
          <w:lang w:val="en-US"/>
        </w:rPr>
        <w:t xml:space="preserve"> 2008</w:t>
      </w:r>
    </w:p>
    <w:p w14:paraId="60FE08EA" w14:textId="3B9BED1D" w:rsidR="005C4A7B" w:rsidRPr="00121A6A" w:rsidRDefault="005C4A7B" w:rsidP="00030EF2">
      <w:pPr>
        <w:spacing w:after="0"/>
        <w:jc w:val="both"/>
        <w:rPr>
          <w:sz w:val="24"/>
          <w:szCs w:val="24"/>
          <w:lang w:val="en-US"/>
        </w:rPr>
      </w:pPr>
      <w:r w:rsidRPr="00121A6A">
        <w:rPr>
          <w:sz w:val="24"/>
          <w:szCs w:val="24"/>
          <w:lang w:val="en-US"/>
        </w:rPr>
        <w:t xml:space="preserve">S. Picard, ‘Collective action vs free movement. The </w:t>
      </w:r>
      <w:r w:rsidRPr="00121A6A">
        <w:rPr>
          <w:i/>
          <w:iCs/>
          <w:sz w:val="24"/>
          <w:szCs w:val="24"/>
          <w:lang w:val="en-US"/>
        </w:rPr>
        <w:t>Laval</w:t>
      </w:r>
      <w:r w:rsidRPr="00121A6A">
        <w:rPr>
          <w:sz w:val="24"/>
          <w:szCs w:val="24"/>
          <w:lang w:val="en-US"/>
        </w:rPr>
        <w:t xml:space="preserve"> and the </w:t>
      </w:r>
      <w:r w:rsidRPr="00121A6A">
        <w:rPr>
          <w:i/>
          <w:iCs/>
          <w:sz w:val="24"/>
          <w:szCs w:val="24"/>
          <w:lang w:val="en-US"/>
        </w:rPr>
        <w:t>Viking</w:t>
      </w:r>
      <w:r w:rsidRPr="00121A6A">
        <w:rPr>
          <w:sz w:val="24"/>
          <w:szCs w:val="24"/>
          <w:lang w:val="en-US"/>
        </w:rPr>
        <w:t xml:space="preserve"> cases’, </w:t>
      </w:r>
      <w:r w:rsidRPr="00121A6A">
        <w:rPr>
          <w:i/>
          <w:iCs/>
          <w:sz w:val="24"/>
          <w:szCs w:val="24"/>
          <w:lang w:val="en-US"/>
        </w:rPr>
        <w:t xml:space="preserve">Transfer: European Review of </w:t>
      </w:r>
      <w:proofErr w:type="spellStart"/>
      <w:r w:rsidRPr="00121A6A">
        <w:rPr>
          <w:i/>
          <w:iCs/>
          <w:sz w:val="24"/>
          <w:szCs w:val="24"/>
          <w:lang w:val="en-US"/>
        </w:rPr>
        <w:t>Labour</w:t>
      </w:r>
      <w:proofErr w:type="spellEnd"/>
      <w:r w:rsidRPr="00121A6A">
        <w:rPr>
          <w:i/>
          <w:iCs/>
          <w:sz w:val="24"/>
          <w:szCs w:val="24"/>
          <w:lang w:val="en-US"/>
        </w:rPr>
        <w:t xml:space="preserve"> and Research</w:t>
      </w:r>
      <w:r w:rsidRPr="00121A6A">
        <w:rPr>
          <w:sz w:val="24"/>
          <w:szCs w:val="24"/>
          <w:lang w:val="en-US"/>
        </w:rPr>
        <w:t xml:space="preserve"> 2008</w:t>
      </w:r>
      <w:r w:rsidR="0043270C" w:rsidRPr="00121A6A">
        <w:rPr>
          <w:sz w:val="24"/>
          <w:szCs w:val="24"/>
          <w:lang w:val="en-US"/>
        </w:rPr>
        <w:t xml:space="preserve">, </w:t>
      </w:r>
      <w:proofErr w:type="spellStart"/>
      <w:r w:rsidR="0043270C" w:rsidRPr="00121A6A">
        <w:rPr>
          <w:sz w:val="24"/>
          <w:szCs w:val="24"/>
          <w:lang w:val="en-US"/>
        </w:rPr>
        <w:t>afl</w:t>
      </w:r>
      <w:proofErr w:type="spellEnd"/>
      <w:r w:rsidR="0043270C" w:rsidRPr="00121A6A">
        <w:rPr>
          <w:sz w:val="24"/>
          <w:szCs w:val="24"/>
          <w:lang w:val="en-US"/>
        </w:rPr>
        <w:t xml:space="preserve">. </w:t>
      </w:r>
      <w:r w:rsidRPr="00121A6A">
        <w:rPr>
          <w:sz w:val="24"/>
          <w:szCs w:val="24"/>
          <w:lang w:val="en-US"/>
        </w:rPr>
        <w:t>1, p. 160-165.</w:t>
      </w:r>
    </w:p>
    <w:p w14:paraId="0C04FE81" w14:textId="77777777" w:rsidR="000916AE" w:rsidRPr="00121A6A" w:rsidRDefault="000916AE" w:rsidP="00030EF2">
      <w:pPr>
        <w:spacing w:after="0"/>
        <w:jc w:val="both"/>
        <w:rPr>
          <w:sz w:val="24"/>
          <w:szCs w:val="24"/>
          <w:lang w:val="en-US"/>
        </w:rPr>
      </w:pPr>
    </w:p>
    <w:p w14:paraId="5A3B5BCF" w14:textId="1150B6A1" w:rsidR="000916AE" w:rsidRPr="00121A6A" w:rsidRDefault="000916AE" w:rsidP="00030EF2">
      <w:pPr>
        <w:spacing w:after="0"/>
        <w:jc w:val="both"/>
        <w:rPr>
          <w:b/>
          <w:bCs/>
          <w:sz w:val="24"/>
          <w:szCs w:val="24"/>
          <w:lang w:val="en-US"/>
        </w:rPr>
      </w:pPr>
      <w:proofErr w:type="spellStart"/>
      <w:r w:rsidRPr="00121A6A">
        <w:rPr>
          <w:b/>
          <w:bCs/>
          <w:sz w:val="24"/>
          <w:szCs w:val="24"/>
          <w:lang w:val="en-US"/>
        </w:rPr>
        <w:t>Prechal</w:t>
      </w:r>
      <w:proofErr w:type="spellEnd"/>
      <w:r w:rsidRPr="00121A6A">
        <w:rPr>
          <w:b/>
          <w:bCs/>
          <w:sz w:val="24"/>
          <w:szCs w:val="24"/>
          <w:lang w:val="en-US"/>
        </w:rPr>
        <w:t>,</w:t>
      </w:r>
      <w:r w:rsidRPr="00121A6A">
        <w:rPr>
          <w:b/>
          <w:bCs/>
          <w:i/>
          <w:iCs/>
          <w:sz w:val="24"/>
          <w:szCs w:val="24"/>
          <w:lang w:val="en-US"/>
        </w:rPr>
        <w:t xml:space="preserve"> CMLR </w:t>
      </w:r>
      <w:r w:rsidRPr="00121A6A">
        <w:rPr>
          <w:b/>
          <w:bCs/>
          <w:sz w:val="24"/>
          <w:szCs w:val="24"/>
          <w:lang w:val="en-US"/>
        </w:rPr>
        <w:t>1998</w:t>
      </w:r>
    </w:p>
    <w:p w14:paraId="53D25298" w14:textId="659955E5" w:rsidR="000916AE" w:rsidRPr="00121A6A" w:rsidRDefault="000916AE" w:rsidP="00030EF2">
      <w:pPr>
        <w:spacing w:after="0"/>
        <w:jc w:val="both"/>
        <w:rPr>
          <w:sz w:val="24"/>
          <w:szCs w:val="24"/>
          <w:lang w:val="en-GB"/>
        </w:rPr>
      </w:pPr>
      <w:r w:rsidRPr="00121A6A">
        <w:rPr>
          <w:sz w:val="24"/>
          <w:szCs w:val="24"/>
          <w:lang w:val="en-GB"/>
        </w:rPr>
        <w:t xml:space="preserve">S. </w:t>
      </w:r>
      <w:proofErr w:type="spellStart"/>
      <w:r w:rsidRPr="00121A6A">
        <w:rPr>
          <w:sz w:val="24"/>
          <w:szCs w:val="24"/>
          <w:lang w:val="en-GB"/>
        </w:rPr>
        <w:t>Prechal</w:t>
      </w:r>
      <w:proofErr w:type="spellEnd"/>
      <w:r w:rsidRPr="00121A6A">
        <w:rPr>
          <w:sz w:val="24"/>
          <w:szCs w:val="24"/>
          <w:lang w:val="en-GB"/>
        </w:rPr>
        <w:t xml:space="preserve">, ‘Community </w:t>
      </w:r>
      <w:r w:rsidR="001C06DA" w:rsidRPr="00121A6A">
        <w:rPr>
          <w:sz w:val="24"/>
          <w:szCs w:val="24"/>
          <w:lang w:val="en-GB"/>
        </w:rPr>
        <w:t>L</w:t>
      </w:r>
      <w:r w:rsidRPr="00121A6A">
        <w:rPr>
          <w:sz w:val="24"/>
          <w:szCs w:val="24"/>
          <w:lang w:val="en-GB"/>
        </w:rPr>
        <w:t xml:space="preserve">aw in </w:t>
      </w:r>
      <w:r w:rsidR="001C06DA" w:rsidRPr="00121A6A">
        <w:rPr>
          <w:sz w:val="24"/>
          <w:szCs w:val="24"/>
          <w:lang w:val="en-GB"/>
        </w:rPr>
        <w:t>N</w:t>
      </w:r>
      <w:r w:rsidRPr="00121A6A">
        <w:rPr>
          <w:sz w:val="24"/>
          <w:szCs w:val="24"/>
          <w:lang w:val="en-GB"/>
        </w:rPr>
        <w:t xml:space="preserve">ational </w:t>
      </w:r>
      <w:r w:rsidR="001C06DA" w:rsidRPr="00121A6A">
        <w:rPr>
          <w:sz w:val="24"/>
          <w:szCs w:val="24"/>
          <w:lang w:val="en-GB"/>
        </w:rPr>
        <w:t>C</w:t>
      </w:r>
      <w:r w:rsidRPr="00121A6A">
        <w:rPr>
          <w:sz w:val="24"/>
          <w:szCs w:val="24"/>
          <w:lang w:val="en-GB"/>
        </w:rPr>
        <w:t xml:space="preserve">ourts: the </w:t>
      </w:r>
      <w:r w:rsidR="001C06DA" w:rsidRPr="00121A6A">
        <w:rPr>
          <w:sz w:val="24"/>
          <w:szCs w:val="24"/>
          <w:lang w:val="en-GB"/>
        </w:rPr>
        <w:t>L</w:t>
      </w:r>
      <w:r w:rsidRPr="00121A6A">
        <w:rPr>
          <w:sz w:val="24"/>
          <w:szCs w:val="24"/>
          <w:lang w:val="en-GB"/>
        </w:rPr>
        <w:t xml:space="preserve">essons from Van </w:t>
      </w:r>
      <w:proofErr w:type="spellStart"/>
      <w:r w:rsidRPr="00121A6A">
        <w:rPr>
          <w:sz w:val="24"/>
          <w:szCs w:val="24"/>
          <w:lang w:val="en-GB"/>
        </w:rPr>
        <w:t>Schijndel</w:t>
      </w:r>
      <w:proofErr w:type="spellEnd"/>
      <w:r w:rsidRPr="00121A6A">
        <w:rPr>
          <w:sz w:val="24"/>
          <w:szCs w:val="24"/>
          <w:lang w:val="en-GB"/>
        </w:rPr>
        <w:t xml:space="preserve">’, </w:t>
      </w:r>
      <w:r w:rsidRPr="00121A6A">
        <w:rPr>
          <w:i/>
          <w:iCs/>
          <w:sz w:val="24"/>
          <w:szCs w:val="24"/>
          <w:lang w:val="en-GB"/>
        </w:rPr>
        <w:t>Common Market Law Review</w:t>
      </w:r>
      <w:r w:rsidRPr="00121A6A">
        <w:rPr>
          <w:sz w:val="24"/>
          <w:szCs w:val="24"/>
          <w:lang w:val="en-GB"/>
        </w:rPr>
        <w:t xml:space="preserve"> 1998</w:t>
      </w:r>
      <w:r w:rsidR="000E098C" w:rsidRPr="00121A6A">
        <w:rPr>
          <w:sz w:val="24"/>
          <w:szCs w:val="24"/>
          <w:lang w:val="en-GB"/>
        </w:rPr>
        <w:t xml:space="preserve">, </w:t>
      </w:r>
      <w:proofErr w:type="spellStart"/>
      <w:r w:rsidR="000E098C" w:rsidRPr="00121A6A">
        <w:rPr>
          <w:sz w:val="24"/>
          <w:szCs w:val="24"/>
          <w:lang w:val="en-GB"/>
        </w:rPr>
        <w:t>afl</w:t>
      </w:r>
      <w:proofErr w:type="spellEnd"/>
      <w:r w:rsidR="000E098C" w:rsidRPr="00121A6A">
        <w:rPr>
          <w:sz w:val="24"/>
          <w:szCs w:val="24"/>
          <w:lang w:val="en-GB"/>
        </w:rPr>
        <w:t xml:space="preserve">. </w:t>
      </w:r>
      <w:r w:rsidRPr="00121A6A">
        <w:rPr>
          <w:sz w:val="24"/>
          <w:szCs w:val="24"/>
          <w:lang w:val="en-GB"/>
        </w:rPr>
        <w:t>3,</w:t>
      </w:r>
      <w:r w:rsidR="00662C28" w:rsidRPr="00121A6A">
        <w:rPr>
          <w:sz w:val="24"/>
          <w:szCs w:val="24"/>
          <w:lang w:val="en-GB"/>
        </w:rPr>
        <w:t xml:space="preserve"> </w:t>
      </w:r>
      <w:r w:rsidRPr="00121A6A">
        <w:rPr>
          <w:sz w:val="24"/>
          <w:szCs w:val="24"/>
          <w:lang w:val="en-GB"/>
        </w:rPr>
        <w:t>p. 681-706.</w:t>
      </w:r>
    </w:p>
    <w:p w14:paraId="2D931AFC" w14:textId="77777777" w:rsidR="00604C68" w:rsidRPr="00121A6A" w:rsidRDefault="00604C68" w:rsidP="00030EF2">
      <w:pPr>
        <w:spacing w:after="0"/>
        <w:jc w:val="both"/>
        <w:rPr>
          <w:sz w:val="24"/>
          <w:szCs w:val="24"/>
          <w:lang w:val="en-US"/>
        </w:rPr>
      </w:pPr>
    </w:p>
    <w:p w14:paraId="4747A89B" w14:textId="2A5D8DF1" w:rsidR="00604C68" w:rsidRPr="00121A6A" w:rsidRDefault="00604C68" w:rsidP="00030EF2">
      <w:pPr>
        <w:spacing w:after="0"/>
        <w:jc w:val="both"/>
        <w:rPr>
          <w:b/>
          <w:bCs/>
          <w:sz w:val="24"/>
          <w:szCs w:val="24"/>
          <w:lang w:val="en-US"/>
        </w:rPr>
      </w:pPr>
      <w:proofErr w:type="spellStart"/>
      <w:r w:rsidRPr="00121A6A">
        <w:rPr>
          <w:b/>
          <w:bCs/>
          <w:sz w:val="24"/>
          <w:szCs w:val="24"/>
          <w:lang w:val="en-US"/>
        </w:rPr>
        <w:t>Prechal</w:t>
      </w:r>
      <w:proofErr w:type="spellEnd"/>
      <w:r w:rsidRPr="00121A6A">
        <w:rPr>
          <w:b/>
          <w:bCs/>
          <w:sz w:val="24"/>
          <w:szCs w:val="24"/>
          <w:lang w:val="en-US"/>
        </w:rPr>
        <w:t xml:space="preserve">, </w:t>
      </w:r>
      <w:r w:rsidRPr="00121A6A">
        <w:rPr>
          <w:b/>
          <w:bCs/>
          <w:i/>
          <w:iCs/>
          <w:sz w:val="24"/>
          <w:szCs w:val="24"/>
          <w:lang w:val="en-US"/>
        </w:rPr>
        <w:t>RDCE</w:t>
      </w:r>
      <w:r w:rsidRPr="00121A6A">
        <w:rPr>
          <w:b/>
          <w:bCs/>
          <w:sz w:val="24"/>
          <w:szCs w:val="24"/>
          <w:lang w:val="en-US"/>
        </w:rPr>
        <w:t xml:space="preserve"> 2020</w:t>
      </w:r>
    </w:p>
    <w:p w14:paraId="1CF29C8F" w14:textId="3B6944EB" w:rsidR="00604C68" w:rsidRPr="00121A6A" w:rsidRDefault="00604C68" w:rsidP="00030EF2">
      <w:pPr>
        <w:spacing w:after="0"/>
        <w:jc w:val="both"/>
        <w:rPr>
          <w:sz w:val="24"/>
          <w:szCs w:val="24"/>
          <w:lang w:val="en-US"/>
        </w:rPr>
      </w:pPr>
      <w:r w:rsidRPr="00121A6A">
        <w:rPr>
          <w:sz w:val="24"/>
          <w:szCs w:val="24"/>
          <w:lang w:val="en-US"/>
        </w:rPr>
        <w:t xml:space="preserve">S. </w:t>
      </w:r>
      <w:proofErr w:type="spellStart"/>
      <w:r w:rsidRPr="00121A6A">
        <w:rPr>
          <w:sz w:val="24"/>
          <w:szCs w:val="24"/>
          <w:lang w:val="en-US"/>
        </w:rPr>
        <w:t>Prechal</w:t>
      </w:r>
      <w:proofErr w:type="spellEnd"/>
      <w:r w:rsidRPr="00121A6A">
        <w:rPr>
          <w:sz w:val="24"/>
          <w:szCs w:val="24"/>
          <w:lang w:val="en-US"/>
        </w:rPr>
        <w:t xml:space="preserve">, ‘Horizontal Direct Effect of the Charter of Fundamental Rights of the EU’, </w:t>
      </w:r>
      <w:proofErr w:type="spellStart"/>
      <w:r w:rsidRPr="00121A6A">
        <w:rPr>
          <w:i/>
          <w:iCs/>
          <w:sz w:val="24"/>
          <w:szCs w:val="24"/>
          <w:lang w:val="en-US"/>
        </w:rPr>
        <w:t>Revista</w:t>
      </w:r>
      <w:proofErr w:type="spellEnd"/>
      <w:r w:rsidRPr="00121A6A">
        <w:rPr>
          <w:i/>
          <w:iCs/>
          <w:sz w:val="24"/>
          <w:szCs w:val="24"/>
          <w:lang w:val="en-US"/>
        </w:rPr>
        <w:t xml:space="preserve"> de Derecho </w:t>
      </w:r>
      <w:proofErr w:type="spellStart"/>
      <w:r w:rsidRPr="00121A6A">
        <w:rPr>
          <w:i/>
          <w:iCs/>
          <w:sz w:val="24"/>
          <w:szCs w:val="24"/>
          <w:lang w:val="en-US"/>
        </w:rPr>
        <w:t>Comunitario</w:t>
      </w:r>
      <w:proofErr w:type="spellEnd"/>
      <w:r w:rsidRPr="00121A6A">
        <w:rPr>
          <w:i/>
          <w:iCs/>
          <w:sz w:val="24"/>
          <w:szCs w:val="24"/>
          <w:lang w:val="en-US"/>
        </w:rPr>
        <w:t xml:space="preserve"> </w:t>
      </w:r>
      <w:proofErr w:type="spellStart"/>
      <w:r w:rsidRPr="00121A6A">
        <w:rPr>
          <w:i/>
          <w:iCs/>
          <w:sz w:val="24"/>
          <w:szCs w:val="24"/>
          <w:lang w:val="en-US"/>
        </w:rPr>
        <w:t>Europeo</w:t>
      </w:r>
      <w:proofErr w:type="spellEnd"/>
      <w:r w:rsidRPr="00121A6A">
        <w:rPr>
          <w:sz w:val="24"/>
          <w:szCs w:val="24"/>
          <w:lang w:val="en-US"/>
        </w:rPr>
        <w:t xml:space="preserve"> 2020</w:t>
      </w:r>
      <w:r w:rsidR="00BA77F6" w:rsidRPr="00121A6A">
        <w:rPr>
          <w:sz w:val="24"/>
          <w:szCs w:val="24"/>
          <w:lang w:val="en-US"/>
        </w:rPr>
        <w:t xml:space="preserve">, </w:t>
      </w:r>
      <w:proofErr w:type="spellStart"/>
      <w:r w:rsidR="00BA77F6" w:rsidRPr="00121A6A">
        <w:rPr>
          <w:sz w:val="24"/>
          <w:szCs w:val="24"/>
          <w:lang w:val="en-US"/>
        </w:rPr>
        <w:t>afl</w:t>
      </w:r>
      <w:proofErr w:type="spellEnd"/>
      <w:r w:rsidR="00BA77F6" w:rsidRPr="00121A6A">
        <w:rPr>
          <w:sz w:val="24"/>
          <w:szCs w:val="24"/>
          <w:lang w:val="en-US"/>
        </w:rPr>
        <w:t xml:space="preserve">. </w:t>
      </w:r>
      <w:r w:rsidRPr="00121A6A">
        <w:rPr>
          <w:sz w:val="24"/>
          <w:szCs w:val="24"/>
          <w:lang w:val="en-US"/>
        </w:rPr>
        <w:t>66, p. 407-426.</w:t>
      </w:r>
    </w:p>
    <w:p w14:paraId="01C8519E" w14:textId="77777777" w:rsidR="002C597A" w:rsidRPr="00121A6A" w:rsidRDefault="002C597A" w:rsidP="00030EF2">
      <w:pPr>
        <w:spacing w:after="0"/>
        <w:jc w:val="both"/>
        <w:rPr>
          <w:sz w:val="24"/>
          <w:szCs w:val="24"/>
          <w:lang w:val="en-US"/>
        </w:rPr>
      </w:pPr>
    </w:p>
    <w:p w14:paraId="13B9D3F9" w14:textId="6BB0FA37" w:rsidR="007B3338" w:rsidRPr="00121A6A" w:rsidRDefault="00886F8F" w:rsidP="00030EF2">
      <w:pPr>
        <w:spacing w:after="0"/>
        <w:jc w:val="both"/>
        <w:rPr>
          <w:b/>
          <w:bCs/>
          <w:sz w:val="24"/>
          <w:szCs w:val="24"/>
          <w:lang w:val="en-US"/>
        </w:rPr>
      </w:pPr>
      <w:r w:rsidRPr="00121A6A">
        <w:rPr>
          <w:b/>
          <w:bCs/>
          <w:sz w:val="24"/>
          <w:szCs w:val="24"/>
          <w:lang w:val="en-US"/>
        </w:rPr>
        <w:t xml:space="preserve">Reich, </w:t>
      </w:r>
      <w:r w:rsidR="00D0543D" w:rsidRPr="00121A6A">
        <w:rPr>
          <w:b/>
          <w:bCs/>
          <w:i/>
          <w:iCs/>
          <w:sz w:val="24"/>
          <w:szCs w:val="24"/>
          <w:lang w:val="en-US"/>
        </w:rPr>
        <w:t>GLJ</w:t>
      </w:r>
      <w:r w:rsidRPr="00121A6A">
        <w:rPr>
          <w:b/>
          <w:bCs/>
          <w:sz w:val="24"/>
          <w:szCs w:val="24"/>
          <w:lang w:val="en-US"/>
        </w:rPr>
        <w:t xml:space="preserve"> 2008 </w:t>
      </w:r>
    </w:p>
    <w:p w14:paraId="49E4F799" w14:textId="7B1D015F" w:rsidR="002C168A" w:rsidRPr="00217971" w:rsidRDefault="00D0543D" w:rsidP="00030EF2">
      <w:pPr>
        <w:spacing w:after="0"/>
        <w:jc w:val="both"/>
        <w:rPr>
          <w:sz w:val="24"/>
          <w:szCs w:val="24"/>
          <w:lang w:val="en-US"/>
        </w:rPr>
      </w:pPr>
      <w:r w:rsidRPr="00121A6A">
        <w:rPr>
          <w:sz w:val="24"/>
          <w:szCs w:val="24"/>
          <w:lang w:val="en-US"/>
        </w:rPr>
        <w:t xml:space="preserve">N. Reich, ‘Free Movement v. Social Rights in an Enlarged Union – the </w:t>
      </w:r>
      <w:r w:rsidRPr="00121A6A">
        <w:rPr>
          <w:i/>
          <w:iCs/>
          <w:sz w:val="24"/>
          <w:szCs w:val="24"/>
          <w:lang w:val="en-US"/>
        </w:rPr>
        <w:t>Laval</w:t>
      </w:r>
      <w:r w:rsidRPr="00121A6A">
        <w:rPr>
          <w:sz w:val="24"/>
          <w:szCs w:val="24"/>
          <w:lang w:val="en-US"/>
        </w:rPr>
        <w:t xml:space="preserve"> and </w:t>
      </w:r>
      <w:r w:rsidRPr="00121A6A">
        <w:rPr>
          <w:i/>
          <w:iCs/>
          <w:sz w:val="24"/>
          <w:szCs w:val="24"/>
          <w:lang w:val="en-US"/>
        </w:rPr>
        <w:t>Viking</w:t>
      </w:r>
      <w:r w:rsidRPr="00121A6A">
        <w:rPr>
          <w:sz w:val="24"/>
          <w:szCs w:val="24"/>
          <w:lang w:val="en-US"/>
        </w:rPr>
        <w:t xml:space="preserve"> Cases before the ECJ’, </w:t>
      </w:r>
      <w:bookmarkStart w:id="100" w:name="_Hlk155951264"/>
      <w:r w:rsidRPr="00121A6A">
        <w:rPr>
          <w:i/>
          <w:iCs/>
          <w:sz w:val="24"/>
          <w:szCs w:val="24"/>
          <w:lang w:val="en-US"/>
        </w:rPr>
        <w:t xml:space="preserve">German Law Journal </w:t>
      </w:r>
      <w:r w:rsidRPr="00121A6A">
        <w:rPr>
          <w:sz w:val="24"/>
          <w:szCs w:val="24"/>
          <w:lang w:val="en-US"/>
        </w:rPr>
        <w:t>2008</w:t>
      </w:r>
      <w:r w:rsidR="00BA77F6" w:rsidRPr="00121A6A">
        <w:rPr>
          <w:sz w:val="24"/>
          <w:szCs w:val="24"/>
          <w:lang w:val="en-US"/>
        </w:rPr>
        <w:t xml:space="preserve">, </w:t>
      </w:r>
      <w:proofErr w:type="spellStart"/>
      <w:r w:rsidR="00BA77F6" w:rsidRPr="00121A6A">
        <w:rPr>
          <w:sz w:val="24"/>
          <w:szCs w:val="24"/>
          <w:lang w:val="en-US"/>
        </w:rPr>
        <w:t>afl</w:t>
      </w:r>
      <w:proofErr w:type="spellEnd"/>
      <w:r w:rsidR="00BA77F6" w:rsidRPr="00121A6A">
        <w:rPr>
          <w:sz w:val="24"/>
          <w:szCs w:val="24"/>
          <w:lang w:val="en-US"/>
        </w:rPr>
        <w:t>. 2</w:t>
      </w:r>
      <w:r w:rsidRPr="00121A6A">
        <w:rPr>
          <w:sz w:val="24"/>
          <w:szCs w:val="24"/>
          <w:lang w:val="en-US"/>
        </w:rPr>
        <w:t xml:space="preserve">, p. </w:t>
      </w:r>
      <w:bookmarkEnd w:id="100"/>
      <w:r w:rsidRPr="00121A6A">
        <w:rPr>
          <w:sz w:val="24"/>
          <w:szCs w:val="24"/>
          <w:lang w:val="en-US"/>
        </w:rPr>
        <w:t>125-161.</w:t>
      </w:r>
    </w:p>
    <w:p w14:paraId="078D4E53" w14:textId="77777777" w:rsidR="00CD76EA" w:rsidRDefault="00CD76EA" w:rsidP="00030EF2">
      <w:pPr>
        <w:spacing w:after="0"/>
        <w:jc w:val="both"/>
        <w:rPr>
          <w:b/>
          <w:bCs/>
          <w:sz w:val="24"/>
          <w:szCs w:val="24"/>
          <w:lang w:val="en-US"/>
        </w:rPr>
      </w:pPr>
    </w:p>
    <w:p w14:paraId="3418A042" w14:textId="0C0DC6B9" w:rsidR="003113BE" w:rsidRPr="00121A6A" w:rsidRDefault="003113BE" w:rsidP="00030EF2">
      <w:pPr>
        <w:spacing w:after="0"/>
        <w:jc w:val="both"/>
        <w:rPr>
          <w:b/>
          <w:bCs/>
          <w:sz w:val="24"/>
          <w:szCs w:val="24"/>
          <w:lang w:val="en-US"/>
        </w:rPr>
      </w:pPr>
      <w:r w:rsidRPr="00121A6A">
        <w:rPr>
          <w:b/>
          <w:bCs/>
          <w:sz w:val="24"/>
          <w:szCs w:val="24"/>
          <w:lang w:val="en-US"/>
        </w:rPr>
        <w:t>Reynolds 2015</w:t>
      </w:r>
    </w:p>
    <w:p w14:paraId="3259395E" w14:textId="406F5D21" w:rsidR="003113BE" w:rsidRPr="00121A6A" w:rsidRDefault="003113BE" w:rsidP="003113BE">
      <w:pPr>
        <w:spacing w:after="0"/>
        <w:jc w:val="both"/>
        <w:rPr>
          <w:sz w:val="24"/>
          <w:szCs w:val="24"/>
          <w:lang w:val="en-US"/>
        </w:rPr>
      </w:pPr>
      <w:r w:rsidRPr="00121A6A">
        <w:rPr>
          <w:sz w:val="24"/>
          <w:szCs w:val="24"/>
          <w:lang w:val="en-US"/>
        </w:rPr>
        <w:t xml:space="preserve">S. Reynolds, </w:t>
      </w:r>
      <w:r w:rsidRPr="00121A6A">
        <w:rPr>
          <w:i/>
          <w:iCs/>
          <w:sz w:val="24"/>
          <w:szCs w:val="24"/>
          <w:lang w:val="en-US"/>
        </w:rPr>
        <w:t xml:space="preserve">Tipping the scales: exploring structural imbalance in the adjudication of interactions between free movement and fundamental rights </w:t>
      </w:r>
      <w:r w:rsidRPr="00121A6A">
        <w:rPr>
          <w:sz w:val="24"/>
          <w:szCs w:val="24"/>
          <w:lang w:val="en-US"/>
        </w:rPr>
        <w:t>(diss. Liverpool)</w:t>
      </w:r>
      <w:r w:rsidR="00BA77F6" w:rsidRPr="00121A6A">
        <w:rPr>
          <w:sz w:val="24"/>
          <w:szCs w:val="24"/>
          <w:lang w:val="en-US"/>
        </w:rPr>
        <w:t xml:space="preserve">, </w:t>
      </w:r>
      <w:r w:rsidR="00822F7E">
        <w:rPr>
          <w:sz w:val="24"/>
          <w:szCs w:val="24"/>
          <w:lang w:val="en-US"/>
        </w:rPr>
        <w:t xml:space="preserve">Liverpool: University of </w:t>
      </w:r>
      <w:r w:rsidR="00BA77F6" w:rsidRPr="00121A6A">
        <w:rPr>
          <w:sz w:val="24"/>
          <w:szCs w:val="24"/>
          <w:lang w:val="en-US"/>
        </w:rPr>
        <w:t>Liverpool</w:t>
      </w:r>
      <w:r w:rsidRPr="00121A6A">
        <w:rPr>
          <w:sz w:val="24"/>
          <w:szCs w:val="24"/>
          <w:lang w:val="en-US"/>
        </w:rPr>
        <w:t xml:space="preserve"> 2015.</w:t>
      </w:r>
    </w:p>
    <w:p w14:paraId="323A485E" w14:textId="77777777" w:rsidR="00563E97" w:rsidRPr="00121A6A" w:rsidRDefault="00563E97" w:rsidP="003113BE">
      <w:pPr>
        <w:spacing w:after="0"/>
        <w:jc w:val="both"/>
        <w:rPr>
          <w:sz w:val="24"/>
          <w:szCs w:val="24"/>
          <w:lang w:val="en-US"/>
        </w:rPr>
      </w:pPr>
    </w:p>
    <w:p w14:paraId="4F3BCCE3" w14:textId="77777777" w:rsidR="00217971" w:rsidRDefault="00217971" w:rsidP="003113BE">
      <w:pPr>
        <w:spacing w:after="0"/>
        <w:jc w:val="both"/>
        <w:rPr>
          <w:b/>
          <w:bCs/>
          <w:sz w:val="24"/>
          <w:szCs w:val="24"/>
          <w:lang w:val="en-US"/>
        </w:rPr>
      </w:pPr>
    </w:p>
    <w:p w14:paraId="3134C7A7" w14:textId="22CA8ACE" w:rsidR="00BA77F6" w:rsidRPr="00121A6A" w:rsidRDefault="00563E97" w:rsidP="003113BE">
      <w:pPr>
        <w:spacing w:after="0"/>
        <w:jc w:val="both"/>
        <w:rPr>
          <w:b/>
          <w:bCs/>
          <w:sz w:val="24"/>
          <w:szCs w:val="24"/>
          <w:lang w:val="en-US"/>
        </w:rPr>
      </w:pPr>
      <w:r w:rsidRPr="00121A6A">
        <w:rPr>
          <w:b/>
          <w:bCs/>
          <w:sz w:val="24"/>
          <w:szCs w:val="24"/>
          <w:lang w:val="en-US"/>
        </w:rPr>
        <w:lastRenderedPageBreak/>
        <w:t xml:space="preserve">Reynolds, </w:t>
      </w:r>
      <w:r w:rsidRPr="00121A6A">
        <w:rPr>
          <w:b/>
          <w:bCs/>
          <w:i/>
          <w:iCs/>
          <w:sz w:val="24"/>
          <w:szCs w:val="24"/>
          <w:lang w:val="en-US"/>
        </w:rPr>
        <w:t>CMLR</w:t>
      </w:r>
      <w:r w:rsidRPr="00121A6A">
        <w:rPr>
          <w:b/>
          <w:bCs/>
          <w:sz w:val="24"/>
          <w:szCs w:val="24"/>
          <w:lang w:val="en-US"/>
        </w:rPr>
        <w:t xml:space="preserve"> 2016</w:t>
      </w:r>
    </w:p>
    <w:p w14:paraId="057D48BE" w14:textId="41C079A6" w:rsidR="00563E97" w:rsidRPr="00121A6A" w:rsidRDefault="00563E97" w:rsidP="003113BE">
      <w:pPr>
        <w:spacing w:after="0"/>
        <w:jc w:val="both"/>
        <w:rPr>
          <w:sz w:val="24"/>
          <w:szCs w:val="24"/>
          <w:lang w:val="en-US"/>
        </w:rPr>
      </w:pPr>
      <w:r w:rsidRPr="00121A6A">
        <w:rPr>
          <w:sz w:val="24"/>
          <w:szCs w:val="24"/>
          <w:lang w:val="en-US"/>
        </w:rPr>
        <w:t xml:space="preserve">S. Reynolds, ‘Explaining the constitutional drivers behind a perceived judicial preference for free movement over fundamental rights’, </w:t>
      </w:r>
      <w:r w:rsidRPr="00121A6A">
        <w:rPr>
          <w:i/>
          <w:iCs/>
          <w:sz w:val="24"/>
          <w:szCs w:val="24"/>
          <w:lang w:val="en-US"/>
        </w:rPr>
        <w:t>Common Market Law Review</w:t>
      </w:r>
      <w:r w:rsidRPr="00121A6A">
        <w:rPr>
          <w:sz w:val="24"/>
          <w:szCs w:val="24"/>
          <w:lang w:val="en-US"/>
        </w:rPr>
        <w:t xml:space="preserve"> 2016</w:t>
      </w:r>
      <w:r w:rsidR="00BA77F6" w:rsidRPr="00121A6A">
        <w:rPr>
          <w:sz w:val="24"/>
          <w:szCs w:val="24"/>
          <w:lang w:val="en-US"/>
        </w:rPr>
        <w:t xml:space="preserve">, </w:t>
      </w:r>
      <w:proofErr w:type="spellStart"/>
      <w:r w:rsidR="00BA77F6" w:rsidRPr="00121A6A">
        <w:rPr>
          <w:sz w:val="24"/>
          <w:szCs w:val="24"/>
          <w:lang w:val="en-US"/>
        </w:rPr>
        <w:t>afl</w:t>
      </w:r>
      <w:proofErr w:type="spellEnd"/>
      <w:r w:rsidR="00BA77F6" w:rsidRPr="00121A6A">
        <w:rPr>
          <w:sz w:val="24"/>
          <w:szCs w:val="24"/>
          <w:lang w:val="en-US"/>
        </w:rPr>
        <w:t>. 3</w:t>
      </w:r>
      <w:r w:rsidRPr="00121A6A">
        <w:rPr>
          <w:sz w:val="24"/>
          <w:szCs w:val="24"/>
          <w:lang w:val="en-US"/>
        </w:rPr>
        <w:t>, p. 643-677.</w:t>
      </w:r>
    </w:p>
    <w:p w14:paraId="1AB14AFC" w14:textId="77777777" w:rsidR="00DA0B45" w:rsidRPr="00121A6A" w:rsidRDefault="00DA0B45" w:rsidP="003113BE">
      <w:pPr>
        <w:spacing w:after="0"/>
        <w:jc w:val="both"/>
        <w:rPr>
          <w:sz w:val="24"/>
          <w:szCs w:val="24"/>
          <w:lang w:val="en-US"/>
        </w:rPr>
      </w:pPr>
    </w:p>
    <w:p w14:paraId="0BAAECC8" w14:textId="6A565D04" w:rsidR="00DA0B45" w:rsidRPr="00121A6A" w:rsidRDefault="00DA0B45" w:rsidP="003113BE">
      <w:pPr>
        <w:spacing w:after="0"/>
        <w:jc w:val="both"/>
        <w:rPr>
          <w:b/>
          <w:bCs/>
          <w:sz w:val="24"/>
          <w:szCs w:val="24"/>
          <w:lang w:val="en-US"/>
        </w:rPr>
      </w:pPr>
      <w:r w:rsidRPr="00121A6A">
        <w:rPr>
          <w:b/>
          <w:bCs/>
          <w:sz w:val="24"/>
          <w:szCs w:val="24"/>
          <w:lang w:val="en-US"/>
        </w:rPr>
        <w:t>Rossi</w:t>
      </w:r>
      <w:r w:rsidRPr="00121A6A">
        <w:rPr>
          <w:b/>
          <w:bCs/>
          <w:i/>
          <w:iCs/>
          <w:sz w:val="24"/>
          <w:szCs w:val="24"/>
          <w:lang w:val="en-US"/>
        </w:rPr>
        <w:t xml:space="preserve"> </w:t>
      </w:r>
      <w:r w:rsidRPr="00121A6A">
        <w:rPr>
          <w:b/>
          <w:bCs/>
          <w:sz w:val="24"/>
          <w:szCs w:val="24"/>
          <w:lang w:val="en-US"/>
        </w:rPr>
        <w:t>2019</w:t>
      </w:r>
    </w:p>
    <w:p w14:paraId="36750A1C" w14:textId="59B8E0F5" w:rsidR="00DA0B45" w:rsidRPr="00121A6A" w:rsidRDefault="00DA0B45" w:rsidP="003113BE">
      <w:pPr>
        <w:spacing w:after="0"/>
        <w:jc w:val="both"/>
        <w:rPr>
          <w:sz w:val="24"/>
          <w:szCs w:val="24"/>
          <w:u w:val="single"/>
          <w:lang w:val="en-US"/>
        </w:rPr>
      </w:pPr>
      <w:r w:rsidRPr="00121A6A">
        <w:rPr>
          <w:sz w:val="24"/>
          <w:szCs w:val="24"/>
          <w:lang w:val="en-US"/>
        </w:rPr>
        <w:t xml:space="preserve">L.S. Rossi, ‘The relationship between the EU Charter of Fundamental Rights and Directives in horizontal situations’, </w:t>
      </w:r>
      <w:r w:rsidRPr="00121A6A">
        <w:rPr>
          <w:i/>
          <w:iCs/>
          <w:sz w:val="24"/>
          <w:szCs w:val="24"/>
          <w:lang w:val="en-US"/>
        </w:rPr>
        <w:t>EU Law Analysis</w:t>
      </w:r>
      <w:r w:rsidRPr="00121A6A">
        <w:rPr>
          <w:sz w:val="24"/>
          <w:szCs w:val="24"/>
          <w:lang w:val="en-US"/>
        </w:rPr>
        <w:t xml:space="preserve"> 25 </w:t>
      </w:r>
      <w:proofErr w:type="spellStart"/>
      <w:r w:rsidRPr="00121A6A">
        <w:rPr>
          <w:sz w:val="24"/>
          <w:szCs w:val="24"/>
          <w:lang w:val="en-US"/>
        </w:rPr>
        <w:t>februari</w:t>
      </w:r>
      <w:proofErr w:type="spellEnd"/>
      <w:r w:rsidRPr="00121A6A">
        <w:rPr>
          <w:sz w:val="24"/>
          <w:szCs w:val="24"/>
          <w:lang w:val="en-US"/>
        </w:rPr>
        <w:t xml:space="preserve"> 2019. </w:t>
      </w:r>
    </w:p>
    <w:p w14:paraId="5065C0B0" w14:textId="77777777" w:rsidR="003501C6" w:rsidRPr="00121A6A" w:rsidRDefault="003501C6" w:rsidP="003113BE">
      <w:pPr>
        <w:spacing w:after="0"/>
        <w:jc w:val="both"/>
        <w:rPr>
          <w:sz w:val="24"/>
          <w:szCs w:val="24"/>
          <w:lang w:val="en-US"/>
        </w:rPr>
      </w:pPr>
    </w:p>
    <w:p w14:paraId="486D4582" w14:textId="3281B235" w:rsidR="003501C6" w:rsidRPr="00121A6A" w:rsidRDefault="003501C6" w:rsidP="003113BE">
      <w:pPr>
        <w:spacing w:after="0"/>
        <w:jc w:val="both"/>
        <w:rPr>
          <w:b/>
          <w:bCs/>
          <w:sz w:val="24"/>
          <w:szCs w:val="24"/>
          <w:lang w:val="en-US"/>
        </w:rPr>
      </w:pPr>
      <w:r w:rsidRPr="00121A6A">
        <w:rPr>
          <w:b/>
          <w:bCs/>
          <w:sz w:val="24"/>
          <w:szCs w:val="24"/>
          <w:lang w:val="en-US"/>
        </w:rPr>
        <w:t xml:space="preserve">Sever, </w:t>
      </w:r>
      <w:r w:rsidRPr="00121A6A">
        <w:rPr>
          <w:b/>
          <w:bCs/>
          <w:i/>
          <w:iCs/>
          <w:sz w:val="24"/>
          <w:szCs w:val="24"/>
          <w:lang w:val="en-US"/>
        </w:rPr>
        <w:t>e-</w:t>
      </w:r>
      <w:proofErr w:type="spellStart"/>
      <w:r w:rsidRPr="00121A6A">
        <w:rPr>
          <w:b/>
          <w:bCs/>
          <w:i/>
          <w:iCs/>
          <w:sz w:val="24"/>
          <w:szCs w:val="24"/>
          <w:lang w:val="en-US"/>
        </w:rPr>
        <w:t>Pública</w:t>
      </w:r>
      <w:proofErr w:type="spellEnd"/>
      <w:r w:rsidRPr="00121A6A">
        <w:rPr>
          <w:b/>
          <w:bCs/>
          <w:i/>
          <w:iCs/>
          <w:sz w:val="24"/>
          <w:szCs w:val="24"/>
          <w:lang w:val="en-US"/>
        </w:rPr>
        <w:t xml:space="preserve"> </w:t>
      </w:r>
      <w:r w:rsidRPr="00121A6A">
        <w:rPr>
          <w:b/>
          <w:bCs/>
          <w:sz w:val="24"/>
          <w:szCs w:val="24"/>
          <w:lang w:val="en-US"/>
        </w:rPr>
        <w:t>2014</w:t>
      </w:r>
    </w:p>
    <w:p w14:paraId="7C3AB05E" w14:textId="08D6AC08" w:rsidR="003501C6" w:rsidRPr="00121A6A" w:rsidRDefault="003501C6" w:rsidP="003501C6">
      <w:pPr>
        <w:spacing w:after="0"/>
        <w:jc w:val="both"/>
        <w:rPr>
          <w:sz w:val="24"/>
          <w:szCs w:val="24"/>
          <w:lang w:val="en-US"/>
        </w:rPr>
      </w:pPr>
      <w:r w:rsidRPr="00121A6A">
        <w:rPr>
          <w:sz w:val="24"/>
          <w:szCs w:val="24"/>
          <w:lang w:val="en-US"/>
        </w:rPr>
        <w:t xml:space="preserve">S. Sever, ‘The horizontal effect of the </w:t>
      </w:r>
      <w:r w:rsidR="00BA77F6" w:rsidRPr="00121A6A">
        <w:rPr>
          <w:sz w:val="24"/>
          <w:szCs w:val="24"/>
          <w:lang w:val="en-US"/>
        </w:rPr>
        <w:t>E</w:t>
      </w:r>
      <w:r w:rsidRPr="00121A6A">
        <w:rPr>
          <w:sz w:val="24"/>
          <w:szCs w:val="24"/>
          <w:lang w:val="en-US"/>
        </w:rPr>
        <w:t xml:space="preserve">uropean </w:t>
      </w:r>
      <w:r w:rsidR="00BA77F6" w:rsidRPr="00121A6A">
        <w:rPr>
          <w:sz w:val="24"/>
          <w:szCs w:val="24"/>
          <w:lang w:val="en-US"/>
        </w:rPr>
        <w:t>U</w:t>
      </w:r>
      <w:r w:rsidRPr="00121A6A">
        <w:rPr>
          <w:sz w:val="24"/>
          <w:szCs w:val="24"/>
          <w:lang w:val="en-US"/>
        </w:rPr>
        <w:t xml:space="preserve">nion’s </w:t>
      </w:r>
      <w:r w:rsidR="00BA77F6" w:rsidRPr="00121A6A">
        <w:rPr>
          <w:sz w:val="24"/>
          <w:szCs w:val="24"/>
          <w:lang w:val="en-US"/>
        </w:rPr>
        <w:t>C</w:t>
      </w:r>
      <w:r w:rsidRPr="00121A6A">
        <w:rPr>
          <w:sz w:val="24"/>
          <w:szCs w:val="24"/>
          <w:lang w:val="en-US"/>
        </w:rPr>
        <w:t xml:space="preserve">harter of </w:t>
      </w:r>
      <w:r w:rsidR="00BA77F6" w:rsidRPr="00121A6A">
        <w:rPr>
          <w:sz w:val="24"/>
          <w:szCs w:val="24"/>
          <w:lang w:val="en-US"/>
        </w:rPr>
        <w:t>F</w:t>
      </w:r>
      <w:r w:rsidRPr="00121A6A">
        <w:rPr>
          <w:sz w:val="24"/>
          <w:szCs w:val="24"/>
          <w:lang w:val="en-US"/>
        </w:rPr>
        <w:t xml:space="preserve">undamental </w:t>
      </w:r>
      <w:r w:rsidR="00BA77F6" w:rsidRPr="00121A6A">
        <w:rPr>
          <w:sz w:val="24"/>
          <w:szCs w:val="24"/>
          <w:lang w:val="en-US"/>
        </w:rPr>
        <w:t>R</w:t>
      </w:r>
      <w:r w:rsidRPr="00121A6A">
        <w:rPr>
          <w:sz w:val="24"/>
          <w:szCs w:val="24"/>
          <w:lang w:val="en-US"/>
        </w:rPr>
        <w:t>ights: from market integration towards the social justice?’</w:t>
      </w:r>
      <w:r w:rsidR="009B54EB" w:rsidRPr="00121A6A">
        <w:rPr>
          <w:sz w:val="24"/>
          <w:szCs w:val="24"/>
          <w:lang w:val="en-US"/>
        </w:rPr>
        <w:t xml:space="preserve">, </w:t>
      </w:r>
      <w:r w:rsidR="009B54EB" w:rsidRPr="00121A6A">
        <w:rPr>
          <w:i/>
          <w:iCs/>
          <w:sz w:val="24"/>
          <w:szCs w:val="24"/>
          <w:lang w:val="en-US"/>
        </w:rPr>
        <w:t>e-</w:t>
      </w:r>
      <w:proofErr w:type="spellStart"/>
      <w:r w:rsidR="009B54EB" w:rsidRPr="00121A6A">
        <w:rPr>
          <w:i/>
          <w:iCs/>
          <w:sz w:val="24"/>
          <w:szCs w:val="24"/>
          <w:lang w:val="en-US"/>
        </w:rPr>
        <w:t>Púbilca</w:t>
      </w:r>
      <w:proofErr w:type="spellEnd"/>
      <w:r w:rsidR="009B54EB" w:rsidRPr="00121A6A">
        <w:rPr>
          <w:sz w:val="24"/>
          <w:szCs w:val="24"/>
          <w:lang w:val="en-US"/>
        </w:rPr>
        <w:t xml:space="preserve"> 2014</w:t>
      </w:r>
      <w:r w:rsidR="00BA77F6" w:rsidRPr="00121A6A">
        <w:rPr>
          <w:sz w:val="24"/>
          <w:szCs w:val="24"/>
          <w:lang w:val="en-US"/>
        </w:rPr>
        <w:t xml:space="preserve">, </w:t>
      </w:r>
      <w:proofErr w:type="spellStart"/>
      <w:r w:rsidR="00BA77F6" w:rsidRPr="00121A6A">
        <w:rPr>
          <w:sz w:val="24"/>
          <w:szCs w:val="24"/>
          <w:lang w:val="en-US"/>
        </w:rPr>
        <w:t>afl</w:t>
      </w:r>
      <w:proofErr w:type="spellEnd"/>
      <w:r w:rsidR="00BA77F6" w:rsidRPr="00121A6A">
        <w:rPr>
          <w:sz w:val="24"/>
          <w:szCs w:val="24"/>
          <w:lang w:val="en-US"/>
        </w:rPr>
        <w:t xml:space="preserve">. </w:t>
      </w:r>
      <w:r w:rsidR="009B54EB" w:rsidRPr="00121A6A">
        <w:rPr>
          <w:sz w:val="24"/>
          <w:szCs w:val="24"/>
          <w:lang w:val="en-US"/>
        </w:rPr>
        <w:t xml:space="preserve">3, p. 174-193. </w:t>
      </w:r>
    </w:p>
    <w:p w14:paraId="240563E8" w14:textId="77777777" w:rsidR="00F2266A" w:rsidRPr="007A3688" w:rsidRDefault="00F2266A" w:rsidP="00030EF2">
      <w:pPr>
        <w:spacing w:after="0"/>
        <w:jc w:val="both"/>
        <w:rPr>
          <w:sz w:val="24"/>
          <w:szCs w:val="24"/>
          <w:lang w:val="en-US"/>
        </w:rPr>
      </w:pPr>
    </w:p>
    <w:p w14:paraId="285243E8" w14:textId="0676A0E2" w:rsidR="00F2266A" w:rsidRPr="00121A6A" w:rsidRDefault="00F2266A" w:rsidP="00030EF2">
      <w:pPr>
        <w:spacing w:after="0"/>
        <w:jc w:val="both"/>
        <w:rPr>
          <w:b/>
          <w:bCs/>
          <w:sz w:val="24"/>
          <w:szCs w:val="24"/>
        </w:rPr>
      </w:pPr>
      <w:proofErr w:type="spellStart"/>
      <w:r w:rsidRPr="00121A6A">
        <w:rPr>
          <w:b/>
          <w:bCs/>
          <w:sz w:val="24"/>
          <w:szCs w:val="24"/>
        </w:rPr>
        <w:t>Sieburgh</w:t>
      </w:r>
      <w:proofErr w:type="spellEnd"/>
      <w:r w:rsidRPr="00121A6A">
        <w:rPr>
          <w:b/>
          <w:bCs/>
          <w:sz w:val="24"/>
          <w:szCs w:val="24"/>
        </w:rPr>
        <w:t xml:space="preserve">, </w:t>
      </w:r>
      <w:r w:rsidRPr="00121A6A">
        <w:rPr>
          <w:b/>
          <w:bCs/>
          <w:i/>
          <w:iCs/>
          <w:sz w:val="24"/>
          <w:szCs w:val="24"/>
        </w:rPr>
        <w:t>RM Themis</w:t>
      </w:r>
      <w:r w:rsidRPr="00121A6A">
        <w:rPr>
          <w:b/>
          <w:bCs/>
          <w:sz w:val="24"/>
          <w:szCs w:val="24"/>
        </w:rPr>
        <w:t xml:space="preserve"> 2015</w:t>
      </w:r>
    </w:p>
    <w:p w14:paraId="5CD2507A" w14:textId="3B9D2EDB" w:rsidR="00F2266A" w:rsidRPr="00121A6A" w:rsidRDefault="00F2266A" w:rsidP="00F2266A">
      <w:pPr>
        <w:spacing w:after="0"/>
        <w:jc w:val="both"/>
        <w:rPr>
          <w:sz w:val="24"/>
          <w:szCs w:val="24"/>
        </w:rPr>
      </w:pPr>
      <w:r w:rsidRPr="00121A6A">
        <w:rPr>
          <w:sz w:val="24"/>
          <w:szCs w:val="24"/>
        </w:rPr>
        <w:t xml:space="preserve">C.H. </w:t>
      </w:r>
      <w:proofErr w:type="spellStart"/>
      <w:r w:rsidRPr="00121A6A">
        <w:rPr>
          <w:sz w:val="24"/>
          <w:szCs w:val="24"/>
        </w:rPr>
        <w:t>Sieburgh</w:t>
      </w:r>
      <w:proofErr w:type="spellEnd"/>
      <w:r w:rsidRPr="00121A6A">
        <w:rPr>
          <w:sz w:val="24"/>
          <w:szCs w:val="24"/>
        </w:rPr>
        <w:t xml:space="preserve">, ‘Waarom het Unierecht de invloed van grondrechten op het privaatrecht aanjaagt en versterkt’, </w:t>
      </w:r>
      <w:r w:rsidRPr="00121A6A">
        <w:rPr>
          <w:i/>
          <w:iCs/>
          <w:sz w:val="24"/>
          <w:szCs w:val="24"/>
        </w:rPr>
        <w:t xml:space="preserve">Rechtsgeleerd Magazijn Themis </w:t>
      </w:r>
      <w:r w:rsidRPr="00121A6A">
        <w:rPr>
          <w:sz w:val="24"/>
          <w:szCs w:val="24"/>
        </w:rPr>
        <w:t>2015</w:t>
      </w:r>
      <w:r w:rsidR="00BC2384" w:rsidRPr="00121A6A">
        <w:rPr>
          <w:sz w:val="24"/>
          <w:szCs w:val="24"/>
        </w:rPr>
        <w:t xml:space="preserve">, afl. </w:t>
      </w:r>
      <w:r w:rsidRPr="00121A6A">
        <w:rPr>
          <w:sz w:val="24"/>
          <w:szCs w:val="24"/>
        </w:rPr>
        <w:t>1, p. 3-13.</w:t>
      </w:r>
    </w:p>
    <w:p w14:paraId="6E2C6028" w14:textId="77777777" w:rsidR="00FD7050" w:rsidRPr="00121A6A" w:rsidRDefault="00FD7050" w:rsidP="00030EF2">
      <w:pPr>
        <w:spacing w:after="0"/>
        <w:jc w:val="both"/>
        <w:rPr>
          <w:sz w:val="24"/>
          <w:szCs w:val="24"/>
        </w:rPr>
      </w:pPr>
    </w:p>
    <w:p w14:paraId="238C65E0" w14:textId="5C2D04C3" w:rsidR="00FD7050" w:rsidRPr="00121A6A" w:rsidRDefault="00FD7050" w:rsidP="00030EF2">
      <w:pPr>
        <w:spacing w:after="0"/>
        <w:jc w:val="both"/>
        <w:rPr>
          <w:b/>
          <w:bCs/>
          <w:sz w:val="24"/>
          <w:szCs w:val="24"/>
        </w:rPr>
      </w:pPr>
      <w:proofErr w:type="spellStart"/>
      <w:r w:rsidRPr="00121A6A">
        <w:rPr>
          <w:b/>
          <w:bCs/>
          <w:sz w:val="24"/>
          <w:szCs w:val="24"/>
        </w:rPr>
        <w:t>Sieburgh</w:t>
      </w:r>
      <w:proofErr w:type="spellEnd"/>
      <w:r w:rsidRPr="00121A6A">
        <w:rPr>
          <w:b/>
          <w:bCs/>
          <w:sz w:val="24"/>
          <w:szCs w:val="24"/>
        </w:rPr>
        <w:t xml:space="preserve"> &amp; Van de Moosdijk 2019</w:t>
      </w:r>
    </w:p>
    <w:p w14:paraId="6E1F6408" w14:textId="0E1655F7" w:rsidR="00FD7050" w:rsidRPr="00121A6A" w:rsidRDefault="00FD7050" w:rsidP="00030EF2">
      <w:pPr>
        <w:spacing w:after="0"/>
        <w:jc w:val="both"/>
        <w:rPr>
          <w:sz w:val="24"/>
          <w:szCs w:val="24"/>
          <w:lang w:val="en-US"/>
        </w:rPr>
      </w:pPr>
      <w:r w:rsidRPr="00121A6A">
        <w:rPr>
          <w:sz w:val="24"/>
          <w:szCs w:val="24"/>
        </w:rPr>
        <w:t xml:space="preserve">C.H. </w:t>
      </w:r>
      <w:proofErr w:type="spellStart"/>
      <w:r w:rsidRPr="00121A6A">
        <w:rPr>
          <w:sz w:val="24"/>
          <w:szCs w:val="24"/>
        </w:rPr>
        <w:t>Sieburgh</w:t>
      </w:r>
      <w:proofErr w:type="spellEnd"/>
      <w:r w:rsidRPr="00121A6A">
        <w:rPr>
          <w:sz w:val="24"/>
          <w:szCs w:val="24"/>
        </w:rPr>
        <w:t xml:space="preserve"> &amp; M.M.C. van de Moosdijk, ‘</w:t>
      </w:r>
      <w:r w:rsidRPr="00121A6A">
        <w:rPr>
          <w:i/>
          <w:iCs/>
          <w:sz w:val="24"/>
          <w:szCs w:val="24"/>
        </w:rPr>
        <w:t>Bauer</w:t>
      </w:r>
      <w:r w:rsidRPr="00121A6A">
        <w:rPr>
          <w:sz w:val="24"/>
          <w:szCs w:val="24"/>
        </w:rPr>
        <w:t xml:space="preserve">: Het Handvest van de Grondrechten van de Europese Unie is jarig en trakteert, ook in privaatrechtelijke rechtsverhoudingen’, in: H.C.F.J.A. de </w:t>
      </w:r>
      <w:proofErr w:type="spellStart"/>
      <w:r w:rsidRPr="00121A6A">
        <w:rPr>
          <w:sz w:val="24"/>
          <w:szCs w:val="24"/>
        </w:rPr>
        <w:t>Waele</w:t>
      </w:r>
      <w:proofErr w:type="spellEnd"/>
      <w:r w:rsidRPr="00121A6A">
        <w:rPr>
          <w:sz w:val="24"/>
          <w:szCs w:val="24"/>
        </w:rPr>
        <w:t xml:space="preserve">, J. Krommendijk &amp; K.M. Zwaan (red.), </w:t>
      </w:r>
      <w:r w:rsidRPr="00121A6A">
        <w:rPr>
          <w:i/>
          <w:iCs/>
          <w:sz w:val="24"/>
          <w:szCs w:val="24"/>
        </w:rPr>
        <w:t xml:space="preserve">Tien jaar EU-Grondrechtenhandvest in Nederland. </w:t>
      </w:r>
      <w:r w:rsidRPr="00121A6A">
        <w:rPr>
          <w:i/>
          <w:iCs/>
          <w:sz w:val="24"/>
          <w:szCs w:val="24"/>
          <w:lang w:val="en-US"/>
        </w:rPr>
        <w:t>Een impact assessment</w:t>
      </w:r>
      <w:r w:rsidRPr="00121A6A">
        <w:rPr>
          <w:sz w:val="24"/>
          <w:szCs w:val="24"/>
          <w:lang w:val="en-US"/>
        </w:rPr>
        <w:t>, Deventer: Wolters Kluwer 2019, p. 271-292.</w:t>
      </w:r>
    </w:p>
    <w:p w14:paraId="5D15FDFE" w14:textId="77777777" w:rsidR="00B525F4" w:rsidRPr="00121A6A" w:rsidRDefault="00B525F4" w:rsidP="00030EF2">
      <w:pPr>
        <w:spacing w:after="0"/>
        <w:jc w:val="both"/>
        <w:rPr>
          <w:sz w:val="24"/>
          <w:szCs w:val="24"/>
          <w:lang w:val="en-US"/>
        </w:rPr>
      </w:pPr>
    </w:p>
    <w:p w14:paraId="15A8F2EC" w14:textId="713DE3DB" w:rsidR="00B525F4" w:rsidRPr="00121A6A" w:rsidRDefault="00B525F4" w:rsidP="00030EF2">
      <w:pPr>
        <w:spacing w:after="0"/>
        <w:jc w:val="both"/>
        <w:rPr>
          <w:b/>
          <w:bCs/>
          <w:sz w:val="24"/>
          <w:szCs w:val="24"/>
          <w:lang w:val="en-US"/>
        </w:rPr>
      </w:pPr>
      <w:r w:rsidRPr="00121A6A">
        <w:rPr>
          <w:b/>
          <w:bCs/>
          <w:sz w:val="24"/>
          <w:szCs w:val="24"/>
          <w:lang w:val="en-US"/>
        </w:rPr>
        <w:t xml:space="preserve">Spaventa, </w:t>
      </w:r>
      <w:r w:rsidRPr="00121A6A">
        <w:rPr>
          <w:b/>
          <w:bCs/>
          <w:i/>
          <w:iCs/>
          <w:sz w:val="24"/>
          <w:szCs w:val="24"/>
          <w:lang w:val="en-US"/>
        </w:rPr>
        <w:t>CMLR</w:t>
      </w:r>
      <w:r w:rsidRPr="00121A6A">
        <w:rPr>
          <w:b/>
          <w:bCs/>
          <w:sz w:val="24"/>
          <w:szCs w:val="24"/>
          <w:lang w:val="en-US"/>
        </w:rPr>
        <w:t xml:space="preserve"> 2018</w:t>
      </w:r>
    </w:p>
    <w:p w14:paraId="23808CDE" w14:textId="3C71D086" w:rsidR="00B525F4" w:rsidRPr="00121A6A" w:rsidRDefault="00B525F4" w:rsidP="00030EF2">
      <w:pPr>
        <w:spacing w:after="0"/>
        <w:jc w:val="both"/>
        <w:rPr>
          <w:sz w:val="24"/>
          <w:szCs w:val="24"/>
          <w:lang w:val="en-US"/>
        </w:rPr>
      </w:pPr>
      <w:r w:rsidRPr="00121A6A">
        <w:rPr>
          <w:sz w:val="24"/>
          <w:szCs w:val="24"/>
          <w:lang w:val="en-US"/>
        </w:rPr>
        <w:t xml:space="preserve">E. Spaventa, ‘Should we “harmonize” fundamental rights in the EU? Some reflections about minimum standards and fundamental rights protection in the EU composite constitutional system’, </w:t>
      </w:r>
      <w:r w:rsidRPr="00121A6A">
        <w:rPr>
          <w:i/>
          <w:iCs/>
          <w:sz w:val="24"/>
          <w:szCs w:val="24"/>
          <w:lang w:val="en-US"/>
        </w:rPr>
        <w:t>Common Market La</w:t>
      </w:r>
      <w:r w:rsidR="00251E6D" w:rsidRPr="00121A6A">
        <w:rPr>
          <w:i/>
          <w:iCs/>
          <w:sz w:val="24"/>
          <w:szCs w:val="24"/>
          <w:lang w:val="en-US"/>
        </w:rPr>
        <w:t>w</w:t>
      </w:r>
      <w:r w:rsidRPr="00121A6A">
        <w:rPr>
          <w:i/>
          <w:iCs/>
          <w:sz w:val="24"/>
          <w:szCs w:val="24"/>
          <w:lang w:val="en-US"/>
        </w:rPr>
        <w:t xml:space="preserve"> Review</w:t>
      </w:r>
      <w:r w:rsidRPr="00121A6A">
        <w:rPr>
          <w:sz w:val="24"/>
          <w:szCs w:val="24"/>
          <w:lang w:val="en-US"/>
        </w:rPr>
        <w:t xml:space="preserve"> 2018</w:t>
      </w:r>
      <w:r w:rsidR="00BC2384" w:rsidRPr="00121A6A">
        <w:rPr>
          <w:sz w:val="24"/>
          <w:szCs w:val="24"/>
          <w:lang w:val="en-US"/>
        </w:rPr>
        <w:t xml:space="preserve">, </w:t>
      </w:r>
      <w:proofErr w:type="spellStart"/>
      <w:r w:rsidR="00BC2384" w:rsidRPr="00121A6A">
        <w:rPr>
          <w:sz w:val="24"/>
          <w:szCs w:val="24"/>
          <w:lang w:val="en-US"/>
        </w:rPr>
        <w:t>afl</w:t>
      </w:r>
      <w:proofErr w:type="spellEnd"/>
      <w:r w:rsidR="00BC2384" w:rsidRPr="00121A6A">
        <w:rPr>
          <w:sz w:val="24"/>
          <w:szCs w:val="24"/>
          <w:lang w:val="en-US"/>
        </w:rPr>
        <w:t xml:space="preserve">. </w:t>
      </w:r>
      <w:r w:rsidRPr="00121A6A">
        <w:rPr>
          <w:sz w:val="24"/>
          <w:szCs w:val="24"/>
          <w:lang w:val="en-US"/>
        </w:rPr>
        <w:t>4, p. 997-1024.</w:t>
      </w:r>
    </w:p>
    <w:p w14:paraId="33EF6266" w14:textId="77777777" w:rsidR="00CC7EB6" w:rsidRPr="00121A6A" w:rsidRDefault="00CC7EB6" w:rsidP="00030EF2">
      <w:pPr>
        <w:spacing w:after="0"/>
        <w:jc w:val="both"/>
        <w:rPr>
          <w:sz w:val="24"/>
          <w:szCs w:val="24"/>
          <w:lang w:val="en-US"/>
        </w:rPr>
      </w:pPr>
    </w:p>
    <w:p w14:paraId="3F2F2C7B" w14:textId="0FCA34B8" w:rsidR="00CC7EB6" w:rsidRPr="00121A6A" w:rsidRDefault="00CC7EB6" w:rsidP="00030EF2">
      <w:pPr>
        <w:spacing w:after="0"/>
        <w:jc w:val="both"/>
        <w:rPr>
          <w:b/>
          <w:bCs/>
          <w:sz w:val="24"/>
          <w:szCs w:val="24"/>
        </w:rPr>
      </w:pPr>
      <w:r w:rsidRPr="00121A6A">
        <w:rPr>
          <w:b/>
          <w:bCs/>
          <w:sz w:val="24"/>
          <w:szCs w:val="24"/>
        </w:rPr>
        <w:t>Stijnen 2011</w:t>
      </w:r>
    </w:p>
    <w:p w14:paraId="517BE964" w14:textId="64111906" w:rsidR="00CC7EB6" w:rsidRPr="00121A6A" w:rsidRDefault="00CC7EB6" w:rsidP="00030EF2">
      <w:pPr>
        <w:spacing w:after="0"/>
        <w:jc w:val="both"/>
        <w:rPr>
          <w:sz w:val="24"/>
          <w:szCs w:val="24"/>
          <w:lang w:val="en-US"/>
        </w:rPr>
      </w:pPr>
      <w:r w:rsidRPr="00121A6A">
        <w:rPr>
          <w:sz w:val="24"/>
          <w:szCs w:val="24"/>
        </w:rPr>
        <w:t xml:space="preserve">R. Stijnen, </w:t>
      </w:r>
      <w:r w:rsidRPr="00121A6A">
        <w:rPr>
          <w:i/>
          <w:iCs/>
          <w:sz w:val="24"/>
          <w:szCs w:val="24"/>
        </w:rPr>
        <w:t xml:space="preserve">Rechtsbescherming tegen bestraffing in het strafrecht en het bestuursrecht. Een rechtsvergelijking tussen het Nederlandse strafrecht en bestraffende bestuursrecht, mede in Europees perspectief </w:t>
      </w:r>
      <w:r w:rsidRPr="00121A6A">
        <w:rPr>
          <w:sz w:val="24"/>
          <w:szCs w:val="24"/>
        </w:rPr>
        <w:t>(</w:t>
      </w:r>
      <w:proofErr w:type="spellStart"/>
      <w:r w:rsidRPr="00121A6A">
        <w:rPr>
          <w:sz w:val="24"/>
          <w:szCs w:val="24"/>
        </w:rPr>
        <w:t>diss</w:t>
      </w:r>
      <w:proofErr w:type="spellEnd"/>
      <w:r w:rsidRPr="00121A6A">
        <w:rPr>
          <w:sz w:val="24"/>
          <w:szCs w:val="24"/>
        </w:rPr>
        <w:t xml:space="preserve">. </w:t>
      </w:r>
      <w:r w:rsidRPr="00121A6A">
        <w:rPr>
          <w:sz w:val="24"/>
          <w:szCs w:val="24"/>
          <w:lang w:val="en-US"/>
        </w:rPr>
        <w:t>Rotterdam), Deventer: Kluwer 2011.</w:t>
      </w:r>
    </w:p>
    <w:p w14:paraId="17CE5361" w14:textId="77777777" w:rsidR="006665E7" w:rsidRPr="00121A6A" w:rsidRDefault="006665E7" w:rsidP="00030EF2">
      <w:pPr>
        <w:spacing w:after="0"/>
        <w:jc w:val="both"/>
        <w:rPr>
          <w:sz w:val="24"/>
          <w:szCs w:val="24"/>
          <w:lang w:val="en-US"/>
        </w:rPr>
      </w:pPr>
    </w:p>
    <w:p w14:paraId="6FBF9AB6" w14:textId="7B876DE8" w:rsidR="006665E7" w:rsidRPr="00121A6A" w:rsidRDefault="006665E7" w:rsidP="00030EF2">
      <w:pPr>
        <w:spacing w:after="0"/>
        <w:jc w:val="both"/>
        <w:rPr>
          <w:b/>
          <w:bCs/>
          <w:sz w:val="24"/>
          <w:szCs w:val="24"/>
          <w:lang w:val="en-US"/>
        </w:rPr>
      </w:pPr>
      <w:proofErr w:type="spellStart"/>
      <w:r w:rsidRPr="00121A6A">
        <w:rPr>
          <w:b/>
          <w:bCs/>
          <w:sz w:val="24"/>
          <w:szCs w:val="24"/>
          <w:lang w:val="en-US"/>
        </w:rPr>
        <w:t>Stylogiannis</w:t>
      </w:r>
      <w:proofErr w:type="spellEnd"/>
      <w:r w:rsidRPr="00121A6A">
        <w:rPr>
          <w:b/>
          <w:bCs/>
          <w:sz w:val="24"/>
          <w:szCs w:val="24"/>
          <w:lang w:val="en-US"/>
        </w:rPr>
        <w:t xml:space="preserve">, </w:t>
      </w:r>
      <w:r w:rsidRPr="00121A6A">
        <w:rPr>
          <w:b/>
          <w:bCs/>
          <w:i/>
          <w:iCs/>
          <w:sz w:val="24"/>
          <w:szCs w:val="24"/>
          <w:lang w:val="en-US"/>
        </w:rPr>
        <w:t>CLL&amp;PJ</w:t>
      </w:r>
      <w:r w:rsidRPr="00121A6A">
        <w:rPr>
          <w:b/>
          <w:bCs/>
          <w:sz w:val="24"/>
          <w:szCs w:val="24"/>
          <w:lang w:val="en-US"/>
        </w:rPr>
        <w:t xml:space="preserve"> 2021</w:t>
      </w:r>
    </w:p>
    <w:p w14:paraId="6D253CFA" w14:textId="2E0D14E9" w:rsidR="00BF6C9A" w:rsidRPr="00121A6A" w:rsidRDefault="006665E7" w:rsidP="00030EF2">
      <w:pPr>
        <w:spacing w:after="0"/>
        <w:jc w:val="both"/>
        <w:rPr>
          <w:sz w:val="24"/>
          <w:szCs w:val="24"/>
          <w:lang w:val="en-US"/>
        </w:rPr>
      </w:pPr>
      <w:r w:rsidRPr="00121A6A">
        <w:rPr>
          <w:sz w:val="24"/>
          <w:szCs w:val="24"/>
          <w:lang w:val="en-US"/>
        </w:rPr>
        <w:t xml:space="preserve">C. </w:t>
      </w:r>
      <w:proofErr w:type="spellStart"/>
      <w:r w:rsidRPr="00121A6A">
        <w:rPr>
          <w:sz w:val="24"/>
          <w:szCs w:val="24"/>
          <w:lang w:val="en-US"/>
        </w:rPr>
        <w:t>Stylogiannis</w:t>
      </w:r>
      <w:proofErr w:type="spellEnd"/>
      <w:r w:rsidRPr="00121A6A">
        <w:rPr>
          <w:sz w:val="24"/>
          <w:szCs w:val="24"/>
          <w:lang w:val="en-US"/>
        </w:rPr>
        <w:t xml:space="preserve">, ‘The ‘Back and Forth’ in the Protection of (Collective) Labor Rights under the ECHR Continues: The </w:t>
      </w:r>
      <w:proofErr w:type="spellStart"/>
      <w:r w:rsidRPr="00121A6A">
        <w:rPr>
          <w:i/>
          <w:iCs/>
          <w:sz w:val="24"/>
          <w:szCs w:val="24"/>
          <w:lang w:val="en-US"/>
        </w:rPr>
        <w:t>Holship</w:t>
      </w:r>
      <w:proofErr w:type="spellEnd"/>
      <w:r w:rsidRPr="00121A6A">
        <w:rPr>
          <w:sz w:val="24"/>
          <w:szCs w:val="24"/>
          <w:lang w:val="en-US"/>
        </w:rPr>
        <w:t xml:space="preserve"> Case’, </w:t>
      </w:r>
      <w:r w:rsidRPr="00121A6A">
        <w:rPr>
          <w:i/>
          <w:iCs/>
          <w:sz w:val="24"/>
          <w:szCs w:val="24"/>
          <w:lang w:val="en-US"/>
        </w:rPr>
        <w:t>Comparative Labor Law &amp; Policy Journal</w:t>
      </w:r>
      <w:r w:rsidRPr="00121A6A">
        <w:rPr>
          <w:sz w:val="24"/>
          <w:szCs w:val="24"/>
          <w:lang w:val="en-US"/>
        </w:rPr>
        <w:t xml:space="preserve"> 2021,</w:t>
      </w:r>
      <w:r w:rsidR="00BC2384" w:rsidRPr="00121A6A">
        <w:rPr>
          <w:sz w:val="24"/>
          <w:szCs w:val="24"/>
          <w:lang w:val="en-US"/>
        </w:rPr>
        <w:t xml:space="preserve"> Dispatch No. 38,</w:t>
      </w:r>
      <w:r w:rsidRPr="00121A6A">
        <w:rPr>
          <w:sz w:val="24"/>
          <w:szCs w:val="24"/>
          <w:lang w:val="en-US"/>
        </w:rPr>
        <w:t xml:space="preserve"> p. 1-10.</w:t>
      </w:r>
    </w:p>
    <w:p w14:paraId="1FF2B352" w14:textId="77777777" w:rsidR="00CD76EA" w:rsidRDefault="00CD76EA" w:rsidP="00030EF2">
      <w:pPr>
        <w:spacing w:after="0"/>
        <w:jc w:val="both"/>
        <w:rPr>
          <w:b/>
          <w:bCs/>
          <w:sz w:val="24"/>
          <w:szCs w:val="24"/>
          <w:lang w:val="en-US"/>
        </w:rPr>
      </w:pPr>
    </w:p>
    <w:p w14:paraId="6AB2503C" w14:textId="53027296" w:rsidR="00BF6C9A" w:rsidRPr="00121A6A" w:rsidRDefault="00BF6C9A" w:rsidP="00030EF2">
      <w:pPr>
        <w:spacing w:after="0"/>
        <w:jc w:val="both"/>
        <w:rPr>
          <w:b/>
          <w:bCs/>
          <w:sz w:val="24"/>
          <w:szCs w:val="24"/>
          <w:lang w:val="en-US"/>
        </w:rPr>
      </w:pPr>
      <w:proofErr w:type="spellStart"/>
      <w:r w:rsidRPr="00121A6A">
        <w:rPr>
          <w:b/>
          <w:bCs/>
          <w:sz w:val="24"/>
          <w:szCs w:val="24"/>
          <w:lang w:val="en-US"/>
        </w:rPr>
        <w:t>Sychenko</w:t>
      </w:r>
      <w:proofErr w:type="spellEnd"/>
      <w:r w:rsidRPr="00121A6A">
        <w:rPr>
          <w:b/>
          <w:bCs/>
          <w:sz w:val="24"/>
          <w:szCs w:val="24"/>
          <w:lang w:val="en-US"/>
        </w:rPr>
        <w:t xml:space="preserve"> &amp; </w:t>
      </w:r>
      <w:proofErr w:type="spellStart"/>
      <w:r w:rsidRPr="00121A6A">
        <w:rPr>
          <w:b/>
          <w:bCs/>
          <w:sz w:val="24"/>
          <w:szCs w:val="24"/>
          <w:lang w:val="en-US"/>
        </w:rPr>
        <w:t>Perulli</w:t>
      </w:r>
      <w:proofErr w:type="spellEnd"/>
      <w:r w:rsidRPr="00121A6A">
        <w:rPr>
          <w:b/>
          <w:bCs/>
          <w:sz w:val="24"/>
          <w:szCs w:val="24"/>
          <w:lang w:val="en-US"/>
        </w:rPr>
        <w:t xml:space="preserve"> 2023</w:t>
      </w:r>
    </w:p>
    <w:p w14:paraId="07687EA1" w14:textId="771C9CA7" w:rsidR="00BF6C9A" w:rsidRPr="00121A6A" w:rsidRDefault="00BF6C9A" w:rsidP="00030EF2">
      <w:pPr>
        <w:spacing w:after="0"/>
        <w:jc w:val="both"/>
        <w:rPr>
          <w:sz w:val="24"/>
          <w:szCs w:val="24"/>
          <w:lang w:val="en-US"/>
        </w:rPr>
      </w:pPr>
      <w:r w:rsidRPr="00121A6A">
        <w:rPr>
          <w:sz w:val="24"/>
          <w:szCs w:val="24"/>
          <w:lang w:val="en-US"/>
        </w:rPr>
        <w:t xml:space="preserve">E. </w:t>
      </w:r>
      <w:proofErr w:type="spellStart"/>
      <w:r w:rsidRPr="00121A6A">
        <w:rPr>
          <w:sz w:val="24"/>
          <w:szCs w:val="24"/>
          <w:lang w:val="en-US"/>
        </w:rPr>
        <w:t>Sychenko</w:t>
      </w:r>
      <w:proofErr w:type="spellEnd"/>
      <w:r w:rsidRPr="00121A6A">
        <w:rPr>
          <w:sz w:val="24"/>
          <w:szCs w:val="24"/>
          <w:lang w:val="en-US"/>
        </w:rPr>
        <w:t xml:space="preserve"> &amp; A. </w:t>
      </w:r>
      <w:proofErr w:type="spellStart"/>
      <w:r w:rsidRPr="00121A6A">
        <w:rPr>
          <w:sz w:val="24"/>
          <w:szCs w:val="24"/>
          <w:lang w:val="en-US"/>
        </w:rPr>
        <w:t>Perulli</w:t>
      </w:r>
      <w:proofErr w:type="spellEnd"/>
      <w:r w:rsidRPr="00121A6A">
        <w:rPr>
          <w:sz w:val="24"/>
          <w:szCs w:val="24"/>
          <w:lang w:val="en-US"/>
        </w:rPr>
        <w:t xml:space="preserve">, </w:t>
      </w:r>
      <w:r w:rsidRPr="00121A6A">
        <w:rPr>
          <w:i/>
          <w:iCs/>
          <w:sz w:val="24"/>
          <w:szCs w:val="24"/>
          <w:lang w:val="en-US"/>
        </w:rPr>
        <w:t>Employment Law and the European Convention on Human Rights</w:t>
      </w:r>
      <w:r w:rsidRPr="00121A6A">
        <w:rPr>
          <w:sz w:val="24"/>
          <w:szCs w:val="24"/>
          <w:lang w:val="en-US"/>
        </w:rPr>
        <w:t xml:space="preserve">, Alphen </w:t>
      </w:r>
      <w:proofErr w:type="spellStart"/>
      <w:r w:rsidRPr="00121A6A">
        <w:rPr>
          <w:sz w:val="24"/>
          <w:szCs w:val="24"/>
          <w:lang w:val="en-US"/>
        </w:rPr>
        <w:t>aan</w:t>
      </w:r>
      <w:proofErr w:type="spellEnd"/>
      <w:r w:rsidRPr="00121A6A">
        <w:rPr>
          <w:sz w:val="24"/>
          <w:szCs w:val="24"/>
          <w:lang w:val="en-US"/>
        </w:rPr>
        <w:t xml:space="preserve"> den Rijn: Kluwer Law International 2023. </w:t>
      </w:r>
    </w:p>
    <w:p w14:paraId="05B2A50C" w14:textId="77777777" w:rsidR="00217971" w:rsidRDefault="00217971" w:rsidP="00030EF2">
      <w:pPr>
        <w:spacing w:after="0"/>
        <w:jc w:val="both"/>
        <w:rPr>
          <w:sz w:val="24"/>
          <w:szCs w:val="24"/>
          <w:lang w:val="en-US"/>
        </w:rPr>
      </w:pPr>
    </w:p>
    <w:p w14:paraId="00E413A1" w14:textId="77777777" w:rsidR="00EF245F" w:rsidRDefault="00EF245F" w:rsidP="00030EF2">
      <w:pPr>
        <w:spacing w:after="0"/>
        <w:jc w:val="both"/>
        <w:rPr>
          <w:sz w:val="24"/>
          <w:szCs w:val="24"/>
          <w:lang w:val="en-US"/>
        </w:rPr>
      </w:pPr>
    </w:p>
    <w:p w14:paraId="31128680" w14:textId="77777777" w:rsidR="00EF245F" w:rsidRDefault="00EF245F" w:rsidP="00030EF2">
      <w:pPr>
        <w:spacing w:after="0"/>
        <w:jc w:val="both"/>
        <w:rPr>
          <w:b/>
          <w:bCs/>
          <w:sz w:val="24"/>
          <w:szCs w:val="24"/>
          <w:lang w:val="en-US"/>
        </w:rPr>
      </w:pPr>
    </w:p>
    <w:p w14:paraId="259756FB" w14:textId="1EED03AC" w:rsidR="004F4056" w:rsidRPr="00121A6A" w:rsidRDefault="004F4056" w:rsidP="00030EF2">
      <w:pPr>
        <w:spacing w:after="0"/>
        <w:jc w:val="both"/>
        <w:rPr>
          <w:b/>
          <w:bCs/>
          <w:sz w:val="24"/>
          <w:szCs w:val="24"/>
          <w:lang w:val="en-US"/>
        </w:rPr>
      </w:pPr>
      <w:proofErr w:type="spellStart"/>
      <w:r w:rsidRPr="00121A6A">
        <w:rPr>
          <w:b/>
          <w:bCs/>
          <w:sz w:val="24"/>
          <w:szCs w:val="24"/>
          <w:lang w:val="en-US"/>
        </w:rPr>
        <w:lastRenderedPageBreak/>
        <w:t>Teklè</w:t>
      </w:r>
      <w:proofErr w:type="spellEnd"/>
      <w:r w:rsidRPr="00121A6A">
        <w:rPr>
          <w:b/>
          <w:bCs/>
          <w:sz w:val="24"/>
          <w:szCs w:val="24"/>
          <w:lang w:val="en-US"/>
        </w:rPr>
        <w:t xml:space="preserve">, </w:t>
      </w:r>
      <w:r w:rsidRPr="00121A6A">
        <w:rPr>
          <w:b/>
          <w:bCs/>
          <w:i/>
          <w:iCs/>
          <w:sz w:val="24"/>
          <w:szCs w:val="24"/>
          <w:lang w:val="en-US"/>
        </w:rPr>
        <w:t>ELLJ</w:t>
      </w:r>
      <w:r w:rsidRPr="00121A6A">
        <w:rPr>
          <w:b/>
          <w:bCs/>
          <w:sz w:val="24"/>
          <w:szCs w:val="24"/>
          <w:lang w:val="en-US"/>
        </w:rPr>
        <w:t xml:space="preserve"> 2018</w:t>
      </w:r>
    </w:p>
    <w:p w14:paraId="7731372A" w14:textId="1ED0C3B5" w:rsidR="004F4056" w:rsidRPr="00121A6A" w:rsidRDefault="004F4056" w:rsidP="00030EF2">
      <w:pPr>
        <w:spacing w:after="0"/>
        <w:jc w:val="both"/>
        <w:rPr>
          <w:sz w:val="24"/>
          <w:szCs w:val="24"/>
          <w:lang w:val="en-US"/>
        </w:rPr>
      </w:pPr>
      <w:r w:rsidRPr="00121A6A">
        <w:rPr>
          <w:sz w:val="24"/>
          <w:szCs w:val="24"/>
          <w:lang w:val="en-US"/>
        </w:rPr>
        <w:t xml:space="preserve">T. </w:t>
      </w:r>
      <w:proofErr w:type="spellStart"/>
      <w:r w:rsidRPr="00121A6A">
        <w:rPr>
          <w:sz w:val="24"/>
          <w:szCs w:val="24"/>
          <w:lang w:val="en-US"/>
        </w:rPr>
        <w:t>Teklè</w:t>
      </w:r>
      <w:proofErr w:type="spellEnd"/>
      <w:r w:rsidRPr="00121A6A">
        <w:rPr>
          <w:sz w:val="24"/>
          <w:szCs w:val="24"/>
          <w:lang w:val="en-US"/>
        </w:rPr>
        <w:t>, ‘</w:t>
      </w:r>
      <w:proofErr w:type="spellStart"/>
      <w:r w:rsidRPr="00121A6A">
        <w:rPr>
          <w:sz w:val="24"/>
          <w:szCs w:val="24"/>
          <w:lang w:val="en-US"/>
        </w:rPr>
        <w:t>Labour</w:t>
      </w:r>
      <w:proofErr w:type="spellEnd"/>
      <w:r w:rsidRPr="00121A6A">
        <w:rPr>
          <w:sz w:val="24"/>
          <w:szCs w:val="24"/>
          <w:lang w:val="en-US"/>
        </w:rPr>
        <w:t xml:space="preserve"> Rights and the Case Law of the European Court of Justice: What Role for International </w:t>
      </w:r>
      <w:proofErr w:type="spellStart"/>
      <w:r w:rsidRPr="00121A6A">
        <w:rPr>
          <w:sz w:val="24"/>
          <w:szCs w:val="24"/>
          <w:lang w:val="en-US"/>
        </w:rPr>
        <w:t>Labour</w:t>
      </w:r>
      <w:proofErr w:type="spellEnd"/>
      <w:r w:rsidRPr="00121A6A">
        <w:rPr>
          <w:sz w:val="24"/>
          <w:szCs w:val="24"/>
          <w:lang w:val="en-US"/>
        </w:rPr>
        <w:t xml:space="preserve"> Standards?’, </w:t>
      </w:r>
      <w:r w:rsidRPr="00121A6A">
        <w:rPr>
          <w:i/>
          <w:iCs/>
          <w:sz w:val="24"/>
          <w:szCs w:val="24"/>
          <w:lang w:val="en-US"/>
        </w:rPr>
        <w:t xml:space="preserve">European </w:t>
      </w:r>
      <w:proofErr w:type="spellStart"/>
      <w:r w:rsidRPr="00121A6A">
        <w:rPr>
          <w:i/>
          <w:iCs/>
          <w:sz w:val="24"/>
          <w:szCs w:val="24"/>
          <w:lang w:val="en-US"/>
        </w:rPr>
        <w:t>Labour</w:t>
      </w:r>
      <w:proofErr w:type="spellEnd"/>
      <w:r w:rsidRPr="00121A6A">
        <w:rPr>
          <w:i/>
          <w:iCs/>
          <w:sz w:val="24"/>
          <w:szCs w:val="24"/>
          <w:lang w:val="en-US"/>
        </w:rPr>
        <w:t xml:space="preserve"> Law Journal</w:t>
      </w:r>
      <w:r w:rsidRPr="00121A6A">
        <w:rPr>
          <w:sz w:val="24"/>
          <w:szCs w:val="24"/>
          <w:lang w:val="en-US"/>
        </w:rPr>
        <w:t xml:space="preserve"> 2018</w:t>
      </w:r>
      <w:r w:rsidR="00BC2384" w:rsidRPr="00121A6A">
        <w:rPr>
          <w:sz w:val="24"/>
          <w:szCs w:val="24"/>
          <w:lang w:val="en-US"/>
        </w:rPr>
        <w:t xml:space="preserve">, </w:t>
      </w:r>
      <w:proofErr w:type="spellStart"/>
      <w:r w:rsidR="00BC2384" w:rsidRPr="00121A6A">
        <w:rPr>
          <w:sz w:val="24"/>
          <w:szCs w:val="24"/>
          <w:lang w:val="en-US"/>
        </w:rPr>
        <w:t>afl</w:t>
      </w:r>
      <w:proofErr w:type="spellEnd"/>
      <w:r w:rsidR="00BC2384" w:rsidRPr="00121A6A">
        <w:rPr>
          <w:sz w:val="24"/>
          <w:szCs w:val="24"/>
          <w:lang w:val="en-US"/>
        </w:rPr>
        <w:t xml:space="preserve">. </w:t>
      </w:r>
      <w:r w:rsidRPr="00121A6A">
        <w:rPr>
          <w:sz w:val="24"/>
          <w:szCs w:val="24"/>
          <w:lang w:val="en-US"/>
        </w:rPr>
        <w:t xml:space="preserve">3, p. 236-262. </w:t>
      </w:r>
    </w:p>
    <w:p w14:paraId="45C272D1" w14:textId="77777777" w:rsidR="00D81E28" w:rsidRPr="00121A6A" w:rsidRDefault="00D81E28" w:rsidP="00030EF2">
      <w:pPr>
        <w:spacing w:after="0"/>
        <w:jc w:val="both"/>
        <w:rPr>
          <w:sz w:val="24"/>
          <w:szCs w:val="24"/>
          <w:lang w:val="en-US"/>
        </w:rPr>
      </w:pPr>
    </w:p>
    <w:p w14:paraId="6C617B5F" w14:textId="6500A705" w:rsidR="00D81E28" w:rsidRPr="00121A6A" w:rsidRDefault="00D81E28" w:rsidP="00030EF2">
      <w:pPr>
        <w:spacing w:after="0"/>
        <w:jc w:val="both"/>
        <w:rPr>
          <w:b/>
          <w:bCs/>
          <w:sz w:val="24"/>
          <w:szCs w:val="24"/>
        </w:rPr>
      </w:pPr>
      <w:r w:rsidRPr="00121A6A">
        <w:rPr>
          <w:b/>
          <w:bCs/>
          <w:sz w:val="24"/>
          <w:szCs w:val="24"/>
        </w:rPr>
        <w:t xml:space="preserve">Ter Haar, </w:t>
      </w:r>
      <w:proofErr w:type="spellStart"/>
      <w:r w:rsidRPr="00121A6A">
        <w:rPr>
          <w:b/>
          <w:bCs/>
          <w:i/>
          <w:iCs/>
          <w:sz w:val="24"/>
          <w:szCs w:val="24"/>
        </w:rPr>
        <w:t>ArA</w:t>
      </w:r>
      <w:proofErr w:type="spellEnd"/>
      <w:r w:rsidRPr="00121A6A">
        <w:rPr>
          <w:b/>
          <w:bCs/>
          <w:i/>
          <w:iCs/>
          <w:sz w:val="24"/>
          <w:szCs w:val="24"/>
        </w:rPr>
        <w:t xml:space="preserve"> </w:t>
      </w:r>
      <w:r w:rsidRPr="00121A6A">
        <w:rPr>
          <w:b/>
          <w:bCs/>
          <w:sz w:val="24"/>
          <w:szCs w:val="24"/>
        </w:rPr>
        <w:t>2021</w:t>
      </w:r>
    </w:p>
    <w:p w14:paraId="2D90B1DE" w14:textId="6FA77B01" w:rsidR="00D81E28" w:rsidRPr="00121A6A" w:rsidRDefault="00D81E28" w:rsidP="00D81E28">
      <w:pPr>
        <w:spacing w:after="0"/>
        <w:jc w:val="both"/>
        <w:rPr>
          <w:sz w:val="24"/>
          <w:szCs w:val="24"/>
        </w:rPr>
      </w:pPr>
      <w:r w:rsidRPr="00121A6A">
        <w:rPr>
          <w:sz w:val="24"/>
          <w:szCs w:val="24"/>
        </w:rPr>
        <w:t>B. Ter Haar, ‘Rechtstreekse horizontale werking van het EU Handvest in getrapte vorm</w:t>
      </w:r>
      <w:r w:rsidR="00DB2BA1" w:rsidRPr="00121A6A">
        <w:rPr>
          <w:sz w:val="24"/>
          <w:szCs w:val="24"/>
        </w:rPr>
        <w:t>’,</w:t>
      </w:r>
      <w:r w:rsidRPr="00121A6A">
        <w:rPr>
          <w:sz w:val="24"/>
          <w:szCs w:val="24"/>
        </w:rPr>
        <w:t xml:space="preserve"> </w:t>
      </w:r>
      <w:r w:rsidRPr="00121A6A">
        <w:rPr>
          <w:i/>
          <w:iCs/>
          <w:sz w:val="24"/>
          <w:szCs w:val="24"/>
        </w:rPr>
        <w:t xml:space="preserve">Arbeidsrechtelijke Annotaties </w:t>
      </w:r>
      <w:r w:rsidRPr="00121A6A">
        <w:rPr>
          <w:sz w:val="24"/>
          <w:szCs w:val="24"/>
        </w:rPr>
        <w:t>2021</w:t>
      </w:r>
      <w:r w:rsidR="00BC2384" w:rsidRPr="00121A6A">
        <w:rPr>
          <w:sz w:val="24"/>
          <w:szCs w:val="24"/>
        </w:rPr>
        <w:t xml:space="preserve">, afl. </w:t>
      </w:r>
      <w:r w:rsidRPr="00121A6A">
        <w:rPr>
          <w:sz w:val="24"/>
          <w:szCs w:val="24"/>
        </w:rPr>
        <w:t>3, p. 74-85.</w:t>
      </w:r>
    </w:p>
    <w:p w14:paraId="06883D26" w14:textId="77777777" w:rsidR="00732740" w:rsidRPr="00121A6A" w:rsidRDefault="00732740" w:rsidP="00D81E28">
      <w:pPr>
        <w:spacing w:after="0"/>
        <w:jc w:val="both"/>
        <w:rPr>
          <w:sz w:val="24"/>
          <w:szCs w:val="24"/>
        </w:rPr>
      </w:pPr>
    </w:p>
    <w:p w14:paraId="645DB67B" w14:textId="4137B89E" w:rsidR="00732740" w:rsidRPr="00121A6A" w:rsidRDefault="00732740" w:rsidP="00D81E28">
      <w:pPr>
        <w:spacing w:after="0"/>
        <w:jc w:val="both"/>
        <w:rPr>
          <w:b/>
          <w:bCs/>
          <w:sz w:val="24"/>
          <w:szCs w:val="24"/>
          <w:lang w:val="en-US"/>
        </w:rPr>
      </w:pPr>
      <w:r w:rsidRPr="00121A6A">
        <w:rPr>
          <w:b/>
          <w:bCs/>
          <w:sz w:val="24"/>
          <w:szCs w:val="24"/>
          <w:lang w:val="en-US"/>
        </w:rPr>
        <w:t>Timmermans 2014</w:t>
      </w:r>
    </w:p>
    <w:p w14:paraId="18C6BEAC" w14:textId="464BC148" w:rsidR="00732740" w:rsidRPr="00121A6A" w:rsidRDefault="00732740" w:rsidP="00D81E28">
      <w:pPr>
        <w:spacing w:after="0"/>
        <w:jc w:val="both"/>
        <w:rPr>
          <w:sz w:val="24"/>
          <w:szCs w:val="24"/>
          <w:lang w:val="en-US"/>
        </w:rPr>
      </w:pPr>
      <w:r w:rsidRPr="00121A6A">
        <w:rPr>
          <w:sz w:val="24"/>
          <w:szCs w:val="24"/>
          <w:lang w:val="en-US"/>
        </w:rPr>
        <w:t xml:space="preserve">C. Timmermans, </w:t>
      </w:r>
      <w:r w:rsidR="00DB2BA1" w:rsidRPr="00121A6A">
        <w:rPr>
          <w:sz w:val="24"/>
          <w:szCs w:val="24"/>
          <w:lang w:val="en-US"/>
        </w:rPr>
        <w:t>‘</w:t>
      </w:r>
      <w:r w:rsidRPr="00121A6A">
        <w:rPr>
          <w:sz w:val="24"/>
          <w:szCs w:val="24"/>
          <w:lang w:val="en-US"/>
        </w:rPr>
        <w:t>Will the Accession of the EU to the European Convention on Human Rights fundamentally change the relationship between the Luxemburg and the Strasbourg Court?’,</w:t>
      </w:r>
      <w:r w:rsidR="00B302FA" w:rsidRPr="00121A6A">
        <w:rPr>
          <w:sz w:val="24"/>
          <w:szCs w:val="24"/>
          <w:lang w:val="en-US"/>
        </w:rPr>
        <w:t xml:space="preserve"> European University Institute</w:t>
      </w:r>
      <w:r w:rsidR="000B038F" w:rsidRPr="00121A6A">
        <w:rPr>
          <w:sz w:val="24"/>
          <w:szCs w:val="24"/>
          <w:lang w:val="en-US"/>
        </w:rPr>
        <w:t xml:space="preserve"> (EUI) Law</w:t>
      </w:r>
      <w:r w:rsidR="00822F7E">
        <w:rPr>
          <w:sz w:val="24"/>
          <w:szCs w:val="24"/>
          <w:lang w:val="en-US"/>
        </w:rPr>
        <w:t>,</w:t>
      </w:r>
      <w:r w:rsidRPr="00121A6A">
        <w:rPr>
          <w:sz w:val="24"/>
          <w:szCs w:val="24"/>
          <w:lang w:val="en-US"/>
        </w:rPr>
        <w:t xml:space="preserve"> Centre for Judicial Cooperation</w:t>
      </w:r>
      <w:r w:rsidR="00B302FA" w:rsidRPr="00121A6A">
        <w:rPr>
          <w:sz w:val="24"/>
          <w:szCs w:val="24"/>
          <w:lang w:val="en-US"/>
        </w:rPr>
        <w:t>,</w:t>
      </w:r>
      <w:r w:rsidRPr="00121A6A">
        <w:rPr>
          <w:sz w:val="24"/>
          <w:szCs w:val="24"/>
          <w:lang w:val="en-US"/>
        </w:rPr>
        <w:t xml:space="preserve"> Distinguished Lecture</w:t>
      </w:r>
      <w:r w:rsidRPr="00121A6A">
        <w:rPr>
          <w:i/>
          <w:iCs/>
          <w:sz w:val="24"/>
          <w:szCs w:val="24"/>
          <w:lang w:val="en-US"/>
        </w:rPr>
        <w:t xml:space="preserve"> </w:t>
      </w:r>
      <w:r w:rsidRPr="00121A6A">
        <w:rPr>
          <w:sz w:val="24"/>
          <w:szCs w:val="24"/>
          <w:lang w:val="en-US"/>
        </w:rPr>
        <w:t xml:space="preserve">2014. </w:t>
      </w:r>
    </w:p>
    <w:p w14:paraId="4F420B7D" w14:textId="77777777" w:rsidR="00D81E28" w:rsidRPr="00121A6A" w:rsidRDefault="00D81E28" w:rsidP="00030EF2">
      <w:pPr>
        <w:spacing w:after="0"/>
        <w:jc w:val="both"/>
        <w:rPr>
          <w:sz w:val="24"/>
          <w:szCs w:val="24"/>
          <w:lang w:val="en-US"/>
        </w:rPr>
      </w:pPr>
    </w:p>
    <w:p w14:paraId="5AE027CE" w14:textId="3869464D" w:rsidR="00D81E28" w:rsidRPr="00121A6A" w:rsidRDefault="00D81E28" w:rsidP="00030EF2">
      <w:pPr>
        <w:spacing w:after="0"/>
        <w:jc w:val="both"/>
        <w:rPr>
          <w:b/>
          <w:bCs/>
          <w:sz w:val="24"/>
          <w:szCs w:val="24"/>
          <w:lang w:val="en-US"/>
        </w:rPr>
      </w:pPr>
      <w:r w:rsidRPr="00121A6A">
        <w:rPr>
          <w:b/>
          <w:bCs/>
          <w:sz w:val="24"/>
          <w:szCs w:val="24"/>
          <w:lang w:val="en-US"/>
        </w:rPr>
        <w:t xml:space="preserve">Truxal &amp; Drew, </w:t>
      </w:r>
      <w:r w:rsidRPr="00121A6A">
        <w:rPr>
          <w:b/>
          <w:bCs/>
          <w:i/>
          <w:iCs/>
          <w:sz w:val="24"/>
          <w:szCs w:val="24"/>
          <w:lang w:val="en-US"/>
        </w:rPr>
        <w:t>Air &amp; Space Law</w:t>
      </w:r>
      <w:r w:rsidRPr="00121A6A">
        <w:rPr>
          <w:b/>
          <w:bCs/>
          <w:sz w:val="24"/>
          <w:szCs w:val="24"/>
          <w:lang w:val="en-US"/>
        </w:rPr>
        <w:t xml:space="preserve"> 2022</w:t>
      </w:r>
    </w:p>
    <w:p w14:paraId="5892B9B6" w14:textId="2261FC43" w:rsidR="00D81E28" w:rsidRPr="00121A6A" w:rsidRDefault="00D81E28" w:rsidP="00D81E28">
      <w:pPr>
        <w:spacing w:after="0"/>
        <w:jc w:val="both"/>
        <w:rPr>
          <w:sz w:val="24"/>
          <w:szCs w:val="24"/>
          <w:lang w:val="en-US"/>
        </w:rPr>
      </w:pPr>
      <w:r w:rsidRPr="00121A6A">
        <w:rPr>
          <w:sz w:val="24"/>
          <w:szCs w:val="24"/>
          <w:lang w:val="en-US"/>
        </w:rPr>
        <w:t xml:space="preserve">S.J. Truxal &amp; S. Drew, ‘Consumers, air carriers and workers in the European Union: two sides of the triangle’, </w:t>
      </w:r>
      <w:r w:rsidRPr="00121A6A">
        <w:rPr>
          <w:i/>
          <w:iCs/>
          <w:sz w:val="24"/>
          <w:szCs w:val="24"/>
          <w:lang w:val="en-US"/>
        </w:rPr>
        <w:t>Air &amp; Space Law</w:t>
      </w:r>
      <w:r w:rsidRPr="00121A6A">
        <w:rPr>
          <w:sz w:val="24"/>
          <w:szCs w:val="24"/>
          <w:lang w:val="en-US"/>
        </w:rPr>
        <w:t xml:space="preserve"> 2022</w:t>
      </w:r>
      <w:r w:rsidR="00E10EE1" w:rsidRPr="00121A6A">
        <w:rPr>
          <w:sz w:val="24"/>
          <w:szCs w:val="24"/>
          <w:lang w:val="en-US"/>
        </w:rPr>
        <w:t xml:space="preserve">, </w:t>
      </w:r>
      <w:proofErr w:type="spellStart"/>
      <w:r w:rsidR="00E10EE1" w:rsidRPr="00121A6A">
        <w:rPr>
          <w:sz w:val="24"/>
          <w:szCs w:val="24"/>
          <w:lang w:val="en-US"/>
        </w:rPr>
        <w:t>afl</w:t>
      </w:r>
      <w:proofErr w:type="spellEnd"/>
      <w:r w:rsidR="00E10EE1" w:rsidRPr="00121A6A">
        <w:rPr>
          <w:sz w:val="24"/>
          <w:szCs w:val="24"/>
          <w:lang w:val="en-US"/>
        </w:rPr>
        <w:t xml:space="preserve">. </w:t>
      </w:r>
      <w:r w:rsidRPr="00121A6A">
        <w:rPr>
          <w:sz w:val="24"/>
          <w:szCs w:val="24"/>
          <w:lang w:val="en-US"/>
        </w:rPr>
        <w:t>1, p. 111-134.</w:t>
      </w:r>
    </w:p>
    <w:p w14:paraId="213D2650" w14:textId="77777777" w:rsidR="006C1830" w:rsidRPr="00121A6A" w:rsidRDefault="006C1830" w:rsidP="00D81E28">
      <w:pPr>
        <w:spacing w:after="0"/>
        <w:jc w:val="both"/>
        <w:rPr>
          <w:sz w:val="24"/>
          <w:szCs w:val="24"/>
          <w:lang w:val="en-US"/>
        </w:rPr>
      </w:pPr>
    </w:p>
    <w:p w14:paraId="39C25255" w14:textId="6EDD69B5" w:rsidR="006C1830" w:rsidRPr="00121A6A" w:rsidRDefault="006C1830" w:rsidP="00D81E28">
      <w:pPr>
        <w:spacing w:after="0"/>
        <w:jc w:val="both"/>
        <w:rPr>
          <w:b/>
          <w:bCs/>
          <w:sz w:val="24"/>
          <w:szCs w:val="24"/>
          <w:lang w:val="en-US"/>
        </w:rPr>
      </w:pPr>
      <w:proofErr w:type="spellStart"/>
      <w:r w:rsidRPr="00121A6A">
        <w:rPr>
          <w:b/>
          <w:bCs/>
          <w:sz w:val="24"/>
          <w:szCs w:val="24"/>
          <w:lang w:val="en-US"/>
        </w:rPr>
        <w:t>Ugartemendia</w:t>
      </w:r>
      <w:proofErr w:type="spellEnd"/>
      <w:r w:rsidRPr="00121A6A">
        <w:rPr>
          <w:b/>
          <w:bCs/>
          <w:sz w:val="24"/>
          <w:szCs w:val="24"/>
          <w:lang w:val="en-US"/>
        </w:rPr>
        <w:t xml:space="preserve"> 2021</w:t>
      </w:r>
    </w:p>
    <w:p w14:paraId="4F7CEABF" w14:textId="07AE190C" w:rsidR="006C1830" w:rsidRPr="00121A6A" w:rsidRDefault="006C1830" w:rsidP="006C1830">
      <w:pPr>
        <w:spacing w:after="0"/>
        <w:jc w:val="both"/>
        <w:rPr>
          <w:sz w:val="24"/>
          <w:szCs w:val="24"/>
          <w:lang w:val="en-US"/>
        </w:rPr>
      </w:pPr>
      <w:r w:rsidRPr="00121A6A">
        <w:rPr>
          <w:sz w:val="24"/>
          <w:szCs w:val="24"/>
          <w:lang w:val="en-US"/>
        </w:rPr>
        <w:t xml:space="preserve">J.I. </w:t>
      </w:r>
      <w:proofErr w:type="spellStart"/>
      <w:r w:rsidRPr="00121A6A">
        <w:rPr>
          <w:sz w:val="24"/>
          <w:szCs w:val="24"/>
          <w:lang w:val="en-US"/>
        </w:rPr>
        <w:t>Ugartemendia</w:t>
      </w:r>
      <w:proofErr w:type="spellEnd"/>
      <w:r w:rsidRPr="00121A6A">
        <w:rPr>
          <w:sz w:val="24"/>
          <w:szCs w:val="24"/>
          <w:lang w:val="en-US"/>
        </w:rPr>
        <w:t>, ‘The Horizontal Effect of the EU Charter of Fundamental Rights in the Case Law of the Court of Justice’, in: C. Izquierdo-Sans, C. Martínez-Capdevila &amp; M. Nogueira-Guastavino (</w:t>
      </w:r>
      <w:r w:rsidR="00822F7E">
        <w:rPr>
          <w:sz w:val="24"/>
          <w:szCs w:val="24"/>
          <w:lang w:val="en-US"/>
        </w:rPr>
        <w:t>eds</w:t>
      </w:r>
      <w:r w:rsidRPr="00121A6A">
        <w:rPr>
          <w:sz w:val="24"/>
          <w:szCs w:val="24"/>
          <w:lang w:val="en-US"/>
        </w:rPr>
        <w:t xml:space="preserve">.), </w:t>
      </w:r>
      <w:r w:rsidRPr="00121A6A">
        <w:rPr>
          <w:i/>
          <w:iCs/>
          <w:sz w:val="24"/>
          <w:szCs w:val="24"/>
          <w:lang w:val="en-US"/>
        </w:rPr>
        <w:t>Fundamental Rights Challenges. Horizontal Effectiveness, Rule of Law and Margin of National Appreciation</w:t>
      </w:r>
      <w:r w:rsidRPr="00121A6A">
        <w:rPr>
          <w:sz w:val="24"/>
          <w:szCs w:val="24"/>
          <w:lang w:val="en-US"/>
        </w:rPr>
        <w:t xml:space="preserve">, Cham, </w:t>
      </w:r>
      <w:proofErr w:type="spellStart"/>
      <w:r w:rsidRPr="00121A6A">
        <w:rPr>
          <w:sz w:val="24"/>
          <w:szCs w:val="24"/>
          <w:lang w:val="en-US"/>
        </w:rPr>
        <w:t>Zwitserland</w:t>
      </w:r>
      <w:proofErr w:type="spellEnd"/>
      <w:r w:rsidRPr="00121A6A">
        <w:rPr>
          <w:sz w:val="24"/>
          <w:szCs w:val="24"/>
          <w:lang w:val="en-US"/>
        </w:rPr>
        <w:t>: Springer 2021</w:t>
      </w:r>
      <w:r w:rsidR="003113BE" w:rsidRPr="00121A6A">
        <w:rPr>
          <w:sz w:val="24"/>
          <w:szCs w:val="24"/>
          <w:lang w:val="en-US"/>
        </w:rPr>
        <w:t>, p. 11-21.</w:t>
      </w:r>
    </w:p>
    <w:p w14:paraId="3199B8A5" w14:textId="77777777" w:rsidR="001C6267" w:rsidRPr="00121A6A" w:rsidRDefault="001C6267" w:rsidP="006C1830">
      <w:pPr>
        <w:spacing w:after="0"/>
        <w:jc w:val="both"/>
        <w:rPr>
          <w:sz w:val="24"/>
          <w:szCs w:val="24"/>
          <w:lang w:val="en-US"/>
        </w:rPr>
      </w:pPr>
    </w:p>
    <w:p w14:paraId="3E61150A" w14:textId="2D7105DD" w:rsidR="001C6267" w:rsidRPr="00121A6A" w:rsidRDefault="001C6267" w:rsidP="006C1830">
      <w:pPr>
        <w:spacing w:after="0"/>
        <w:jc w:val="both"/>
        <w:rPr>
          <w:b/>
          <w:bCs/>
          <w:sz w:val="24"/>
          <w:szCs w:val="24"/>
        </w:rPr>
      </w:pPr>
      <w:r w:rsidRPr="00121A6A">
        <w:rPr>
          <w:b/>
          <w:bCs/>
          <w:sz w:val="24"/>
          <w:szCs w:val="24"/>
        </w:rPr>
        <w:t xml:space="preserve">Van Den &amp; Bij de </w:t>
      </w:r>
      <w:proofErr w:type="spellStart"/>
      <w:r w:rsidRPr="00121A6A">
        <w:rPr>
          <w:b/>
          <w:bCs/>
          <w:sz w:val="24"/>
          <w:szCs w:val="24"/>
        </w:rPr>
        <w:t>Vaate</w:t>
      </w:r>
      <w:proofErr w:type="spellEnd"/>
      <w:r w:rsidRPr="00121A6A">
        <w:rPr>
          <w:b/>
          <w:bCs/>
          <w:sz w:val="24"/>
          <w:szCs w:val="24"/>
        </w:rPr>
        <w:t xml:space="preserve">, </w:t>
      </w:r>
      <w:r w:rsidRPr="00121A6A">
        <w:rPr>
          <w:b/>
          <w:bCs/>
          <w:i/>
          <w:iCs/>
          <w:sz w:val="24"/>
          <w:szCs w:val="24"/>
        </w:rPr>
        <w:t xml:space="preserve">TRA </w:t>
      </w:r>
      <w:r w:rsidRPr="00121A6A">
        <w:rPr>
          <w:b/>
          <w:bCs/>
          <w:sz w:val="24"/>
          <w:szCs w:val="24"/>
        </w:rPr>
        <w:t>2020/12</w:t>
      </w:r>
    </w:p>
    <w:p w14:paraId="238A6A43" w14:textId="7BE5EF76" w:rsidR="001C6267" w:rsidRPr="00121A6A" w:rsidRDefault="001C6267" w:rsidP="006C1830">
      <w:pPr>
        <w:spacing w:after="0"/>
        <w:jc w:val="both"/>
        <w:rPr>
          <w:sz w:val="24"/>
          <w:szCs w:val="24"/>
        </w:rPr>
      </w:pPr>
      <w:r w:rsidRPr="00121A6A">
        <w:rPr>
          <w:sz w:val="24"/>
          <w:szCs w:val="24"/>
        </w:rPr>
        <w:t xml:space="preserve">C. van Den &amp; D.M.A. </w:t>
      </w:r>
      <w:r w:rsidR="00E10EE1" w:rsidRPr="00121A6A">
        <w:rPr>
          <w:sz w:val="24"/>
          <w:szCs w:val="24"/>
        </w:rPr>
        <w:t>b</w:t>
      </w:r>
      <w:r w:rsidRPr="00121A6A">
        <w:rPr>
          <w:sz w:val="24"/>
          <w:szCs w:val="24"/>
        </w:rPr>
        <w:t xml:space="preserve">ij de </w:t>
      </w:r>
      <w:proofErr w:type="spellStart"/>
      <w:r w:rsidRPr="00121A6A">
        <w:rPr>
          <w:sz w:val="24"/>
          <w:szCs w:val="24"/>
        </w:rPr>
        <w:t>Vaate</w:t>
      </w:r>
      <w:proofErr w:type="spellEnd"/>
      <w:r w:rsidRPr="00121A6A">
        <w:rPr>
          <w:sz w:val="24"/>
          <w:szCs w:val="24"/>
        </w:rPr>
        <w:t xml:space="preserve">, ‘Collectief procederen door de vakbond’, </w:t>
      </w:r>
      <w:r w:rsidRPr="00121A6A">
        <w:rPr>
          <w:i/>
          <w:iCs/>
          <w:sz w:val="24"/>
          <w:szCs w:val="24"/>
        </w:rPr>
        <w:t>Tijdschrift Recht en Arbeid</w:t>
      </w:r>
      <w:r w:rsidRPr="00121A6A">
        <w:rPr>
          <w:sz w:val="24"/>
          <w:szCs w:val="24"/>
        </w:rPr>
        <w:t xml:space="preserve"> 2020/12</w:t>
      </w:r>
      <w:r w:rsidR="00E10EE1" w:rsidRPr="00121A6A">
        <w:rPr>
          <w:sz w:val="24"/>
          <w:szCs w:val="24"/>
        </w:rPr>
        <w:t>, af</w:t>
      </w:r>
      <w:r w:rsidR="00453DBF">
        <w:rPr>
          <w:sz w:val="24"/>
          <w:szCs w:val="24"/>
        </w:rPr>
        <w:t>l</w:t>
      </w:r>
      <w:r w:rsidR="00E10EE1" w:rsidRPr="00121A6A">
        <w:rPr>
          <w:sz w:val="24"/>
          <w:szCs w:val="24"/>
        </w:rPr>
        <w:t>. 2, p. 2-9</w:t>
      </w:r>
      <w:r w:rsidRPr="00121A6A">
        <w:rPr>
          <w:sz w:val="24"/>
          <w:szCs w:val="24"/>
        </w:rPr>
        <w:t>.</w:t>
      </w:r>
    </w:p>
    <w:p w14:paraId="0C90DD2D" w14:textId="77777777" w:rsidR="00D46AF4" w:rsidRPr="00121A6A" w:rsidRDefault="00D46AF4" w:rsidP="00030EF2">
      <w:pPr>
        <w:spacing w:after="0"/>
        <w:jc w:val="both"/>
        <w:rPr>
          <w:sz w:val="24"/>
          <w:szCs w:val="24"/>
        </w:rPr>
      </w:pPr>
    </w:p>
    <w:p w14:paraId="0941F2CF" w14:textId="61073826" w:rsidR="00D46AF4" w:rsidRPr="00121A6A" w:rsidRDefault="00D46AF4" w:rsidP="00030EF2">
      <w:pPr>
        <w:spacing w:after="0"/>
        <w:jc w:val="both"/>
        <w:rPr>
          <w:b/>
          <w:bCs/>
          <w:sz w:val="24"/>
          <w:szCs w:val="24"/>
        </w:rPr>
      </w:pPr>
      <w:r w:rsidRPr="00121A6A">
        <w:rPr>
          <w:b/>
          <w:bCs/>
          <w:sz w:val="24"/>
          <w:szCs w:val="24"/>
        </w:rPr>
        <w:t xml:space="preserve">Van der Heijden, </w:t>
      </w:r>
      <w:r w:rsidRPr="00121A6A">
        <w:rPr>
          <w:b/>
          <w:bCs/>
          <w:i/>
          <w:iCs/>
          <w:sz w:val="24"/>
          <w:szCs w:val="24"/>
        </w:rPr>
        <w:t>TRA</w:t>
      </w:r>
      <w:r w:rsidRPr="00121A6A">
        <w:rPr>
          <w:b/>
          <w:bCs/>
          <w:sz w:val="24"/>
          <w:szCs w:val="24"/>
        </w:rPr>
        <w:t xml:space="preserve"> 2017/36</w:t>
      </w:r>
    </w:p>
    <w:p w14:paraId="70DBDB12" w14:textId="1FC97E9A" w:rsidR="00D46AF4" w:rsidRPr="00121A6A" w:rsidRDefault="00D46AF4" w:rsidP="00030EF2">
      <w:pPr>
        <w:spacing w:after="0"/>
        <w:jc w:val="both"/>
        <w:rPr>
          <w:sz w:val="24"/>
          <w:szCs w:val="24"/>
        </w:rPr>
      </w:pPr>
      <w:r w:rsidRPr="00121A6A">
        <w:rPr>
          <w:sz w:val="24"/>
          <w:szCs w:val="24"/>
        </w:rPr>
        <w:t xml:space="preserve">P.F. van der Heijden, ‘De ILO: struikelend op weg naar de 100’, </w:t>
      </w:r>
      <w:r w:rsidRPr="00121A6A">
        <w:rPr>
          <w:i/>
          <w:iCs/>
          <w:sz w:val="24"/>
          <w:szCs w:val="24"/>
        </w:rPr>
        <w:t>Tijdschrift Recht en Arbeid</w:t>
      </w:r>
      <w:r w:rsidRPr="00121A6A">
        <w:rPr>
          <w:sz w:val="24"/>
          <w:szCs w:val="24"/>
        </w:rPr>
        <w:t xml:space="preserve"> 2017/36, </w:t>
      </w:r>
      <w:r w:rsidR="00E10EE1" w:rsidRPr="00121A6A">
        <w:rPr>
          <w:sz w:val="24"/>
          <w:szCs w:val="24"/>
        </w:rPr>
        <w:t>a</w:t>
      </w:r>
      <w:r w:rsidRPr="00121A6A">
        <w:rPr>
          <w:sz w:val="24"/>
          <w:szCs w:val="24"/>
        </w:rPr>
        <w:t>fl. 4, p. 3-9.</w:t>
      </w:r>
    </w:p>
    <w:p w14:paraId="57D27856" w14:textId="77777777" w:rsidR="00BF6C9A" w:rsidRPr="00121A6A" w:rsidRDefault="00BF6C9A" w:rsidP="00030EF2">
      <w:pPr>
        <w:spacing w:after="0"/>
        <w:jc w:val="both"/>
        <w:rPr>
          <w:sz w:val="24"/>
          <w:szCs w:val="24"/>
        </w:rPr>
      </w:pPr>
    </w:p>
    <w:p w14:paraId="27D0AFF4" w14:textId="0BFAE941" w:rsidR="00BF6C9A" w:rsidRPr="00121A6A" w:rsidRDefault="00BF6C9A" w:rsidP="00030EF2">
      <w:pPr>
        <w:spacing w:after="0"/>
        <w:jc w:val="both"/>
        <w:rPr>
          <w:b/>
          <w:bCs/>
          <w:sz w:val="24"/>
          <w:szCs w:val="24"/>
          <w:lang w:val="en-US"/>
        </w:rPr>
      </w:pPr>
      <w:r w:rsidRPr="00121A6A">
        <w:rPr>
          <w:b/>
          <w:bCs/>
          <w:sz w:val="24"/>
          <w:szCs w:val="24"/>
          <w:lang w:val="en-US"/>
        </w:rPr>
        <w:t>Van Hiel 2013</w:t>
      </w:r>
    </w:p>
    <w:p w14:paraId="25D57758" w14:textId="5577482C" w:rsidR="002C168A" w:rsidRPr="002C168A" w:rsidRDefault="00BF6C9A" w:rsidP="00030EF2">
      <w:pPr>
        <w:spacing w:after="0"/>
        <w:jc w:val="both"/>
        <w:rPr>
          <w:sz w:val="24"/>
          <w:szCs w:val="24"/>
          <w:lang w:val="en-US"/>
        </w:rPr>
      </w:pPr>
      <w:r w:rsidRPr="00121A6A">
        <w:rPr>
          <w:sz w:val="24"/>
          <w:szCs w:val="24"/>
          <w:lang w:val="en-US"/>
        </w:rPr>
        <w:t>I. van Hiel, ‘The Right to Form and Join Trade Unions Protected by Article 11 ECHR</w:t>
      </w:r>
      <w:r w:rsidR="00453DBF">
        <w:rPr>
          <w:sz w:val="24"/>
          <w:szCs w:val="24"/>
          <w:lang w:val="en-US"/>
        </w:rPr>
        <w:t>’</w:t>
      </w:r>
      <w:r w:rsidRPr="00121A6A">
        <w:rPr>
          <w:sz w:val="24"/>
          <w:szCs w:val="24"/>
          <w:lang w:val="en-US"/>
        </w:rPr>
        <w:t xml:space="preserve">, in: F. </w:t>
      </w:r>
      <w:proofErr w:type="spellStart"/>
      <w:r w:rsidRPr="00121A6A">
        <w:rPr>
          <w:sz w:val="24"/>
          <w:szCs w:val="24"/>
          <w:lang w:val="en-US"/>
        </w:rPr>
        <w:t>Dorssemont</w:t>
      </w:r>
      <w:proofErr w:type="spellEnd"/>
      <w:r w:rsidRPr="00121A6A">
        <w:rPr>
          <w:sz w:val="24"/>
          <w:szCs w:val="24"/>
          <w:lang w:val="en-US"/>
        </w:rPr>
        <w:t xml:space="preserve">, K. </w:t>
      </w:r>
      <w:proofErr w:type="spellStart"/>
      <w:r w:rsidRPr="00121A6A">
        <w:rPr>
          <w:sz w:val="24"/>
          <w:szCs w:val="24"/>
          <w:lang w:val="en-US"/>
        </w:rPr>
        <w:t>Lörcher</w:t>
      </w:r>
      <w:proofErr w:type="spellEnd"/>
      <w:r w:rsidRPr="00121A6A">
        <w:rPr>
          <w:sz w:val="24"/>
          <w:szCs w:val="24"/>
          <w:lang w:val="en-US"/>
        </w:rPr>
        <w:t xml:space="preserve"> &amp; I. </w:t>
      </w:r>
      <w:proofErr w:type="spellStart"/>
      <w:r w:rsidRPr="00121A6A">
        <w:rPr>
          <w:sz w:val="24"/>
          <w:szCs w:val="24"/>
          <w:lang w:val="en-US"/>
        </w:rPr>
        <w:t>Schömann</w:t>
      </w:r>
      <w:proofErr w:type="spellEnd"/>
      <w:r w:rsidRPr="00121A6A">
        <w:rPr>
          <w:sz w:val="24"/>
          <w:szCs w:val="24"/>
          <w:lang w:val="en-US"/>
        </w:rPr>
        <w:t xml:space="preserve"> (</w:t>
      </w:r>
      <w:r w:rsidR="00822F7E">
        <w:rPr>
          <w:sz w:val="24"/>
          <w:szCs w:val="24"/>
          <w:lang w:val="en-US"/>
        </w:rPr>
        <w:t>eds</w:t>
      </w:r>
      <w:r w:rsidRPr="00121A6A">
        <w:rPr>
          <w:sz w:val="24"/>
          <w:szCs w:val="24"/>
          <w:lang w:val="en-US"/>
        </w:rPr>
        <w:t xml:space="preserve">.), </w:t>
      </w:r>
      <w:r w:rsidRPr="00121A6A">
        <w:rPr>
          <w:i/>
          <w:iCs/>
          <w:sz w:val="24"/>
          <w:szCs w:val="24"/>
          <w:lang w:val="en-US"/>
        </w:rPr>
        <w:t>The European Convention and the Employment Relation</w:t>
      </w:r>
      <w:r w:rsidRPr="00121A6A">
        <w:rPr>
          <w:sz w:val="24"/>
          <w:szCs w:val="24"/>
          <w:lang w:val="en-US"/>
        </w:rPr>
        <w:t>, Oxford</w:t>
      </w:r>
      <w:r w:rsidR="00D160AE" w:rsidRPr="00121A6A">
        <w:rPr>
          <w:sz w:val="24"/>
          <w:szCs w:val="24"/>
          <w:lang w:val="en-US"/>
        </w:rPr>
        <w:t xml:space="preserve">, </w:t>
      </w:r>
      <w:r w:rsidR="00822F7E">
        <w:rPr>
          <w:sz w:val="24"/>
          <w:szCs w:val="24"/>
          <w:lang w:val="en-US"/>
        </w:rPr>
        <w:t>UK</w:t>
      </w:r>
      <w:r w:rsidRPr="00121A6A">
        <w:rPr>
          <w:sz w:val="24"/>
          <w:szCs w:val="24"/>
          <w:lang w:val="en-US"/>
        </w:rPr>
        <w:t>: Hart Publishing 2013, p. 287-308.</w:t>
      </w:r>
    </w:p>
    <w:p w14:paraId="7EDA39EC" w14:textId="77777777" w:rsidR="00CD76EA" w:rsidRPr="002315FE" w:rsidRDefault="00CD76EA" w:rsidP="00030EF2">
      <w:pPr>
        <w:spacing w:after="0"/>
        <w:jc w:val="both"/>
        <w:rPr>
          <w:b/>
          <w:bCs/>
          <w:sz w:val="24"/>
          <w:szCs w:val="24"/>
          <w:lang w:val="en-US"/>
        </w:rPr>
      </w:pPr>
    </w:p>
    <w:p w14:paraId="5D5AAC9C" w14:textId="11DA4D75" w:rsidR="00B525F4" w:rsidRPr="00121A6A" w:rsidRDefault="00B525F4" w:rsidP="00030EF2">
      <w:pPr>
        <w:spacing w:after="0"/>
        <w:jc w:val="both"/>
        <w:rPr>
          <w:b/>
          <w:bCs/>
          <w:sz w:val="24"/>
          <w:szCs w:val="24"/>
        </w:rPr>
      </w:pPr>
      <w:r w:rsidRPr="00121A6A">
        <w:rPr>
          <w:b/>
          <w:bCs/>
          <w:sz w:val="24"/>
          <w:szCs w:val="24"/>
        </w:rPr>
        <w:t xml:space="preserve">Van Hoek &amp; Houwerzijl, </w:t>
      </w:r>
      <w:proofErr w:type="spellStart"/>
      <w:r w:rsidRPr="00121A6A">
        <w:rPr>
          <w:b/>
          <w:bCs/>
          <w:i/>
          <w:iCs/>
          <w:sz w:val="24"/>
          <w:szCs w:val="24"/>
        </w:rPr>
        <w:t>N</w:t>
      </w:r>
      <w:r w:rsidR="00577940" w:rsidRPr="00121A6A">
        <w:rPr>
          <w:b/>
          <w:bCs/>
          <w:i/>
          <w:iCs/>
          <w:sz w:val="24"/>
          <w:szCs w:val="24"/>
        </w:rPr>
        <w:t>t</w:t>
      </w:r>
      <w:r w:rsidRPr="00121A6A">
        <w:rPr>
          <w:b/>
          <w:bCs/>
          <w:i/>
          <w:iCs/>
          <w:sz w:val="24"/>
          <w:szCs w:val="24"/>
        </w:rPr>
        <w:t>E</w:t>
      </w:r>
      <w:r w:rsidR="00A40BA3" w:rsidRPr="00121A6A">
        <w:rPr>
          <w:b/>
          <w:bCs/>
          <w:i/>
          <w:iCs/>
          <w:sz w:val="24"/>
          <w:szCs w:val="24"/>
        </w:rPr>
        <w:t>r</w:t>
      </w:r>
      <w:proofErr w:type="spellEnd"/>
      <w:r w:rsidRPr="00121A6A">
        <w:rPr>
          <w:b/>
          <w:bCs/>
          <w:sz w:val="24"/>
          <w:szCs w:val="24"/>
        </w:rPr>
        <w:t xml:space="preserve"> 2008</w:t>
      </w:r>
      <w:r w:rsidR="00A40BA3" w:rsidRPr="00121A6A">
        <w:rPr>
          <w:b/>
          <w:bCs/>
          <w:sz w:val="24"/>
          <w:szCs w:val="24"/>
        </w:rPr>
        <w:t xml:space="preserve">, afl. </w:t>
      </w:r>
      <w:r w:rsidRPr="00121A6A">
        <w:rPr>
          <w:b/>
          <w:bCs/>
          <w:sz w:val="24"/>
          <w:szCs w:val="24"/>
        </w:rPr>
        <w:t>7</w:t>
      </w:r>
      <w:r w:rsidR="00A40BA3" w:rsidRPr="00121A6A">
        <w:rPr>
          <w:b/>
          <w:bCs/>
          <w:sz w:val="24"/>
          <w:szCs w:val="24"/>
        </w:rPr>
        <w:t>/8</w:t>
      </w:r>
    </w:p>
    <w:p w14:paraId="617B96F2" w14:textId="71A1E0E2" w:rsidR="00B525F4" w:rsidRPr="00121A6A" w:rsidRDefault="00B525F4" w:rsidP="00030EF2">
      <w:pPr>
        <w:spacing w:after="0"/>
        <w:jc w:val="both"/>
        <w:rPr>
          <w:sz w:val="24"/>
          <w:szCs w:val="24"/>
        </w:rPr>
      </w:pPr>
      <w:r w:rsidRPr="00121A6A">
        <w:rPr>
          <w:sz w:val="24"/>
          <w:szCs w:val="24"/>
        </w:rPr>
        <w:t xml:space="preserve">A.A.H. van Hoek &amp; M.S. Houwerzijl, ‘Loonconcurrentie als motor van de interne markt? Een tweeluik – Deel 1: De arresten Viking, Laval en </w:t>
      </w:r>
      <w:proofErr w:type="spellStart"/>
      <w:r w:rsidRPr="00121A6A">
        <w:rPr>
          <w:sz w:val="24"/>
          <w:szCs w:val="24"/>
        </w:rPr>
        <w:t>Rüffert</w:t>
      </w:r>
      <w:proofErr w:type="spellEnd"/>
      <w:r w:rsidRPr="00121A6A">
        <w:rPr>
          <w:sz w:val="24"/>
          <w:szCs w:val="24"/>
        </w:rPr>
        <w:t xml:space="preserve">, verdragsaspecten’, </w:t>
      </w:r>
      <w:r w:rsidRPr="00121A6A">
        <w:rPr>
          <w:i/>
          <w:iCs/>
          <w:sz w:val="24"/>
          <w:szCs w:val="24"/>
        </w:rPr>
        <w:t>Nederlands tijdschrift voor Europees recht</w:t>
      </w:r>
      <w:r w:rsidR="00453DBF">
        <w:rPr>
          <w:sz w:val="24"/>
          <w:szCs w:val="24"/>
        </w:rPr>
        <w:t xml:space="preserve"> 2008</w:t>
      </w:r>
      <w:r w:rsidRPr="00121A6A">
        <w:rPr>
          <w:sz w:val="24"/>
          <w:szCs w:val="24"/>
        </w:rPr>
        <w:t>,</w:t>
      </w:r>
      <w:r w:rsidR="00453DBF">
        <w:rPr>
          <w:sz w:val="24"/>
          <w:szCs w:val="24"/>
        </w:rPr>
        <w:t xml:space="preserve"> afl. 7/8,</w:t>
      </w:r>
      <w:r w:rsidRPr="00121A6A">
        <w:rPr>
          <w:sz w:val="24"/>
          <w:szCs w:val="24"/>
        </w:rPr>
        <w:t xml:space="preserve"> p. 190-205.</w:t>
      </w:r>
    </w:p>
    <w:p w14:paraId="73412854" w14:textId="77777777" w:rsidR="00861824" w:rsidRPr="00121A6A" w:rsidRDefault="00861824" w:rsidP="00030EF2">
      <w:pPr>
        <w:spacing w:after="0"/>
        <w:jc w:val="both"/>
        <w:rPr>
          <w:sz w:val="24"/>
          <w:szCs w:val="24"/>
        </w:rPr>
      </w:pPr>
    </w:p>
    <w:p w14:paraId="014521F5" w14:textId="77777777" w:rsidR="00217971" w:rsidRDefault="00217971" w:rsidP="00030EF2">
      <w:pPr>
        <w:spacing w:after="0"/>
        <w:jc w:val="both"/>
        <w:rPr>
          <w:b/>
          <w:bCs/>
          <w:sz w:val="24"/>
          <w:szCs w:val="24"/>
        </w:rPr>
      </w:pPr>
    </w:p>
    <w:p w14:paraId="2C3AFAB4" w14:textId="2E1546AD" w:rsidR="00861824" w:rsidRPr="00121A6A" w:rsidRDefault="00861824" w:rsidP="00030EF2">
      <w:pPr>
        <w:spacing w:after="0"/>
        <w:jc w:val="both"/>
        <w:rPr>
          <w:b/>
          <w:bCs/>
          <w:sz w:val="24"/>
          <w:szCs w:val="24"/>
        </w:rPr>
      </w:pPr>
      <w:r w:rsidRPr="00121A6A">
        <w:rPr>
          <w:b/>
          <w:bCs/>
          <w:sz w:val="24"/>
          <w:szCs w:val="24"/>
        </w:rPr>
        <w:lastRenderedPageBreak/>
        <w:t xml:space="preserve">Van Hoek &amp; Houwerzijl, </w:t>
      </w:r>
      <w:proofErr w:type="spellStart"/>
      <w:r w:rsidRPr="00121A6A">
        <w:rPr>
          <w:b/>
          <w:bCs/>
          <w:i/>
          <w:iCs/>
          <w:sz w:val="24"/>
          <w:szCs w:val="24"/>
        </w:rPr>
        <w:t>N</w:t>
      </w:r>
      <w:r w:rsidR="00577940" w:rsidRPr="00121A6A">
        <w:rPr>
          <w:b/>
          <w:bCs/>
          <w:i/>
          <w:iCs/>
          <w:sz w:val="24"/>
          <w:szCs w:val="24"/>
        </w:rPr>
        <w:t>t</w:t>
      </w:r>
      <w:r w:rsidRPr="00121A6A">
        <w:rPr>
          <w:b/>
          <w:bCs/>
          <w:i/>
          <w:iCs/>
          <w:sz w:val="24"/>
          <w:szCs w:val="24"/>
        </w:rPr>
        <w:t>E</w:t>
      </w:r>
      <w:r w:rsidR="00F83154" w:rsidRPr="00121A6A">
        <w:rPr>
          <w:b/>
          <w:bCs/>
          <w:i/>
          <w:iCs/>
          <w:sz w:val="24"/>
          <w:szCs w:val="24"/>
        </w:rPr>
        <w:t>r</w:t>
      </w:r>
      <w:proofErr w:type="spellEnd"/>
      <w:r w:rsidRPr="00121A6A">
        <w:rPr>
          <w:b/>
          <w:bCs/>
          <w:sz w:val="24"/>
          <w:szCs w:val="24"/>
        </w:rPr>
        <w:t xml:space="preserve"> 2008</w:t>
      </w:r>
      <w:r w:rsidR="00F83154" w:rsidRPr="00121A6A">
        <w:rPr>
          <w:b/>
          <w:bCs/>
          <w:sz w:val="24"/>
          <w:szCs w:val="24"/>
        </w:rPr>
        <w:t xml:space="preserve">, afl. </w:t>
      </w:r>
      <w:r w:rsidRPr="00121A6A">
        <w:rPr>
          <w:b/>
          <w:bCs/>
          <w:sz w:val="24"/>
          <w:szCs w:val="24"/>
        </w:rPr>
        <w:t>12</w:t>
      </w:r>
    </w:p>
    <w:p w14:paraId="30864D1D" w14:textId="7795A533" w:rsidR="00861824" w:rsidRPr="00121A6A" w:rsidRDefault="00861824" w:rsidP="00861824">
      <w:pPr>
        <w:spacing w:after="0"/>
        <w:jc w:val="both"/>
        <w:rPr>
          <w:sz w:val="24"/>
          <w:szCs w:val="24"/>
        </w:rPr>
      </w:pPr>
      <w:r w:rsidRPr="00121A6A">
        <w:rPr>
          <w:sz w:val="24"/>
          <w:szCs w:val="24"/>
        </w:rPr>
        <w:t xml:space="preserve">A.A.H. van Hoek &amp; M.S. Houwerzijl, ‘Loonconcurrentie als motor van de interne markt? Een tweeluik – Deel 2: De arresten Laval, </w:t>
      </w:r>
      <w:proofErr w:type="spellStart"/>
      <w:r w:rsidRPr="00121A6A">
        <w:rPr>
          <w:sz w:val="24"/>
          <w:szCs w:val="24"/>
        </w:rPr>
        <w:t>Rüffert</w:t>
      </w:r>
      <w:proofErr w:type="spellEnd"/>
      <w:r w:rsidRPr="00121A6A">
        <w:rPr>
          <w:sz w:val="24"/>
          <w:szCs w:val="24"/>
        </w:rPr>
        <w:t xml:space="preserve"> en Commissie/Luxemburg, interpretatie van de Detacheringsrichtlijn’, </w:t>
      </w:r>
      <w:r w:rsidRPr="00121A6A">
        <w:rPr>
          <w:i/>
          <w:iCs/>
          <w:sz w:val="24"/>
          <w:szCs w:val="24"/>
        </w:rPr>
        <w:t>Nederlands tijdschrift voor Europees recht</w:t>
      </w:r>
      <w:r w:rsidR="00453DBF">
        <w:rPr>
          <w:i/>
          <w:iCs/>
          <w:sz w:val="24"/>
          <w:szCs w:val="24"/>
        </w:rPr>
        <w:t xml:space="preserve"> </w:t>
      </w:r>
      <w:r w:rsidR="00453DBF">
        <w:rPr>
          <w:sz w:val="24"/>
          <w:szCs w:val="24"/>
        </w:rPr>
        <w:t>2008</w:t>
      </w:r>
      <w:r w:rsidRPr="00121A6A">
        <w:rPr>
          <w:sz w:val="24"/>
          <w:szCs w:val="24"/>
        </w:rPr>
        <w:t>,</w:t>
      </w:r>
      <w:r w:rsidR="00453DBF">
        <w:rPr>
          <w:sz w:val="24"/>
          <w:szCs w:val="24"/>
        </w:rPr>
        <w:t xml:space="preserve"> afl. 12,</w:t>
      </w:r>
      <w:r w:rsidRPr="00121A6A">
        <w:rPr>
          <w:sz w:val="24"/>
          <w:szCs w:val="24"/>
        </w:rPr>
        <w:t xml:space="preserve"> p. 337-346.</w:t>
      </w:r>
    </w:p>
    <w:p w14:paraId="554F0227" w14:textId="77777777" w:rsidR="00037B7E" w:rsidRPr="00121A6A" w:rsidRDefault="00037B7E" w:rsidP="00861824">
      <w:pPr>
        <w:spacing w:after="0"/>
        <w:jc w:val="both"/>
        <w:rPr>
          <w:sz w:val="24"/>
          <w:szCs w:val="24"/>
        </w:rPr>
      </w:pPr>
    </w:p>
    <w:p w14:paraId="04F73834" w14:textId="2FD971EC" w:rsidR="00037B7E" w:rsidRPr="00121A6A" w:rsidRDefault="00037B7E" w:rsidP="00861824">
      <w:pPr>
        <w:spacing w:after="0"/>
        <w:jc w:val="both"/>
        <w:rPr>
          <w:b/>
          <w:bCs/>
          <w:sz w:val="24"/>
          <w:szCs w:val="24"/>
        </w:rPr>
      </w:pPr>
      <w:proofErr w:type="spellStart"/>
      <w:r w:rsidRPr="00121A6A">
        <w:rPr>
          <w:b/>
          <w:bCs/>
          <w:sz w:val="24"/>
          <w:szCs w:val="24"/>
        </w:rPr>
        <w:t>Vanwijngaerden</w:t>
      </w:r>
      <w:proofErr w:type="spellEnd"/>
      <w:r w:rsidRPr="00121A6A">
        <w:rPr>
          <w:b/>
          <w:bCs/>
          <w:sz w:val="24"/>
          <w:szCs w:val="24"/>
        </w:rPr>
        <w:t xml:space="preserve">, </w:t>
      </w:r>
      <w:r w:rsidR="00505162" w:rsidRPr="00121A6A">
        <w:rPr>
          <w:b/>
          <w:bCs/>
          <w:i/>
          <w:iCs/>
          <w:sz w:val="24"/>
          <w:szCs w:val="24"/>
        </w:rPr>
        <w:t>JF</w:t>
      </w:r>
      <w:r w:rsidRPr="00121A6A">
        <w:rPr>
          <w:b/>
          <w:bCs/>
          <w:i/>
          <w:iCs/>
          <w:sz w:val="24"/>
          <w:szCs w:val="24"/>
        </w:rPr>
        <w:t xml:space="preserve"> </w:t>
      </w:r>
      <w:r w:rsidRPr="00121A6A">
        <w:rPr>
          <w:b/>
          <w:bCs/>
          <w:sz w:val="24"/>
          <w:szCs w:val="24"/>
        </w:rPr>
        <w:t>2007-2008</w:t>
      </w:r>
    </w:p>
    <w:p w14:paraId="2AB925F0" w14:textId="62D48D00" w:rsidR="00037B7E" w:rsidRPr="00121A6A" w:rsidRDefault="00037B7E" w:rsidP="00861824">
      <w:pPr>
        <w:spacing w:after="0"/>
        <w:jc w:val="both"/>
        <w:rPr>
          <w:sz w:val="24"/>
          <w:szCs w:val="24"/>
        </w:rPr>
      </w:pPr>
      <w:r w:rsidRPr="00121A6A">
        <w:rPr>
          <w:sz w:val="24"/>
          <w:szCs w:val="24"/>
        </w:rPr>
        <w:t>J</w:t>
      </w:r>
      <w:r w:rsidR="00291CF8" w:rsidRPr="00121A6A">
        <w:rPr>
          <w:sz w:val="24"/>
          <w:szCs w:val="24"/>
        </w:rPr>
        <w:t>.</w:t>
      </w:r>
      <w:r w:rsidRPr="00121A6A">
        <w:rPr>
          <w:sz w:val="24"/>
          <w:szCs w:val="24"/>
        </w:rPr>
        <w:t xml:space="preserve">-S. </w:t>
      </w:r>
      <w:proofErr w:type="spellStart"/>
      <w:r w:rsidRPr="00121A6A">
        <w:rPr>
          <w:sz w:val="24"/>
          <w:szCs w:val="24"/>
        </w:rPr>
        <w:t>Vanwijngaerden</w:t>
      </w:r>
      <w:proofErr w:type="spellEnd"/>
      <w:r w:rsidRPr="00121A6A">
        <w:rPr>
          <w:sz w:val="24"/>
          <w:szCs w:val="24"/>
        </w:rPr>
        <w:t xml:space="preserve">, ‘De werking van grondrechten tussen particulieren, geïllustreerd met voorbeelden’, </w:t>
      </w:r>
      <w:r w:rsidRPr="00822F7E">
        <w:rPr>
          <w:i/>
          <w:iCs/>
          <w:sz w:val="24"/>
          <w:szCs w:val="24"/>
        </w:rPr>
        <w:t xml:space="preserve">Jura </w:t>
      </w:r>
      <w:proofErr w:type="spellStart"/>
      <w:r w:rsidRPr="00822F7E">
        <w:rPr>
          <w:i/>
          <w:iCs/>
          <w:sz w:val="24"/>
          <w:szCs w:val="24"/>
        </w:rPr>
        <w:t>Falconis</w:t>
      </w:r>
      <w:proofErr w:type="spellEnd"/>
      <w:r w:rsidRPr="00121A6A">
        <w:rPr>
          <w:sz w:val="24"/>
          <w:szCs w:val="24"/>
        </w:rPr>
        <w:t xml:space="preserve"> 2007-2008</w:t>
      </w:r>
      <w:r w:rsidR="00F83154" w:rsidRPr="00121A6A">
        <w:rPr>
          <w:sz w:val="24"/>
          <w:szCs w:val="24"/>
        </w:rPr>
        <w:t xml:space="preserve">, afl. </w:t>
      </w:r>
      <w:r w:rsidRPr="00121A6A">
        <w:rPr>
          <w:sz w:val="24"/>
          <w:szCs w:val="24"/>
        </w:rPr>
        <w:t>2, p. 217-248.</w:t>
      </w:r>
    </w:p>
    <w:p w14:paraId="5DB5E32B" w14:textId="77777777" w:rsidR="00B525F4" w:rsidRPr="00121A6A" w:rsidRDefault="00B525F4" w:rsidP="00030EF2">
      <w:pPr>
        <w:spacing w:after="0"/>
        <w:jc w:val="both"/>
        <w:rPr>
          <w:sz w:val="24"/>
          <w:szCs w:val="24"/>
        </w:rPr>
      </w:pPr>
    </w:p>
    <w:p w14:paraId="38AA0C48" w14:textId="3818EDCD" w:rsidR="00B525F4" w:rsidRPr="00121A6A" w:rsidRDefault="00B525F4" w:rsidP="00030EF2">
      <w:pPr>
        <w:spacing w:after="0"/>
        <w:jc w:val="both"/>
        <w:rPr>
          <w:b/>
          <w:bCs/>
          <w:sz w:val="24"/>
          <w:szCs w:val="24"/>
        </w:rPr>
      </w:pPr>
      <w:r w:rsidRPr="00121A6A">
        <w:rPr>
          <w:b/>
          <w:bCs/>
          <w:sz w:val="24"/>
          <w:szCs w:val="24"/>
        </w:rPr>
        <w:t xml:space="preserve">Van </w:t>
      </w:r>
      <w:proofErr w:type="spellStart"/>
      <w:r w:rsidRPr="00121A6A">
        <w:rPr>
          <w:b/>
          <w:bCs/>
          <w:sz w:val="24"/>
          <w:szCs w:val="24"/>
        </w:rPr>
        <w:t>Peijpe</w:t>
      </w:r>
      <w:proofErr w:type="spellEnd"/>
      <w:r w:rsidRPr="00121A6A">
        <w:rPr>
          <w:b/>
          <w:bCs/>
          <w:sz w:val="24"/>
          <w:szCs w:val="24"/>
        </w:rPr>
        <w:t xml:space="preserve">, </w:t>
      </w:r>
      <w:r w:rsidR="002D6B0B">
        <w:rPr>
          <w:b/>
          <w:bCs/>
          <w:i/>
          <w:iCs/>
          <w:sz w:val="24"/>
          <w:szCs w:val="24"/>
        </w:rPr>
        <w:t xml:space="preserve">TRA (archief </w:t>
      </w:r>
      <w:r w:rsidRPr="00121A6A">
        <w:rPr>
          <w:b/>
          <w:bCs/>
          <w:i/>
          <w:iCs/>
          <w:sz w:val="24"/>
          <w:szCs w:val="24"/>
        </w:rPr>
        <w:t>SMA</w:t>
      </w:r>
      <w:r w:rsidR="002D6B0B">
        <w:rPr>
          <w:b/>
          <w:bCs/>
          <w:i/>
          <w:iCs/>
          <w:sz w:val="24"/>
          <w:szCs w:val="24"/>
        </w:rPr>
        <w:t>)</w:t>
      </w:r>
      <w:r w:rsidRPr="00121A6A">
        <w:rPr>
          <w:b/>
          <w:bCs/>
          <w:sz w:val="24"/>
          <w:szCs w:val="24"/>
        </w:rPr>
        <w:t xml:space="preserve"> 2008</w:t>
      </w:r>
    </w:p>
    <w:p w14:paraId="344E3DEA" w14:textId="211E14BF" w:rsidR="00B525F4" w:rsidRPr="00121A6A" w:rsidRDefault="00B525F4" w:rsidP="00030EF2">
      <w:pPr>
        <w:spacing w:after="0"/>
        <w:jc w:val="both"/>
        <w:rPr>
          <w:sz w:val="24"/>
          <w:szCs w:val="24"/>
        </w:rPr>
      </w:pPr>
      <w:r w:rsidRPr="00121A6A">
        <w:rPr>
          <w:sz w:val="24"/>
          <w:szCs w:val="24"/>
        </w:rPr>
        <w:t xml:space="preserve">T. van </w:t>
      </w:r>
      <w:proofErr w:type="spellStart"/>
      <w:r w:rsidRPr="00121A6A">
        <w:rPr>
          <w:sz w:val="24"/>
          <w:szCs w:val="24"/>
        </w:rPr>
        <w:t>Peijpe</w:t>
      </w:r>
      <w:proofErr w:type="spellEnd"/>
      <w:r w:rsidRPr="00121A6A">
        <w:rPr>
          <w:sz w:val="24"/>
          <w:szCs w:val="24"/>
        </w:rPr>
        <w:t xml:space="preserve">, ‘De arresten Laval en Viking en hun gevolgen’, </w:t>
      </w:r>
      <w:r w:rsidR="002D6B0B">
        <w:rPr>
          <w:i/>
          <w:iCs/>
          <w:sz w:val="24"/>
          <w:szCs w:val="24"/>
        </w:rPr>
        <w:t xml:space="preserve">Tijdschrift Recht en Arbeid (archief </w:t>
      </w:r>
      <w:r w:rsidRPr="00121A6A">
        <w:rPr>
          <w:i/>
          <w:iCs/>
          <w:sz w:val="24"/>
          <w:szCs w:val="24"/>
        </w:rPr>
        <w:t>Sociaal Maandblad Arbeid</w:t>
      </w:r>
      <w:r w:rsidR="002D6B0B">
        <w:rPr>
          <w:sz w:val="24"/>
          <w:szCs w:val="24"/>
        </w:rPr>
        <w:t>)</w:t>
      </w:r>
      <w:r w:rsidRPr="00121A6A">
        <w:rPr>
          <w:i/>
          <w:iCs/>
          <w:sz w:val="24"/>
          <w:szCs w:val="24"/>
        </w:rPr>
        <w:t xml:space="preserve"> </w:t>
      </w:r>
      <w:r w:rsidRPr="00121A6A">
        <w:rPr>
          <w:sz w:val="24"/>
          <w:szCs w:val="24"/>
        </w:rPr>
        <w:t>2008</w:t>
      </w:r>
      <w:r w:rsidR="00F83154" w:rsidRPr="00121A6A">
        <w:rPr>
          <w:sz w:val="24"/>
          <w:szCs w:val="24"/>
        </w:rPr>
        <w:t>, afl. 4</w:t>
      </w:r>
      <w:r w:rsidRPr="00121A6A">
        <w:rPr>
          <w:sz w:val="24"/>
          <w:szCs w:val="24"/>
        </w:rPr>
        <w:t>, p. 175-186.</w:t>
      </w:r>
    </w:p>
    <w:p w14:paraId="00A8918B" w14:textId="77777777" w:rsidR="00030EF2" w:rsidRPr="00121A6A" w:rsidRDefault="00030EF2" w:rsidP="00030EF2">
      <w:pPr>
        <w:spacing w:after="0"/>
        <w:jc w:val="both"/>
        <w:rPr>
          <w:sz w:val="24"/>
          <w:szCs w:val="24"/>
        </w:rPr>
      </w:pPr>
    </w:p>
    <w:p w14:paraId="7355D9A9" w14:textId="77777777" w:rsidR="00B525F4" w:rsidRPr="00121A6A" w:rsidRDefault="00B525F4" w:rsidP="00030EF2">
      <w:pPr>
        <w:spacing w:after="0"/>
        <w:jc w:val="both"/>
        <w:rPr>
          <w:b/>
          <w:bCs/>
          <w:sz w:val="24"/>
          <w:szCs w:val="24"/>
        </w:rPr>
      </w:pPr>
      <w:r w:rsidRPr="00121A6A">
        <w:rPr>
          <w:b/>
          <w:bCs/>
          <w:sz w:val="24"/>
          <w:szCs w:val="24"/>
        </w:rPr>
        <w:t xml:space="preserve">Van </w:t>
      </w:r>
      <w:proofErr w:type="spellStart"/>
      <w:r w:rsidRPr="00121A6A">
        <w:rPr>
          <w:b/>
          <w:bCs/>
          <w:sz w:val="24"/>
          <w:szCs w:val="24"/>
        </w:rPr>
        <w:t>Peijpe</w:t>
      </w:r>
      <w:proofErr w:type="spellEnd"/>
      <w:r w:rsidRPr="00121A6A">
        <w:rPr>
          <w:b/>
          <w:bCs/>
          <w:sz w:val="24"/>
          <w:szCs w:val="24"/>
        </w:rPr>
        <w:t xml:space="preserve">, </w:t>
      </w:r>
      <w:r w:rsidRPr="00121A6A">
        <w:rPr>
          <w:b/>
          <w:bCs/>
          <w:i/>
          <w:iCs/>
          <w:sz w:val="24"/>
          <w:szCs w:val="24"/>
        </w:rPr>
        <w:t>TRA</w:t>
      </w:r>
      <w:r w:rsidRPr="00121A6A">
        <w:rPr>
          <w:b/>
          <w:bCs/>
          <w:sz w:val="24"/>
          <w:szCs w:val="24"/>
        </w:rPr>
        <w:t xml:space="preserve"> 2012/76</w:t>
      </w:r>
    </w:p>
    <w:p w14:paraId="3F8C2B38" w14:textId="56908E71" w:rsidR="00B525F4" w:rsidRPr="00121A6A" w:rsidRDefault="00B525F4" w:rsidP="00030EF2">
      <w:pPr>
        <w:spacing w:after="0"/>
        <w:jc w:val="both"/>
        <w:rPr>
          <w:sz w:val="24"/>
          <w:szCs w:val="24"/>
        </w:rPr>
      </w:pPr>
      <w:r w:rsidRPr="00121A6A">
        <w:rPr>
          <w:sz w:val="24"/>
          <w:szCs w:val="24"/>
        </w:rPr>
        <w:t xml:space="preserve">T. van </w:t>
      </w:r>
      <w:proofErr w:type="spellStart"/>
      <w:r w:rsidRPr="00121A6A">
        <w:rPr>
          <w:sz w:val="24"/>
          <w:szCs w:val="24"/>
        </w:rPr>
        <w:t>Peijpe</w:t>
      </w:r>
      <w:proofErr w:type="spellEnd"/>
      <w:r w:rsidRPr="00121A6A">
        <w:rPr>
          <w:sz w:val="24"/>
          <w:szCs w:val="24"/>
        </w:rPr>
        <w:t xml:space="preserve">, ‘Toepassing van EU-grondrechten in nationaal arbeidsrecht’, </w:t>
      </w:r>
      <w:r w:rsidR="00C45870" w:rsidRPr="00121A6A">
        <w:rPr>
          <w:i/>
          <w:iCs/>
          <w:sz w:val="24"/>
          <w:szCs w:val="24"/>
        </w:rPr>
        <w:t>Tijdschrift Recht en Arbeid</w:t>
      </w:r>
      <w:r w:rsidR="00C45870" w:rsidRPr="00121A6A">
        <w:rPr>
          <w:sz w:val="24"/>
          <w:szCs w:val="24"/>
        </w:rPr>
        <w:t xml:space="preserve"> </w:t>
      </w:r>
      <w:r w:rsidRPr="00121A6A">
        <w:rPr>
          <w:sz w:val="24"/>
          <w:szCs w:val="24"/>
        </w:rPr>
        <w:t xml:space="preserve">2012/76, </w:t>
      </w:r>
      <w:r w:rsidR="008331F9" w:rsidRPr="00121A6A">
        <w:rPr>
          <w:sz w:val="24"/>
          <w:szCs w:val="24"/>
        </w:rPr>
        <w:t>a</w:t>
      </w:r>
      <w:r w:rsidRPr="00121A6A">
        <w:rPr>
          <w:sz w:val="24"/>
          <w:szCs w:val="24"/>
        </w:rPr>
        <w:t>fl. 10.</w:t>
      </w:r>
    </w:p>
    <w:p w14:paraId="428B5544" w14:textId="77777777" w:rsidR="00730D13" w:rsidRPr="00121A6A" w:rsidRDefault="00730D13" w:rsidP="00030EF2">
      <w:pPr>
        <w:spacing w:after="0"/>
        <w:jc w:val="both"/>
        <w:rPr>
          <w:sz w:val="24"/>
          <w:szCs w:val="24"/>
        </w:rPr>
      </w:pPr>
    </w:p>
    <w:p w14:paraId="686A8AEA" w14:textId="0D103C5F" w:rsidR="00730D13" w:rsidRPr="00121A6A" w:rsidRDefault="00730D13" w:rsidP="00030EF2">
      <w:pPr>
        <w:spacing w:after="0"/>
        <w:jc w:val="both"/>
        <w:rPr>
          <w:b/>
          <w:bCs/>
          <w:sz w:val="24"/>
          <w:szCs w:val="24"/>
          <w:lang w:val="en-US"/>
        </w:rPr>
      </w:pPr>
      <w:r w:rsidRPr="00121A6A">
        <w:rPr>
          <w:b/>
          <w:bCs/>
          <w:sz w:val="24"/>
          <w:szCs w:val="24"/>
          <w:lang w:val="en-US"/>
        </w:rPr>
        <w:t xml:space="preserve">Veldman, </w:t>
      </w:r>
      <w:r w:rsidRPr="00121A6A">
        <w:rPr>
          <w:b/>
          <w:bCs/>
          <w:i/>
          <w:iCs/>
          <w:sz w:val="24"/>
          <w:szCs w:val="24"/>
          <w:lang w:val="en-US"/>
        </w:rPr>
        <w:t>ULR</w:t>
      </w:r>
      <w:r w:rsidRPr="00121A6A">
        <w:rPr>
          <w:b/>
          <w:bCs/>
          <w:sz w:val="24"/>
          <w:szCs w:val="24"/>
          <w:lang w:val="en-US"/>
        </w:rPr>
        <w:t xml:space="preserve"> 2013</w:t>
      </w:r>
    </w:p>
    <w:p w14:paraId="0480F8BB" w14:textId="7454F9CC" w:rsidR="007B3338" w:rsidRPr="00121A6A" w:rsidRDefault="00730D13" w:rsidP="00030EF2">
      <w:pPr>
        <w:spacing w:after="0"/>
        <w:jc w:val="both"/>
        <w:rPr>
          <w:sz w:val="24"/>
          <w:szCs w:val="24"/>
          <w:lang w:val="en-US"/>
        </w:rPr>
      </w:pPr>
      <w:r w:rsidRPr="00121A6A">
        <w:rPr>
          <w:sz w:val="24"/>
          <w:szCs w:val="24"/>
          <w:lang w:val="en-US"/>
        </w:rPr>
        <w:t>A. Veldman, ‘The Protection of the Fundamental Right to Strike within the Context of the European Internal Market: Implications of the Forthcoming</w:t>
      </w:r>
      <w:r w:rsidR="0081090A" w:rsidRPr="00121A6A">
        <w:rPr>
          <w:sz w:val="24"/>
          <w:szCs w:val="24"/>
          <w:lang w:val="en-US"/>
        </w:rPr>
        <w:t xml:space="preserve"> Accession of the EU to the ECHR</w:t>
      </w:r>
      <w:r w:rsidRPr="00121A6A">
        <w:rPr>
          <w:sz w:val="24"/>
          <w:szCs w:val="24"/>
          <w:lang w:val="en-US"/>
        </w:rPr>
        <w:t xml:space="preserve">’, </w:t>
      </w:r>
      <w:r w:rsidRPr="00121A6A">
        <w:rPr>
          <w:i/>
          <w:iCs/>
          <w:sz w:val="24"/>
          <w:szCs w:val="24"/>
          <w:lang w:val="en-US"/>
        </w:rPr>
        <w:t>Utrecht Law Review</w:t>
      </w:r>
      <w:r w:rsidRPr="00121A6A">
        <w:rPr>
          <w:sz w:val="24"/>
          <w:szCs w:val="24"/>
          <w:lang w:val="en-US"/>
        </w:rPr>
        <w:t xml:space="preserve"> 2013</w:t>
      </w:r>
      <w:r w:rsidR="008331F9" w:rsidRPr="00121A6A">
        <w:rPr>
          <w:sz w:val="24"/>
          <w:szCs w:val="24"/>
          <w:lang w:val="en-US"/>
        </w:rPr>
        <w:t xml:space="preserve">, </w:t>
      </w:r>
      <w:proofErr w:type="spellStart"/>
      <w:r w:rsidR="008331F9" w:rsidRPr="00121A6A">
        <w:rPr>
          <w:sz w:val="24"/>
          <w:szCs w:val="24"/>
          <w:lang w:val="en-US"/>
        </w:rPr>
        <w:t>afl</w:t>
      </w:r>
      <w:proofErr w:type="spellEnd"/>
      <w:r w:rsidR="008331F9" w:rsidRPr="00121A6A">
        <w:rPr>
          <w:sz w:val="24"/>
          <w:szCs w:val="24"/>
          <w:lang w:val="en-US"/>
        </w:rPr>
        <w:t xml:space="preserve">. </w:t>
      </w:r>
      <w:r w:rsidRPr="00121A6A">
        <w:rPr>
          <w:sz w:val="24"/>
          <w:szCs w:val="24"/>
          <w:lang w:val="en-US"/>
        </w:rPr>
        <w:t>1, p. 104-117.</w:t>
      </w:r>
    </w:p>
    <w:p w14:paraId="0C231767" w14:textId="77777777" w:rsidR="000428CF" w:rsidRPr="00121A6A" w:rsidRDefault="000428CF" w:rsidP="00030EF2">
      <w:pPr>
        <w:spacing w:after="0"/>
        <w:jc w:val="both"/>
        <w:rPr>
          <w:sz w:val="24"/>
          <w:szCs w:val="24"/>
          <w:lang w:val="en-US"/>
        </w:rPr>
      </w:pPr>
    </w:p>
    <w:p w14:paraId="116A50A9" w14:textId="5EDFF65F" w:rsidR="008E63BE" w:rsidRPr="00121A6A" w:rsidRDefault="008E63BE" w:rsidP="00030EF2">
      <w:pPr>
        <w:spacing w:after="0"/>
        <w:jc w:val="both"/>
        <w:rPr>
          <w:b/>
          <w:bCs/>
          <w:sz w:val="24"/>
          <w:szCs w:val="24"/>
          <w:lang w:val="en-US"/>
        </w:rPr>
      </w:pPr>
      <w:proofErr w:type="spellStart"/>
      <w:r w:rsidRPr="00121A6A">
        <w:rPr>
          <w:b/>
          <w:bCs/>
          <w:sz w:val="24"/>
          <w:szCs w:val="24"/>
          <w:lang w:val="en-US"/>
        </w:rPr>
        <w:t>Velyvyte</w:t>
      </w:r>
      <w:proofErr w:type="spellEnd"/>
      <w:r w:rsidRPr="00121A6A">
        <w:rPr>
          <w:b/>
          <w:bCs/>
          <w:sz w:val="24"/>
          <w:szCs w:val="24"/>
          <w:lang w:val="en-US"/>
        </w:rPr>
        <w:t xml:space="preserve">, </w:t>
      </w:r>
      <w:r w:rsidRPr="00121A6A">
        <w:rPr>
          <w:b/>
          <w:bCs/>
          <w:i/>
          <w:iCs/>
          <w:sz w:val="24"/>
          <w:szCs w:val="24"/>
          <w:lang w:val="en-US"/>
        </w:rPr>
        <w:t>HRLR</w:t>
      </w:r>
      <w:r w:rsidRPr="00121A6A">
        <w:rPr>
          <w:b/>
          <w:bCs/>
          <w:sz w:val="24"/>
          <w:szCs w:val="24"/>
          <w:lang w:val="en-US"/>
        </w:rPr>
        <w:t xml:space="preserve"> 2015</w:t>
      </w:r>
    </w:p>
    <w:p w14:paraId="36A52ED9" w14:textId="213374AD" w:rsidR="008E63BE" w:rsidRPr="00121A6A" w:rsidRDefault="008E63BE" w:rsidP="00030EF2">
      <w:pPr>
        <w:spacing w:after="0"/>
        <w:jc w:val="both"/>
        <w:rPr>
          <w:sz w:val="24"/>
          <w:szCs w:val="24"/>
          <w:lang w:val="en-US"/>
        </w:rPr>
      </w:pPr>
      <w:r w:rsidRPr="00121A6A">
        <w:rPr>
          <w:sz w:val="24"/>
          <w:szCs w:val="24"/>
          <w:lang w:val="en-US"/>
        </w:rPr>
        <w:t xml:space="preserve">V. </w:t>
      </w:r>
      <w:proofErr w:type="spellStart"/>
      <w:r w:rsidRPr="00121A6A">
        <w:rPr>
          <w:sz w:val="24"/>
          <w:szCs w:val="24"/>
          <w:lang w:val="en-US"/>
        </w:rPr>
        <w:t>Velyvyte</w:t>
      </w:r>
      <w:proofErr w:type="spellEnd"/>
      <w:r w:rsidRPr="00121A6A">
        <w:rPr>
          <w:sz w:val="24"/>
          <w:szCs w:val="24"/>
          <w:lang w:val="en-US"/>
        </w:rPr>
        <w:t xml:space="preserve">, ‘The Right to Strike in the European Union after Accession to the European Convention on Human Rights: Identifying Conflict and Achieving Coherence’, </w:t>
      </w:r>
      <w:r w:rsidRPr="00121A6A">
        <w:rPr>
          <w:i/>
          <w:iCs/>
          <w:sz w:val="24"/>
          <w:szCs w:val="24"/>
          <w:lang w:val="en-US"/>
        </w:rPr>
        <w:t xml:space="preserve">Human Rights Law Review </w:t>
      </w:r>
      <w:r w:rsidRPr="00121A6A">
        <w:rPr>
          <w:sz w:val="24"/>
          <w:szCs w:val="24"/>
          <w:lang w:val="en-US"/>
        </w:rPr>
        <w:t>2015</w:t>
      </w:r>
      <w:r w:rsidR="0081090A" w:rsidRPr="00121A6A">
        <w:rPr>
          <w:sz w:val="24"/>
          <w:szCs w:val="24"/>
          <w:lang w:val="en-US"/>
        </w:rPr>
        <w:t xml:space="preserve">, </w:t>
      </w:r>
      <w:proofErr w:type="spellStart"/>
      <w:r w:rsidR="0081090A" w:rsidRPr="00121A6A">
        <w:rPr>
          <w:sz w:val="24"/>
          <w:szCs w:val="24"/>
          <w:lang w:val="en-US"/>
        </w:rPr>
        <w:t>afl</w:t>
      </w:r>
      <w:proofErr w:type="spellEnd"/>
      <w:r w:rsidR="0081090A" w:rsidRPr="00121A6A">
        <w:rPr>
          <w:sz w:val="24"/>
          <w:szCs w:val="24"/>
          <w:lang w:val="en-US"/>
        </w:rPr>
        <w:t xml:space="preserve">. </w:t>
      </w:r>
      <w:r w:rsidRPr="00121A6A">
        <w:rPr>
          <w:sz w:val="24"/>
          <w:szCs w:val="24"/>
          <w:lang w:val="en-US"/>
        </w:rPr>
        <w:t>1, p. 73-100.</w:t>
      </w:r>
    </w:p>
    <w:p w14:paraId="35FF6B8D" w14:textId="77777777" w:rsidR="002835DE" w:rsidRPr="00121A6A" w:rsidRDefault="002835DE" w:rsidP="00030EF2">
      <w:pPr>
        <w:spacing w:after="0"/>
        <w:jc w:val="both"/>
        <w:rPr>
          <w:sz w:val="24"/>
          <w:szCs w:val="24"/>
          <w:lang w:val="en-US"/>
        </w:rPr>
      </w:pPr>
    </w:p>
    <w:p w14:paraId="4F02602C" w14:textId="3CF71DC0" w:rsidR="002835DE" w:rsidRPr="00121A6A" w:rsidRDefault="002835DE" w:rsidP="00030EF2">
      <w:pPr>
        <w:spacing w:after="0"/>
        <w:jc w:val="both"/>
        <w:rPr>
          <w:b/>
          <w:bCs/>
          <w:sz w:val="24"/>
          <w:szCs w:val="24"/>
        </w:rPr>
      </w:pPr>
      <w:r w:rsidRPr="00121A6A">
        <w:rPr>
          <w:b/>
          <w:bCs/>
          <w:sz w:val="24"/>
          <w:szCs w:val="24"/>
        </w:rPr>
        <w:t>Verheugt</w:t>
      </w:r>
      <w:r w:rsidR="00956E5D" w:rsidRPr="00121A6A">
        <w:rPr>
          <w:b/>
          <w:bCs/>
          <w:sz w:val="24"/>
          <w:szCs w:val="24"/>
        </w:rPr>
        <w:t>/</w:t>
      </w:r>
      <w:proofErr w:type="spellStart"/>
      <w:r w:rsidR="00956E5D" w:rsidRPr="00121A6A">
        <w:rPr>
          <w:b/>
          <w:bCs/>
          <w:sz w:val="24"/>
          <w:szCs w:val="24"/>
        </w:rPr>
        <w:t>Eding</w:t>
      </w:r>
      <w:proofErr w:type="spellEnd"/>
      <w:r w:rsidR="00956E5D" w:rsidRPr="00121A6A">
        <w:rPr>
          <w:b/>
          <w:bCs/>
          <w:sz w:val="24"/>
          <w:szCs w:val="24"/>
        </w:rPr>
        <w:t>, Huls &amp; Roorda</w:t>
      </w:r>
      <w:r w:rsidRPr="00121A6A">
        <w:rPr>
          <w:b/>
          <w:bCs/>
          <w:sz w:val="24"/>
          <w:szCs w:val="24"/>
        </w:rPr>
        <w:t xml:space="preserve"> 2023</w:t>
      </w:r>
    </w:p>
    <w:p w14:paraId="495DF1A8" w14:textId="22DFC252" w:rsidR="002835DE" w:rsidRPr="00121A6A" w:rsidRDefault="00956E5D" w:rsidP="00030EF2">
      <w:pPr>
        <w:spacing w:after="0"/>
        <w:jc w:val="both"/>
        <w:rPr>
          <w:sz w:val="24"/>
          <w:szCs w:val="24"/>
        </w:rPr>
      </w:pPr>
      <w:r w:rsidRPr="00121A6A">
        <w:rPr>
          <w:sz w:val="24"/>
          <w:szCs w:val="24"/>
        </w:rPr>
        <w:t xml:space="preserve">M. </w:t>
      </w:r>
      <w:proofErr w:type="spellStart"/>
      <w:r w:rsidRPr="00121A6A">
        <w:rPr>
          <w:sz w:val="24"/>
          <w:szCs w:val="24"/>
        </w:rPr>
        <w:t>Eding</w:t>
      </w:r>
      <w:proofErr w:type="spellEnd"/>
      <w:r w:rsidRPr="00121A6A">
        <w:rPr>
          <w:sz w:val="24"/>
          <w:szCs w:val="24"/>
        </w:rPr>
        <w:t>, C.E. Huls &amp; B. Roorda,</w:t>
      </w:r>
      <w:r w:rsidRPr="00121A6A">
        <w:rPr>
          <w:i/>
          <w:iCs/>
          <w:sz w:val="24"/>
          <w:szCs w:val="24"/>
        </w:rPr>
        <w:t xml:space="preserve"> Verheugt. </w:t>
      </w:r>
      <w:r w:rsidR="002835DE" w:rsidRPr="00121A6A">
        <w:rPr>
          <w:i/>
          <w:iCs/>
          <w:sz w:val="24"/>
          <w:szCs w:val="24"/>
        </w:rPr>
        <w:t>Inleiding in het Nederlandse Recht</w:t>
      </w:r>
      <w:r w:rsidR="002835DE" w:rsidRPr="00121A6A">
        <w:rPr>
          <w:sz w:val="24"/>
          <w:szCs w:val="24"/>
        </w:rPr>
        <w:t xml:space="preserve">, Amsterdam: De </w:t>
      </w:r>
      <w:proofErr w:type="spellStart"/>
      <w:r w:rsidR="002835DE" w:rsidRPr="00121A6A">
        <w:rPr>
          <w:sz w:val="24"/>
          <w:szCs w:val="24"/>
        </w:rPr>
        <w:t>Zuidas</w:t>
      </w:r>
      <w:proofErr w:type="spellEnd"/>
      <w:r w:rsidR="002835DE" w:rsidRPr="00121A6A">
        <w:rPr>
          <w:sz w:val="24"/>
          <w:szCs w:val="24"/>
        </w:rPr>
        <w:t xml:space="preserve"> 2023.</w:t>
      </w:r>
    </w:p>
    <w:p w14:paraId="7EB36C9F" w14:textId="45C0B028" w:rsidR="007B3338" w:rsidRPr="00121A6A" w:rsidRDefault="007B3338" w:rsidP="00030EF2">
      <w:pPr>
        <w:spacing w:after="0"/>
        <w:jc w:val="both"/>
        <w:rPr>
          <w:sz w:val="24"/>
          <w:szCs w:val="24"/>
        </w:rPr>
      </w:pPr>
    </w:p>
    <w:p w14:paraId="77AA6054" w14:textId="58D2E8DF" w:rsidR="00306492" w:rsidRPr="00121A6A" w:rsidRDefault="00886F8F" w:rsidP="00030EF2">
      <w:pPr>
        <w:spacing w:after="0"/>
        <w:jc w:val="both"/>
        <w:rPr>
          <w:b/>
          <w:bCs/>
          <w:sz w:val="24"/>
          <w:szCs w:val="24"/>
        </w:rPr>
      </w:pPr>
      <w:r w:rsidRPr="00121A6A">
        <w:rPr>
          <w:b/>
          <w:bCs/>
          <w:sz w:val="24"/>
          <w:szCs w:val="24"/>
        </w:rPr>
        <w:t xml:space="preserve">Verheyen &amp; </w:t>
      </w:r>
      <w:proofErr w:type="spellStart"/>
      <w:r w:rsidRPr="00121A6A">
        <w:rPr>
          <w:b/>
          <w:bCs/>
          <w:sz w:val="24"/>
          <w:szCs w:val="24"/>
        </w:rPr>
        <w:t>Pecinovsky</w:t>
      </w:r>
      <w:proofErr w:type="spellEnd"/>
      <w:r w:rsidRPr="00121A6A">
        <w:rPr>
          <w:b/>
          <w:bCs/>
          <w:sz w:val="24"/>
          <w:szCs w:val="24"/>
        </w:rPr>
        <w:t xml:space="preserve">, </w:t>
      </w:r>
      <w:r w:rsidRPr="00121A6A">
        <w:rPr>
          <w:b/>
          <w:bCs/>
          <w:i/>
          <w:iCs/>
          <w:sz w:val="24"/>
          <w:szCs w:val="24"/>
        </w:rPr>
        <w:t>Arbeidsrecht</w:t>
      </w:r>
      <w:r w:rsidR="00382773" w:rsidRPr="00121A6A">
        <w:rPr>
          <w:b/>
          <w:bCs/>
          <w:i/>
          <w:iCs/>
          <w:sz w:val="24"/>
          <w:szCs w:val="24"/>
        </w:rPr>
        <w:t xml:space="preserve"> J</w:t>
      </w:r>
      <w:r w:rsidRPr="00121A6A">
        <w:rPr>
          <w:b/>
          <w:bCs/>
          <w:i/>
          <w:iCs/>
          <w:sz w:val="24"/>
          <w:szCs w:val="24"/>
        </w:rPr>
        <w:t>ournaal</w:t>
      </w:r>
      <w:r w:rsidRPr="00121A6A">
        <w:rPr>
          <w:b/>
          <w:bCs/>
          <w:sz w:val="24"/>
          <w:szCs w:val="24"/>
        </w:rPr>
        <w:t xml:space="preserve"> 2021</w:t>
      </w:r>
    </w:p>
    <w:p w14:paraId="1A4A5187" w14:textId="77777777" w:rsidR="004F4056" w:rsidRDefault="00382773" w:rsidP="006B2C8B">
      <w:pPr>
        <w:spacing w:after="0"/>
        <w:jc w:val="both"/>
        <w:rPr>
          <w:sz w:val="24"/>
          <w:szCs w:val="24"/>
        </w:rPr>
      </w:pPr>
      <w:r w:rsidRPr="00121A6A">
        <w:rPr>
          <w:sz w:val="24"/>
          <w:szCs w:val="24"/>
        </w:rPr>
        <w:t xml:space="preserve">W. Verheyen &amp; P. </w:t>
      </w:r>
      <w:proofErr w:type="spellStart"/>
      <w:r w:rsidRPr="00121A6A">
        <w:rPr>
          <w:sz w:val="24"/>
          <w:szCs w:val="24"/>
        </w:rPr>
        <w:t>Pecinovsky</w:t>
      </w:r>
      <w:proofErr w:type="spellEnd"/>
      <w:r w:rsidRPr="00121A6A">
        <w:rPr>
          <w:sz w:val="24"/>
          <w:szCs w:val="24"/>
        </w:rPr>
        <w:t xml:space="preserve">, ‘Staking als buitengewone omstandigheid: Hof van Justitie verzoent belangen van reizigers en werknemers’, </w:t>
      </w:r>
      <w:r w:rsidRPr="00121A6A">
        <w:rPr>
          <w:i/>
          <w:iCs/>
          <w:sz w:val="24"/>
          <w:szCs w:val="24"/>
        </w:rPr>
        <w:t xml:space="preserve">Arbeidsrecht Journaal </w:t>
      </w:r>
      <w:r w:rsidRPr="00121A6A">
        <w:rPr>
          <w:sz w:val="24"/>
          <w:szCs w:val="24"/>
        </w:rPr>
        <w:t>2021.</w:t>
      </w:r>
    </w:p>
    <w:p w14:paraId="6C6D0206" w14:textId="77777777" w:rsidR="00704237" w:rsidRDefault="00704237" w:rsidP="006B2C8B">
      <w:pPr>
        <w:spacing w:after="0"/>
        <w:jc w:val="both"/>
        <w:rPr>
          <w:sz w:val="24"/>
          <w:szCs w:val="24"/>
        </w:rPr>
      </w:pPr>
    </w:p>
    <w:p w14:paraId="15E46963" w14:textId="6025B28A" w:rsidR="00704237" w:rsidRDefault="00704237" w:rsidP="006B2C8B">
      <w:pPr>
        <w:spacing w:after="0"/>
        <w:jc w:val="both"/>
        <w:rPr>
          <w:b/>
          <w:bCs/>
          <w:sz w:val="24"/>
          <w:szCs w:val="24"/>
        </w:rPr>
      </w:pPr>
      <w:proofErr w:type="spellStart"/>
      <w:r w:rsidRPr="00704237">
        <w:rPr>
          <w:b/>
          <w:bCs/>
          <w:sz w:val="24"/>
          <w:szCs w:val="24"/>
        </w:rPr>
        <w:t>Voogsgeerd</w:t>
      </w:r>
      <w:proofErr w:type="spellEnd"/>
      <w:r w:rsidRPr="00704237">
        <w:rPr>
          <w:b/>
          <w:bCs/>
          <w:sz w:val="24"/>
          <w:szCs w:val="24"/>
        </w:rPr>
        <w:t xml:space="preserve">, </w:t>
      </w:r>
      <w:r w:rsidRPr="00704237">
        <w:rPr>
          <w:b/>
          <w:bCs/>
          <w:i/>
          <w:iCs/>
          <w:sz w:val="24"/>
          <w:szCs w:val="24"/>
        </w:rPr>
        <w:t>SEW</w:t>
      </w:r>
      <w:r w:rsidRPr="00704237">
        <w:rPr>
          <w:b/>
          <w:bCs/>
          <w:sz w:val="24"/>
          <w:szCs w:val="24"/>
        </w:rPr>
        <w:t xml:space="preserve"> 2024</w:t>
      </w:r>
    </w:p>
    <w:p w14:paraId="1ABEDF86" w14:textId="6F29F68D" w:rsidR="00704237" w:rsidRPr="002C168A" w:rsidRDefault="002C168A" w:rsidP="006B2C8B">
      <w:pPr>
        <w:spacing w:after="0"/>
        <w:jc w:val="both"/>
        <w:rPr>
          <w:sz w:val="24"/>
          <w:szCs w:val="24"/>
        </w:rPr>
      </w:pPr>
      <w:r>
        <w:rPr>
          <w:sz w:val="24"/>
          <w:szCs w:val="24"/>
        </w:rPr>
        <w:t xml:space="preserve">H.H. </w:t>
      </w:r>
      <w:proofErr w:type="spellStart"/>
      <w:r>
        <w:rPr>
          <w:sz w:val="24"/>
          <w:szCs w:val="24"/>
        </w:rPr>
        <w:t>Voogsgeerd</w:t>
      </w:r>
      <w:proofErr w:type="spellEnd"/>
      <w:r>
        <w:rPr>
          <w:sz w:val="24"/>
          <w:szCs w:val="24"/>
        </w:rPr>
        <w:t>, ‘</w:t>
      </w:r>
      <w:r w:rsidRPr="002C168A">
        <w:rPr>
          <w:sz w:val="24"/>
          <w:szCs w:val="24"/>
        </w:rPr>
        <w:t xml:space="preserve">Samenhang tussen de economische en sociale (fundamentele) rechten in de rechtspraak van het HvJ EU met betrekking tot het vrije verkeer van vestiging en het vrij verrichten van diensten na het arrest </w:t>
      </w:r>
      <w:proofErr w:type="spellStart"/>
      <w:r w:rsidRPr="002C168A">
        <w:rPr>
          <w:sz w:val="24"/>
          <w:szCs w:val="24"/>
        </w:rPr>
        <w:t>Holship</w:t>
      </w:r>
      <w:proofErr w:type="spellEnd"/>
      <w:r w:rsidRPr="002C168A">
        <w:rPr>
          <w:sz w:val="24"/>
          <w:szCs w:val="24"/>
        </w:rPr>
        <w:t xml:space="preserve"> van het EHRM</w:t>
      </w:r>
      <w:r>
        <w:rPr>
          <w:sz w:val="24"/>
          <w:szCs w:val="24"/>
        </w:rPr>
        <w:t xml:space="preserve">’, </w:t>
      </w:r>
      <w:r>
        <w:rPr>
          <w:i/>
          <w:iCs/>
          <w:sz w:val="24"/>
          <w:szCs w:val="24"/>
        </w:rPr>
        <w:t>SEW, Tijdschrift voor Europees en economisch recht</w:t>
      </w:r>
      <w:r>
        <w:rPr>
          <w:sz w:val="24"/>
          <w:szCs w:val="24"/>
        </w:rPr>
        <w:t>, afl. 4</w:t>
      </w:r>
      <w:r w:rsidR="00E129AB">
        <w:rPr>
          <w:sz w:val="24"/>
          <w:szCs w:val="24"/>
        </w:rPr>
        <w:t>.</w:t>
      </w:r>
    </w:p>
    <w:p w14:paraId="78AC9C6C" w14:textId="77777777" w:rsidR="00217971" w:rsidRDefault="00217971" w:rsidP="006B2C8B">
      <w:pPr>
        <w:spacing w:after="0"/>
        <w:jc w:val="both"/>
        <w:rPr>
          <w:sz w:val="24"/>
          <w:szCs w:val="24"/>
        </w:rPr>
      </w:pPr>
    </w:p>
    <w:p w14:paraId="62B9D80E" w14:textId="77777777" w:rsidR="00EF245F" w:rsidRDefault="00EF245F" w:rsidP="006B2C8B">
      <w:pPr>
        <w:spacing w:after="0"/>
        <w:jc w:val="both"/>
        <w:rPr>
          <w:sz w:val="24"/>
          <w:szCs w:val="24"/>
        </w:rPr>
      </w:pPr>
    </w:p>
    <w:p w14:paraId="0B1D330B" w14:textId="77777777" w:rsidR="00EF245F" w:rsidRPr="00E129AB" w:rsidRDefault="00EF245F" w:rsidP="006B2C8B">
      <w:pPr>
        <w:spacing w:after="0"/>
        <w:jc w:val="both"/>
        <w:rPr>
          <w:b/>
          <w:bCs/>
          <w:sz w:val="24"/>
          <w:szCs w:val="24"/>
        </w:rPr>
      </w:pPr>
    </w:p>
    <w:p w14:paraId="144C8EEB" w14:textId="623A7BCF" w:rsidR="004F4056" w:rsidRPr="00121A6A" w:rsidRDefault="004F4056" w:rsidP="006B2C8B">
      <w:pPr>
        <w:spacing w:after="0"/>
        <w:jc w:val="both"/>
        <w:rPr>
          <w:b/>
          <w:bCs/>
          <w:sz w:val="24"/>
          <w:szCs w:val="24"/>
          <w:lang w:val="en-US"/>
        </w:rPr>
      </w:pPr>
      <w:r w:rsidRPr="00121A6A">
        <w:rPr>
          <w:b/>
          <w:bCs/>
          <w:sz w:val="24"/>
          <w:szCs w:val="24"/>
          <w:lang w:val="en-US"/>
        </w:rPr>
        <w:lastRenderedPageBreak/>
        <w:t>Wei</w:t>
      </w:r>
      <w:r w:rsidRPr="00121A6A">
        <w:rPr>
          <w:b/>
          <w:bCs/>
          <w:sz w:val="24"/>
          <w:szCs w:val="24"/>
        </w:rPr>
        <w:t>β</w:t>
      </w:r>
      <w:r w:rsidRPr="00121A6A">
        <w:rPr>
          <w:b/>
          <w:bCs/>
          <w:sz w:val="24"/>
          <w:szCs w:val="24"/>
          <w:lang w:val="en-US"/>
        </w:rPr>
        <w:t xml:space="preserve">, </w:t>
      </w:r>
      <w:proofErr w:type="spellStart"/>
      <w:r w:rsidRPr="00121A6A">
        <w:rPr>
          <w:b/>
          <w:bCs/>
          <w:i/>
          <w:iCs/>
          <w:sz w:val="24"/>
          <w:szCs w:val="24"/>
          <w:lang w:val="en-US"/>
        </w:rPr>
        <w:t>EuConst</w:t>
      </w:r>
      <w:proofErr w:type="spellEnd"/>
      <w:r w:rsidRPr="00121A6A">
        <w:rPr>
          <w:b/>
          <w:bCs/>
          <w:sz w:val="24"/>
          <w:szCs w:val="24"/>
          <w:lang w:val="en-US"/>
        </w:rPr>
        <w:t xml:space="preserve"> 2011</w:t>
      </w:r>
    </w:p>
    <w:p w14:paraId="60972C58" w14:textId="29FC5210" w:rsidR="00662C28" w:rsidRDefault="004F4056" w:rsidP="006B2C8B">
      <w:pPr>
        <w:spacing w:after="0"/>
        <w:jc w:val="both"/>
        <w:rPr>
          <w:sz w:val="24"/>
          <w:szCs w:val="24"/>
          <w:lang w:val="en-US"/>
        </w:rPr>
      </w:pPr>
      <w:r w:rsidRPr="00121A6A">
        <w:rPr>
          <w:sz w:val="24"/>
          <w:szCs w:val="24"/>
          <w:lang w:val="en-US"/>
        </w:rPr>
        <w:t>W. Wei</w:t>
      </w:r>
      <w:r w:rsidRPr="00121A6A">
        <w:rPr>
          <w:sz w:val="24"/>
          <w:szCs w:val="24"/>
        </w:rPr>
        <w:t>β</w:t>
      </w:r>
      <w:r w:rsidRPr="00121A6A">
        <w:rPr>
          <w:sz w:val="24"/>
          <w:szCs w:val="24"/>
          <w:lang w:val="en-US"/>
        </w:rPr>
        <w:t>, ‘Human Rights in the EU: Rethinking the Role of the European Convention on Human Rights After Lisbon’,</w:t>
      </w:r>
      <w:r w:rsidRPr="00121A6A">
        <w:rPr>
          <w:i/>
          <w:iCs/>
          <w:sz w:val="24"/>
          <w:szCs w:val="24"/>
          <w:lang w:val="en-US"/>
        </w:rPr>
        <w:t xml:space="preserve"> European Constitutional Law Review</w:t>
      </w:r>
      <w:r w:rsidRPr="00121A6A">
        <w:rPr>
          <w:b/>
          <w:bCs/>
          <w:sz w:val="24"/>
          <w:szCs w:val="24"/>
          <w:lang w:val="en-US"/>
        </w:rPr>
        <w:t xml:space="preserve"> </w:t>
      </w:r>
      <w:r w:rsidRPr="00121A6A">
        <w:rPr>
          <w:sz w:val="24"/>
          <w:szCs w:val="24"/>
          <w:lang w:val="en-US"/>
        </w:rPr>
        <w:t>2011</w:t>
      </w:r>
      <w:r w:rsidR="009A3901" w:rsidRPr="00121A6A">
        <w:rPr>
          <w:sz w:val="24"/>
          <w:szCs w:val="24"/>
          <w:lang w:val="en-US"/>
        </w:rPr>
        <w:t xml:space="preserve">, </w:t>
      </w:r>
      <w:proofErr w:type="spellStart"/>
      <w:r w:rsidR="009A3901" w:rsidRPr="00121A6A">
        <w:rPr>
          <w:sz w:val="24"/>
          <w:szCs w:val="24"/>
          <w:lang w:val="en-US"/>
        </w:rPr>
        <w:t>afl</w:t>
      </w:r>
      <w:proofErr w:type="spellEnd"/>
      <w:r w:rsidR="009A3901" w:rsidRPr="00121A6A">
        <w:rPr>
          <w:sz w:val="24"/>
          <w:szCs w:val="24"/>
          <w:lang w:val="en-US"/>
        </w:rPr>
        <w:t>. 1</w:t>
      </w:r>
      <w:r w:rsidR="00604216" w:rsidRPr="00121A6A">
        <w:rPr>
          <w:sz w:val="24"/>
          <w:szCs w:val="24"/>
          <w:lang w:val="en-US"/>
        </w:rPr>
        <w:t>, p. 64-95.</w:t>
      </w:r>
    </w:p>
    <w:p w14:paraId="52EB9F05" w14:textId="77777777" w:rsidR="004A5206" w:rsidRDefault="004A5206" w:rsidP="006B2C8B">
      <w:pPr>
        <w:spacing w:after="0"/>
        <w:jc w:val="both"/>
        <w:rPr>
          <w:sz w:val="24"/>
          <w:szCs w:val="24"/>
          <w:lang w:val="en-US"/>
        </w:rPr>
      </w:pPr>
    </w:p>
    <w:p w14:paraId="25042123" w14:textId="6C0A2F00" w:rsidR="004A5206" w:rsidRDefault="004A5206" w:rsidP="006B2C8B">
      <w:pPr>
        <w:spacing w:after="0"/>
        <w:jc w:val="both"/>
        <w:rPr>
          <w:b/>
          <w:bCs/>
          <w:sz w:val="24"/>
          <w:szCs w:val="24"/>
          <w:lang w:val="en-US"/>
        </w:rPr>
      </w:pPr>
      <w:proofErr w:type="spellStart"/>
      <w:r w:rsidRPr="004A5206">
        <w:rPr>
          <w:b/>
          <w:bCs/>
          <w:sz w:val="24"/>
          <w:szCs w:val="24"/>
          <w:lang w:val="en-US"/>
        </w:rPr>
        <w:t>Widdershoven</w:t>
      </w:r>
      <w:proofErr w:type="spellEnd"/>
      <w:r w:rsidRPr="004A5206">
        <w:rPr>
          <w:b/>
          <w:bCs/>
          <w:sz w:val="24"/>
          <w:szCs w:val="24"/>
          <w:lang w:val="en-US"/>
        </w:rPr>
        <w:t xml:space="preserve">, </w:t>
      </w:r>
      <w:proofErr w:type="spellStart"/>
      <w:r w:rsidRPr="004A5206">
        <w:rPr>
          <w:b/>
          <w:bCs/>
          <w:i/>
          <w:iCs/>
          <w:sz w:val="24"/>
          <w:szCs w:val="24"/>
          <w:lang w:val="en-US"/>
        </w:rPr>
        <w:t>REALaw</w:t>
      </w:r>
      <w:proofErr w:type="spellEnd"/>
      <w:r w:rsidRPr="004A5206">
        <w:rPr>
          <w:b/>
          <w:bCs/>
          <w:sz w:val="24"/>
          <w:szCs w:val="24"/>
          <w:lang w:val="en-US"/>
        </w:rPr>
        <w:t xml:space="preserve"> 2019</w:t>
      </w:r>
    </w:p>
    <w:p w14:paraId="4A2FC244" w14:textId="71A88391" w:rsidR="004A5206" w:rsidRPr="004A5206" w:rsidRDefault="004A5206" w:rsidP="006B2C8B">
      <w:pPr>
        <w:spacing w:after="0"/>
        <w:jc w:val="both"/>
        <w:rPr>
          <w:sz w:val="24"/>
          <w:szCs w:val="24"/>
          <w:lang w:val="en-US"/>
        </w:rPr>
      </w:pPr>
      <w:r w:rsidRPr="004A5206">
        <w:rPr>
          <w:sz w:val="24"/>
          <w:szCs w:val="24"/>
          <w:lang w:val="en-US"/>
        </w:rPr>
        <w:t xml:space="preserve">R. </w:t>
      </w:r>
      <w:proofErr w:type="spellStart"/>
      <w:r w:rsidRPr="004A5206">
        <w:rPr>
          <w:sz w:val="24"/>
          <w:szCs w:val="24"/>
          <w:lang w:val="en-US"/>
        </w:rPr>
        <w:t>Widdershoven</w:t>
      </w:r>
      <w:proofErr w:type="spellEnd"/>
      <w:r w:rsidRPr="004A5206">
        <w:rPr>
          <w:sz w:val="24"/>
          <w:szCs w:val="24"/>
          <w:lang w:val="en-US"/>
        </w:rPr>
        <w:t xml:space="preserve">, ‘National Procedural Autonomy and General EU Law Limits’, </w:t>
      </w:r>
      <w:r w:rsidRPr="004A5206">
        <w:rPr>
          <w:i/>
          <w:iCs/>
          <w:sz w:val="24"/>
          <w:szCs w:val="24"/>
          <w:lang w:val="en-US"/>
        </w:rPr>
        <w:t>Review of European Administrative Law</w:t>
      </w:r>
      <w:r w:rsidRPr="004A5206">
        <w:rPr>
          <w:sz w:val="24"/>
          <w:szCs w:val="24"/>
          <w:lang w:val="en-US"/>
        </w:rPr>
        <w:t xml:space="preserve"> 2019, </w:t>
      </w:r>
      <w:proofErr w:type="spellStart"/>
      <w:r w:rsidRPr="004A5206">
        <w:rPr>
          <w:sz w:val="24"/>
          <w:szCs w:val="24"/>
          <w:lang w:val="en-US"/>
        </w:rPr>
        <w:t>afl</w:t>
      </w:r>
      <w:proofErr w:type="spellEnd"/>
      <w:r w:rsidRPr="004A5206">
        <w:rPr>
          <w:sz w:val="24"/>
          <w:szCs w:val="24"/>
          <w:lang w:val="en-US"/>
        </w:rPr>
        <w:t>. 2, p. 5-34</w:t>
      </w:r>
      <w:r>
        <w:rPr>
          <w:sz w:val="24"/>
          <w:szCs w:val="24"/>
          <w:lang w:val="en-US"/>
        </w:rPr>
        <w:t>.</w:t>
      </w:r>
    </w:p>
    <w:p w14:paraId="252B298B" w14:textId="7A7F0C5C" w:rsidR="008D35A9" w:rsidRPr="00121A6A" w:rsidRDefault="008D35A9" w:rsidP="006B2C8B">
      <w:pPr>
        <w:spacing w:after="0"/>
        <w:jc w:val="both"/>
        <w:rPr>
          <w:b/>
          <w:bCs/>
          <w:sz w:val="24"/>
          <w:szCs w:val="24"/>
          <w:lang w:val="en-US"/>
        </w:rPr>
      </w:pPr>
      <w:r w:rsidRPr="00121A6A">
        <w:rPr>
          <w:b/>
          <w:bCs/>
          <w:sz w:val="24"/>
          <w:szCs w:val="24"/>
          <w:lang w:val="en-US"/>
        </w:rPr>
        <w:br w:type="page"/>
      </w:r>
    </w:p>
    <w:p w14:paraId="139DDB9D" w14:textId="5DE4424F" w:rsidR="00E26C74" w:rsidRPr="005F4C8E" w:rsidRDefault="00E26C74" w:rsidP="00E534A3">
      <w:pPr>
        <w:pStyle w:val="Heading1"/>
        <w:rPr>
          <w:szCs w:val="24"/>
        </w:rPr>
      </w:pPr>
      <w:bookmarkStart w:id="101" w:name="_Toc169963084"/>
      <w:r w:rsidRPr="005F4C8E">
        <w:rPr>
          <w:szCs w:val="24"/>
        </w:rPr>
        <w:lastRenderedPageBreak/>
        <w:t>Jurisprudentielijst</w:t>
      </w:r>
      <w:bookmarkEnd w:id="101"/>
    </w:p>
    <w:p w14:paraId="4F8007BE" w14:textId="77777777" w:rsidR="00DE7D3F" w:rsidRPr="005F4C8E" w:rsidRDefault="00DE7D3F" w:rsidP="00C539CA">
      <w:pPr>
        <w:spacing w:after="0"/>
        <w:jc w:val="both"/>
        <w:rPr>
          <w:sz w:val="24"/>
          <w:szCs w:val="24"/>
        </w:rPr>
      </w:pPr>
    </w:p>
    <w:p w14:paraId="1FED5597" w14:textId="305EC772" w:rsidR="00030EF2" w:rsidRPr="001D36AC" w:rsidRDefault="00030EF2" w:rsidP="000706E9">
      <w:pPr>
        <w:pStyle w:val="FootnoteText"/>
        <w:spacing w:line="259" w:lineRule="auto"/>
        <w:jc w:val="both"/>
        <w:rPr>
          <w:sz w:val="24"/>
          <w:szCs w:val="24"/>
        </w:rPr>
      </w:pPr>
      <w:bookmarkStart w:id="102" w:name="_Hlk150434285"/>
      <w:r w:rsidRPr="001D36AC">
        <w:rPr>
          <w:b/>
          <w:bCs/>
          <w:sz w:val="24"/>
          <w:szCs w:val="24"/>
        </w:rPr>
        <w:t>Europese Unie</w:t>
      </w:r>
    </w:p>
    <w:p w14:paraId="6AAF933F" w14:textId="77C7A984" w:rsidR="00030EF2" w:rsidRPr="001D36AC" w:rsidRDefault="00030EF2" w:rsidP="000706E9">
      <w:pPr>
        <w:pStyle w:val="FootnoteText"/>
        <w:spacing w:line="259" w:lineRule="auto"/>
        <w:jc w:val="both"/>
        <w:rPr>
          <w:b/>
          <w:bCs/>
          <w:i/>
          <w:iCs/>
          <w:sz w:val="24"/>
          <w:szCs w:val="24"/>
        </w:rPr>
      </w:pPr>
      <w:r w:rsidRPr="001D36AC">
        <w:rPr>
          <w:b/>
          <w:bCs/>
          <w:i/>
          <w:iCs/>
          <w:sz w:val="24"/>
          <w:szCs w:val="24"/>
        </w:rPr>
        <w:t>Hof van Justitie</w:t>
      </w:r>
    </w:p>
    <w:p w14:paraId="6F5158F1" w14:textId="29819381" w:rsidR="003408C1" w:rsidRPr="001D36AC" w:rsidRDefault="003408C1" w:rsidP="000706E9">
      <w:pPr>
        <w:pStyle w:val="FootnoteText"/>
        <w:spacing w:line="259" w:lineRule="auto"/>
        <w:jc w:val="both"/>
        <w:rPr>
          <w:sz w:val="24"/>
          <w:szCs w:val="24"/>
        </w:rPr>
      </w:pPr>
      <w:r w:rsidRPr="001D36AC">
        <w:rPr>
          <w:sz w:val="24"/>
          <w:szCs w:val="24"/>
        </w:rPr>
        <w:t>HvJ EU 5 februari 1963, C-26/62, ECLI:EU:C:1963:1 (</w:t>
      </w:r>
      <w:r w:rsidRPr="001D36AC">
        <w:rPr>
          <w:i/>
          <w:iCs/>
          <w:sz w:val="24"/>
          <w:szCs w:val="24"/>
        </w:rPr>
        <w:t xml:space="preserve">Van </w:t>
      </w:r>
      <w:proofErr w:type="spellStart"/>
      <w:r w:rsidRPr="001D36AC">
        <w:rPr>
          <w:i/>
          <w:iCs/>
          <w:sz w:val="24"/>
          <w:szCs w:val="24"/>
        </w:rPr>
        <w:t>Gend</w:t>
      </w:r>
      <w:proofErr w:type="spellEnd"/>
      <w:r w:rsidRPr="001D36AC">
        <w:rPr>
          <w:i/>
          <w:iCs/>
          <w:sz w:val="24"/>
          <w:szCs w:val="24"/>
        </w:rPr>
        <w:t xml:space="preserve"> &amp; Loos</w:t>
      </w:r>
      <w:r w:rsidRPr="001D36AC">
        <w:rPr>
          <w:sz w:val="24"/>
          <w:szCs w:val="24"/>
        </w:rPr>
        <w:t>).</w:t>
      </w:r>
    </w:p>
    <w:p w14:paraId="6264C773" w14:textId="77777777" w:rsidR="003408C1" w:rsidRPr="001D36AC" w:rsidRDefault="003408C1" w:rsidP="000706E9">
      <w:pPr>
        <w:pStyle w:val="FootnoteText"/>
        <w:spacing w:line="259" w:lineRule="auto"/>
        <w:jc w:val="both"/>
        <w:rPr>
          <w:sz w:val="24"/>
          <w:szCs w:val="24"/>
        </w:rPr>
      </w:pPr>
    </w:p>
    <w:p w14:paraId="6B9C6649" w14:textId="7A41E23F" w:rsidR="003408C1" w:rsidRPr="00A872BE" w:rsidRDefault="003408C1" w:rsidP="000706E9">
      <w:pPr>
        <w:pStyle w:val="FootnoteText"/>
        <w:spacing w:line="259" w:lineRule="auto"/>
        <w:jc w:val="both"/>
        <w:rPr>
          <w:sz w:val="24"/>
          <w:szCs w:val="24"/>
          <w:lang w:val="es-ES"/>
        </w:rPr>
      </w:pPr>
      <w:r w:rsidRPr="00A872BE">
        <w:rPr>
          <w:sz w:val="24"/>
          <w:szCs w:val="24"/>
          <w:lang w:val="es-ES"/>
        </w:rPr>
        <w:t xml:space="preserve">HvJ EU 15 </w:t>
      </w:r>
      <w:proofErr w:type="spellStart"/>
      <w:r w:rsidRPr="00A872BE">
        <w:rPr>
          <w:sz w:val="24"/>
          <w:szCs w:val="24"/>
          <w:lang w:val="es-ES"/>
        </w:rPr>
        <w:t>juli</w:t>
      </w:r>
      <w:proofErr w:type="spellEnd"/>
      <w:r w:rsidRPr="00A872BE">
        <w:rPr>
          <w:sz w:val="24"/>
          <w:szCs w:val="24"/>
          <w:lang w:val="es-ES"/>
        </w:rPr>
        <w:t xml:space="preserve"> 1964, C-6/64, ECLI:EU:C:1964:66 (</w:t>
      </w:r>
      <w:r w:rsidRPr="00A872BE">
        <w:rPr>
          <w:i/>
          <w:iCs/>
          <w:sz w:val="24"/>
          <w:szCs w:val="24"/>
          <w:lang w:val="es-ES"/>
        </w:rPr>
        <w:t>Costa/Enel</w:t>
      </w:r>
      <w:r w:rsidRPr="00A872BE">
        <w:rPr>
          <w:sz w:val="24"/>
          <w:szCs w:val="24"/>
          <w:lang w:val="es-ES"/>
        </w:rPr>
        <w:t>).</w:t>
      </w:r>
    </w:p>
    <w:p w14:paraId="3FEE9694" w14:textId="77777777" w:rsidR="00E75BB2" w:rsidRPr="00A872BE" w:rsidRDefault="00E75BB2" w:rsidP="000706E9">
      <w:pPr>
        <w:pStyle w:val="FootnoteText"/>
        <w:spacing w:line="259" w:lineRule="auto"/>
        <w:jc w:val="both"/>
        <w:rPr>
          <w:sz w:val="24"/>
          <w:szCs w:val="24"/>
          <w:lang w:val="es-ES"/>
        </w:rPr>
      </w:pPr>
    </w:p>
    <w:p w14:paraId="6C524D75" w14:textId="471B4699" w:rsidR="00E75BB2" w:rsidRPr="007A3688" w:rsidRDefault="00E75BB2" w:rsidP="000706E9">
      <w:pPr>
        <w:pStyle w:val="FootnoteText"/>
        <w:spacing w:line="259" w:lineRule="auto"/>
        <w:jc w:val="both"/>
        <w:rPr>
          <w:sz w:val="24"/>
          <w:szCs w:val="24"/>
          <w:lang w:val="de-DE"/>
        </w:rPr>
      </w:pPr>
      <w:r w:rsidRPr="007A3688">
        <w:rPr>
          <w:sz w:val="24"/>
          <w:szCs w:val="24"/>
          <w:lang w:val="de-DE"/>
        </w:rPr>
        <w:t xml:space="preserve">HvJ EU 26 </w:t>
      </w:r>
      <w:proofErr w:type="spellStart"/>
      <w:r w:rsidRPr="007A3688">
        <w:rPr>
          <w:sz w:val="24"/>
          <w:szCs w:val="24"/>
          <w:lang w:val="de-DE"/>
        </w:rPr>
        <w:t>februari</w:t>
      </w:r>
      <w:proofErr w:type="spellEnd"/>
      <w:r w:rsidRPr="007A3688">
        <w:rPr>
          <w:sz w:val="24"/>
          <w:szCs w:val="24"/>
          <w:lang w:val="de-DE"/>
        </w:rPr>
        <w:t xml:space="preserve"> 1986, C-152/84, ECLI:EU:C:1986:84 (</w:t>
      </w:r>
      <w:r w:rsidRPr="007A3688">
        <w:rPr>
          <w:i/>
          <w:iCs/>
          <w:sz w:val="24"/>
          <w:szCs w:val="24"/>
          <w:lang w:val="de-DE"/>
        </w:rPr>
        <w:t>Marshall I</w:t>
      </w:r>
      <w:r w:rsidRPr="007A3688">
        <w:rPr>
          <w:sz w:val="24"/>
          <w:szCs w:val="24"/>
          <w:lang w:val="de-DE"/>
        </w:rPr>
        <w:t>).</w:t>
      </w:r>
    </w:p>
    <w:p w14:paraId="6526EB0C" w14:textId="77777777" w:rsidR="00B4652A" w:rsidRPr="007A3688" w:rsidRDefault="00B4652A" w:rsidP="000706E9">
      <w:pPr>
        <w:pStyle w:val="FootnoteText"/>
        <w:spacing w:line="259" w:lineRule="auto"/>
        <w:jc w:val="both"/>
        <w:rPr>
          <w:sz w:val="24"/>
          <w:szCs w:val="24"/>
          <w:lang w:val="de-DE"/>
        </w:rPr>
      </w:pPr>
    </w:p>
    <w:p w14:paraId="1B76A067" w14:textId="1BD99678" w:rsidR="00B4652A" w:rsidRPr="007A3688" w:rsidRDefault="00B4652A" w:rsidP="000706E9">
      <w:pPr>
        <w:pStyle w:val="FootnoteText"/>
        <w:spacing w:line="259" w:lineRule="auto"/>
        <w:jc w:val="both"/>
        <w:rPr>
          <w:sz w:val="24"/>
          <w:szCs w:val="24"/>
          <w:lang w:val="de-DE"/>
        </w:rPr>
      </w:pPr>
      <w:r w:rsidRPr="007A3688">
        <w:rPr>
          <w:sz w:val="24"/>
          <w:szCs w:val="24"/>
          <w:lang w:val="de-DE"/>
        </w:rPr>
        <w:t xml:space="preserve">HvJ EU 13 </w:t>
      </w:r>
      <w:proofErr w:type="spellStart"/>
      <w:r w:rsidRPr="007A3688">
        <w:rPr>
          <w:sz w:val="24"/>
          <w:szCs w:val="24"/>
          <w:lang w:val="de-DE"/>
        </w:rPr>
        <w:t>juli</w:t>
      </w:r>
      <w:proofErr w:type="spellEnd"/>
      <w:r w:rsidRPr="007A3688">
        <w:rPr>
          <w:sz w:val="24"/>
          <w:szCs w:val="24"/>
          <w:lang w:val="de-DE"/>
        </w:rPr>
        <w:t xml:space="preserve"> 1989, C-5/88, ECLI:EU:C:1989:321 (</w:t>
      </w:r>
      <w:proofErr w:type="spellStart"/>
      <w:r w:rsidRPr="007A3688">
        <w:rPr>
          <w:i/>
          <w:iCs/>
          <w:sz w:val="24"/>
          <w:szCs w:val="24"/>
          <w:lang w:val="de-DE"/>
        </w:rPr>
        <w:t>Wachauf</w:t>
      </w:r>
      <w:proofErr w:type="spellEnd"/>
      <w:r w:rsidRPr="007A3688">
        <w:rPr>
          <w:sz w:val="24"/>
          <w:szCs w:val="24"/>
          <w:lang w:val="de-DE"/>
        </w:rPr>
        <w:t>).</w:t>
      </w:r>
    </w:p>
    <w:p w14:paraId="0FA6102E" w14:textId="77777777" w:rsidR="003408C1" w:rsidRPr="007A3688" w:rsidRDefault="003408C1" w:rsidP="000706E9">
      <w:pPr>
        <w:pStyle w:val="FootnoteText"/>
        <w:spacing w:line="259" w:lineRule="auto"/>
        <w:jc w:val="both"/>
        <w:rPr>
          <w:sz w:val="24"/>
          <w:szCs w:val="24"/>
          <w:lang w:val="de-DE"/>
        </w:rPr>
      </w:pPr>
    </w:p>
    <w:p w14:paraId="3F184C11" w14:textId="6A0CFF2B" w:rsidR="00030EF2" w:rsidRPr="007A3688" w:rsidRDefault="00030EF2" w:rsidP="000706E9">
      <w:pPr>
        <w:pStyle w:val="FootnoteText"/>
        <w:spacing w:line="259" w:lineRule="auto"/>
        <w:jc w:val="both"/>
        <w:rPr>
          <w:sz w:val="24"/>
          <w:szCs w:val="24"/>
          <w:lang w:val="de-DE"/>
        </w:rPr>
      </w:pPr>
      <w:r w:rsidRPr="007A3688">
        <w:rPr>
          <w:sz w:val="24"/>
          <w:szCs w:val="24"/>
          <w:lang w:val="de-DE"/>
        </w:rPr>
        <w:t xml:space="preserve">HvJ EU 18 </w:t>
      </w:r>
      <w:proofErr w:type="spellStart"/>
      <w:r w:rsidRPr="007A3688">
        <w:rPr>
          <w:sz w:val="24"/>
          <w:szCs w:val="24"/>
          <w:lang w:val="de-DE"/>
        </w:rPr>
        <w:t>juni</w:t>
      </w:r>
      <w:proofErr w:type="spellEnd"/>
      <w:r w:rsidRPr="007A3688">
        <w:rPr>
          <w:sz w:val="24"/>
          <w:szCs w:val="24"/>
          <w:lang w:val="de-DE"/>
        </w:rPr>
        <w:t xml:space="preserve"> 1991, C-260/89, ECLI:EU:C:1991:254 (</w:t>
      </w:r>
      <w:r w:rsidRPr="007A3688">
        <w:rPr>
          <w:i/>
          <w:iCs/>
          <w:sz w:val="24"/>
          <w:szCs w:val="24"/>
          <w:lang w:val="de-DE"/>
        </w:rPr>
        <w:t>ERT</w:t>
      </w:r>
      <w:r w:rsidRPr="007A3688">
        <w:rPr>
          <w:sz w:val="24"/>
          <w:szCs w:val="24"/>
          <w:lang w:val="de-DE"/>
        </w:rPr>
        <w:t>).</w:t>
      </w:r>
    </w:p>
    <w:p w14:paraId="13EE5EB5" w14:textId="77777777" w:rsidR="00641EF2" w:rsidRPr="007A3688" w:rsidRDefault="00641EF2" w:rsidP="000706E9">
      <w:pPr>
        <w:pStyle w:val="FootnoteText"/>
        <w:spacing w:line="259" w:lineRule="auto"/>
        <w:jc w:val="both"/>
        <w:rPr>
          <w:sz w:val="24"/>
          <w:szCs w:val="24"/>
          <w:lang w:val="de-DE"/>
        </w:rPr>
      </w:pPr>
    </w:p>
    <w:p w14:paraId="29836F08" w14:textId="1A29F8DE" w:rsidR="00641EF2" w:rsidRPr="007A3688" w:rsidRDefault="00641EF2" w:rsidP="000706E9">
      <w:pPr>
        <w:pStyle w:val="FootnoteText"/>
        <w:spacing w:line="259" w:lineRule="auto"/>
        <w:jc w:val="both"/>
        <w:rPr>
          <w:sz w:val="24"/>
          <w:szCs w:val="24"/>
          <w:lang w:val="de-DE"/>
        </w:rPr>
      </w:pPr>
      <w:r w:rsidRPr="007A3688">
        <w:rPr>
          <w:sz w:val="24"/>
          <w:szCs w:val="24"/>
          <w:lang w:val="de-DE"/>
        </w:rPr>
        <w:t xml:space="preserve">HvJ EU 19 </w:t>
      </w:r>
      <w:proofErr w:type="spellStart"/>
      <w:r w:rsidRPr="007A3688">
        <w:rPr>
          <w:sz w:val="24"/>
          <w:szCs w:val="24"/>
          <w:lang w:val="de-DE"/>
        </w:rPr>
        <w:t>november</w:t>
      </w:r>
      <w:proofErr w:type="spellEnd"/>
      <w:r w:rsidRPr="007A3688">
        <w:rPr>
          <w:sz w:val="24"/>
          <w:szCs w:val="24"/>
          <w:lang w:val="de-DE"/>
        </w:rPr>
        <w:t xml:space="preserve"> 1991, C-6/90 en C-9/90, ECLI:EU:C:1991:428 (</w:t>
      </w:r>
      <w:proofErr w:type="spellStart"/>
      <w:r w:rsidRPr="007A3688">
        <w:rPr>
          <w:i/>
          <w:iCs/>
          <w:sz w:val="24"/>
          <w:szCs w:val="24"/>
          <w:lang w:val="de-DE"/>
        </w:rPr>
        <w:t>Francovich</w:t>
      </w:r>
      <w:proofErr w:type="spellEnd"/>
      <w:r w:rsidRPr="007A3688">
        <w:rPr>
          <w:sz w:val="24"/>
          <w:szCs w:val="24"/>
          <w:lang w:val="de-DE"/>
        </w:rPr>
        <w:t>).</w:t>
      </w:r>
    </w:p>
    <w:p w14:paraId="0F1FF04A" w14:textId="77777777" w:rsidR="000A53D3" w:rsidRPr="007A3688" w:rsidRDefault="000A53D3" w:rsidP="000706E9">
      <w:pPr>
        <w:pStyle w:val="FootnoteText"/>
        <w:spacing w:line="259" w:lineRule="auto"/>
        <w:jc w:val="both"/>
        <w:rPr>
          <w:sz w:val="24"/>
          <w:szCs w:val="24"/>
          <w:lang w:val="de-DE"/>
        </w:rPr>
      </w:pPr>
    </w:p>
    <w:p w14:paraId="7FCD63C7" w14:textId="057D0667" w:rsidR="000A53D3" w:rsidRPr="007A3688" w:rsidRDefault="000A53D3" w:rsidP="000706E9">
      <w:pPr>
        <w:pStyle w:val="FootnoteText"/>
        <w:spacing w:line="259" w:lineRule="auto"/>
        <w:jc w:val="both"/>
        <w:rPr>
          <w:sz w:val="24"/>
          <w:szCs w:val="24"/>
          <w:lang w:val="de-DE"/>
        </w:rPr>
      </w:pPr>
      <w:r w:rsidRPr="007A3688">
        <w:rPr>
          <w:sz w:val="24"/>
          <w:szCs w:val="24"/>
          <w:lang w:val="de-DE"/>
        </w:rPr>
        <w:t xml:space="preserve">HvJ EU 25 </w:t>
      </w:r>
      <w:proofErr w:type="spellStart"/>
      <w:r w:rsidRPr="007A3688">
        <w:rPr>
          <w:sz w:val="24"/>
          <w:szCs w:val="24"/>
          <w:lang w:val="de-DE"/>
        </w:rPr>
        <w:t>juli</w:t>
      </w:r>
      <w:proofErr w:type="spellEnd"/>
      <w:r w:rsidRPr="007A3688">
        <w:rPr>
          <w:sz w:val="24"/>
          <w:szCs w:val="24"/>
          <w:lang w:val="de-DE"/>
        </w:rPr>
        <w:t xml:space="preserve"> 1991, C-76/90, ECLI:EU:C:1991:331 (</w:t>
      </w:r>
      <w:r w:rsidRPr="007A3688">
        <w:rPr>
          <w:i/>
          <w:iCs/>
          <w:sz w:val="24"/>
          <w:szCs w:val="24"/>
          <w:lang w:val="de-DE"/>
        </w:rPr>
        <w:t>Säger</w:t>
      </w:r>
      <w:r w:rsidRPr="007A3688">
        <w:rPr>
          <w:sz w:val="24"/>
          <w:szCs w:val="24"/>
          <w:lang w:val="de-DE"/>
        </w:rPr>
        <w:t>).</w:t>
      </w:r>
    </w:p>
    <w:p w14:paraId="2687F268" w14:textId="77777777" w:rsidR="003408C1" w:rsidRPr="007A3688" w:rsidRDefault="003408C1" w:rsidP="000706E9">
      <w:pPr>
        <w:pStyle w:val="FootnoteText"/>
        <w:spacing w:line="259" w:lineRule="auto"/>
        <w:jc w:val="both"/>
        <w:rPr>
          <w:sz w:val="24"/>
          <w:szCs w:val="24"/>
          <w:lang w:val="de-DE"/>
        </w:rPr>
      </w:pPr>
    </w:p>
    <w:p w14:paraId="57C1CCCC" w14:textId="7E6261B6" w:rsidR="003408C1" w:rsidRPr="007A3688" w:rsidRDefault="003408C1" w:rsidP="000706E9">
      <w:pPr>
        <w:pStyle w:val="FootnoteText"/>
        <w:spacing w:line="259" w:lineRule="auto"/>
        <w:jc w:val="both"/>
        <w:rPr>
          <w:sz w:val="24"/>
          <w:szCs w:val="24"/>
          <w:lang w:val="de-DE"/>
        </w:rPr>
      </w:pPr>
      <w:r w:rsidRPr="007A3688">
        <w:rPr>
          <w:sz w:val="24"/>
          <w:szCs w:val="24"/>
          <w:lang w:val="de-DE"/>
        </w:rPr>
        <w:t xml:space="preserve">HvJ EU 2 </w:t>
      </w:r>
      <w:proofErr w:type="spellStart"/>
      <w:r w:rsidRPr="007A3688">
        <w:rPr>
          <w:sz w:val="24"/>
          <w:szCs w:val="24"/>
          <w:lang w:val="de-DE"/>
        </w:rPr>
        <w:t>augustus</w:t>
      </w:r>
      <w:proofErr w:type="spellEnd"/>
      <w:r w:rsidRPr="007A3688">
        <w:rPr>
          <w:sz w:val="24"/>
          <w:szCs w:val="24"/>
          <w:lang w:val="de-DE"/>
        </w:rPr>
        <w:t xml:space="preserve"> 1993, C-271/91</w:t>
      </w:r>
      <w:r w:rsidR="00E75BB2" w:rsidRPr="007A3688">
        <w:rPr>
          <w:sz w:val="24"/>
          <w:szCs w:val="24"/>
          <w:lang w:val="de-DE"/>
        </w:rPr>
        <w:t>, ECLI:EU:C:1993:335</w:t>
      </w:r>
      <w:r w:rsidRPr="007A3688">
        <w:rPr>
          <w:sz w:val="24"/>
          <w:szCs w:val="24"/>
          <w:lang w:val="de-DE"/>
        </w:rPr>
        <w:t xml:space="preserve"> (</w:t>
      </w:r>
      <w:r w:rsidRPr="007A3688">
        <w:rPr>
          <w:i/>
          <w:iCs/>
          <w:sz w:val="24"/>
          <w:szCs w:val="24"/>
          <w:lang w:val="de-DE"/>
        </w:rPr>
        <w:t>Marshall</w:t>
      </w:r>
      <w:r w:rsidR="00D90262" w:rsidRPr="007A3688">
        <w:rPr>
          <w:i/>
          <w:iCs/>
          <w:sz w:val="24"/>
          <w:szCs w:val="24"/>
          <w:lang w:val="de-DE"/>
        </w:rPr>
        <w:t xml:space="preserve"> II</w:t>
      </w:r>
      <w:r w:rsidRPr="007A3688">
        <w:rPr>
          <w:sz w:val="24"/>
          <w:szCs w:val="24"/>
          <w:lang w:val="de-DE"/>
        </w:rPr>
        <w:t>)</w:t>
      </w:r>
      <w:r w:rsidR="00E75BB2" w:rsidRPr="007A3688">
        <w:rPr>
          <w:sz w:val="24"/>
          <w:szCs w:val="24"/>
          <w:lang w:val="de-DE"/>
        </w:rPr>
        <w:t>.</w:t>
      </w:r>
    </w:p>
    <w:p w14:paraId="230C2F80" w14:textId="77777777" w:rsidR="00E75BB2" w:rsidRPr="007A3688" w:rsidRDefault="00E75BB2" w:rsidP="000706E9">
      <w:pPr>
        <w:pStyle w:val="FootnoteText"/>
        <w:spacing w:line="259" w:lineRule="auto"/>
        <w:jc w:val="both"/>
        <w:rPr>
          <w:sz w:val="24"/>
          <w:szCs w:val="24"/>
          <w:lang w:val="de-DE"/>
        </w:rPr>
      </w:pPr>
    </w:p>
    <w:p w14:paraId="469BDF0B" w14:textId="2D76D295" w:rsidR="00E75BB2" w:rsidRPr="007A3688" w:rsidRDefault="00E75BB2" w:rsidP="000706E9">
      <w:pPr>
        <w:pStyle w:val="FootnoteText"/>
        <w:spacing w:line="259" w:lineRule="auto"/>
        <w:jc w:val="both"/>
        <w:rPr>
          <w:sz w:val="24"/>
          <w:szCs w:val="24"/>
          <w:lang w:val="de-DE"/>
        </w:rPr>
      </w:pPr>
      <w:r w:rsidRPr="007A3688">
        <w:rPr>
          <w:sz w:val="24"/>
          <w:szCs w:val="24"/>
          <w:lang w:val="de-DE"/>
        </w:rPr>
        <w:t xml:space="preserve">HvJ EU 14 </w:t>
      </w:r>
      <w:proofErr w:type="spellStart"/>
      <w:r w:rsidRPr="007A3688">
        <w:rPr>
          <w:sz w:val="24"/>
          <w:szCs w:val="24"/>
          <w:lang w:val="de-DE"/>
        </w:rPr>
        <w:t>juli</w:t>
      </w:r>
      <w:proofErr w:type="spellEnd"/>
      <w:r w:rsidRPr="007A3688">
        <w:rPr>
          <w:sz w:val="24"/>
          <w:szCs w:val="24"/>
          <w:lang w:val="de-DE"/>
        </w:rPr>
        <w:t xml:space="preserve"> 1994, C-91/92, ECLI:EU:C:1994:292 (</w:t>
      </w:r>
      <w:proofErr w:type="spellStart"/>
      <w:r w:rsidRPr="007A3688">
        <w:rPr>
          <w:i/>
          <w:iCs/>
          <w:sz w:val="24"/>
          <w:szCs w:val="24"/>
          <w:lang w:val="de-DE"/>
        </w:rPr>
        <w:t>Faccini</w:t>
      </w:r>
      <w:proofErr w:type="spellEnd"/>
      <w:r w:rsidRPr="007A3688">
        <w:rPr>
          <w:i/>
          <w:iCs/>
          <w:sz w:val="24"/>
          <w:szCs w:val="24"/>
          <w:lang w:val="de-DE"/>
        </w:rPr>
        <w:t xml:space="preserve"> Dori</w:t>
      </w:r>
      <w:r w:rsidRPr="007A3688">
        <w:rPr>
          <w:sz w:val="24"/>
          <w:szCs w:val="24"/>
          <w:lang w:val="de-DE"/>
        </w:rPr>
        <w:t>).</w:t>
      </w:r>
    </w:p>
    <w:p w14:paraId="2E164F43" w14:textId="77777777" w:rsidR="00D81E28" w:rsidRPr="007A3688" w:rsidRDefault="00D81E28" w:rsidP="00FD0498">
      <w:pPr>
        <w:pStyle w:val="FootnoteText"/>
        <w:spacing w:line="259" w:lineRule="auto"/>
        <w:jc w:val="both"/>
        <w:rPr>
          <w:sz w:val="24"/>
          <w:szCs w:val="24"/>
          <w:lang w:val="de-DE"/>
        </w:rPr>
      </w:pPr>
    </w:p>
    <w:p w14:paraId="4898D4DA" w14:textId="3B9E9E0A" w:rsidR="004132BA" w:rsidRPr="007A3688" w:rsidRDefault="00D81E28" w:rsidP="00FD0498">
      <w:pPr>
        <w:pStyle w:val="FootnoteText"/>
        <w:spacing w:line="259" w:lineRule="auto"/>
        <w:jc w:val="both"/>
        <w:rPr>
          <w:sz w:val="24"/>
          <w:szCs w:val="24"/>
          <w:lang w:val="de-DE"/>
        </w:rPr>
      </w:pPr>
      <w:r w:rsidRPr="007A3688">
        <w:rPr>
          <w:sz w:val="24"/>
          <w:szCs w:val="24"/>
          <w:lang w:val="de-DE"/>
        </w:rPr>
        <w:t xml:space="preserve">HvJ EU 30 </w:t>
      </w:r>
      <w:proofErr w:type="spellStart"/>
      <w:r w:rsidRPr="007A3688">
        <w:rPr>
          <w:sz w:val="24"/>
          <w:szCs w:val="24"/>
          <w:lang w:val="de-DE"/>
        </w:rPr>
        <w:t>november</w:t>
      </w:r>
      <w:proofErr w:type="spellEnd"/>
      <w:r w:rsidRPr="007A3688">
        <w:rPr>
          <w:sz w:val="24"/>
          <w:szCs w:val="24"/>
          <w:lang w:val="de-DE"/>
        </w:rPr>
        <w:t xml:space="preserve"> 1995, C-55/94, ECLI:EU:C:1995:411 (</w:t>
      </w:r>
      <w:r w:rsidRPr="007A3688">
        <w:rPr>
          <w:i/>
          <w:iCs/>
          <w:sz w:val="24"/>
          <w:szCs w:val="24"/>
          <w:lang w:val="de-DE"/>
        </w:rPr>
        <w:t>Gebhard</w:t>
      </w:r>
      <w:r w:rsidRPr="007A3688">
        <w:rPr>
          <w:sz w:val="24"/>
          <w:szCs w:val="24"/>
          <w:lang w:val="de-DE"/>
        </w:rPr>
        <w:t>).</w:t>
      </w:r>
    </w:p>
    <w:p w14:paraId="6ABEFB42" w14:textId="77777777" w:rsidR="004357D4" w:rsidRPr="007A3688" w:rsidRDefault="004357D4" w:rsidP="00FD0498">
      <w:pPr>
        <w:pStyle w:val="FootnoteText"/>
        <w:spacing w:line="259" w:lineRule="auto"/>
        <w:jc w:val="both"/>
        <w:rPr>
          <w:sz w:val="24"/>
          <w:szCs w:val="24"/>
          <w:lang w:val="de-DE"/>
        </w:rPr>
      </w:pPr>
    </w:p>
    <w:p w14:paraId="6C47FFD6" w14:textId="7F23C58F" w:rsidR="004357D4" w:rsidRPr="007A3688" w:rsidRDefault="004357D4" w:rsidP="00FD0498">
      <w:pPr>
        <w:pStyle w:val="FootnoteText"/>
        <w:spacing w:line="259" w:lineRule="auto"/>
        <w:jc w:val="both"/>
        <w:rPr>
          <w:sz w:val="24"/>
          <w:szCs w:val="24"/>
          <w:lang w:val="de-DE"/>
        </w:rPr>
      </w:pPr>
      <w:r w:rsidRPr="007A3688">
        <w:rPr>
          <w:sz w:val="24"/>
          <w:szCs w:val="24"/>
          <w:lang w:val="de-DE"/>
        </w:rPr>
        <w:t xml:space="preserve">HvJ EU 21 </w:t>
      </w:r>
      <w:proofErr w:type="spellStart"/>
      <w:r w:rsidRPr="007A3688">
        <w:rPr>
          <w:sz w:val="24"/>
          <w:szCs w:val="24"/>
          <w:lang w:val="de-DE"/>
        </w:rPr>
        <w:t>september</w:t>
      </w:r>
      <w:proofErr w:type="spellEnd"/>
      <w:r w:rsidRPr="007A3688">
        <w:rPr>
          <w:sz w:val="24"/>
          <w:szCs w:val="24"/>
          <w:lang w:val="de-DE"/>
        </w:rPr>
        <w:t xml:space="preserve"> 1999, C-67/96, ECLI:EU:C:1999:430 (</w:t>
      </w:r>
      <w:r w:rsidRPr="007A3688">
        <w:rPr>
          <w:i/>
          <w:iCs/>
          <w:sz w:val="24"/>
          <w:szCs w:val="24"/>
          <w:lang w:val="de-DE"/>
        </w:rPr>
        <w:t>Albany</w:t>
      </w:r>
      <w:r w:rsidRPr="007A3688">
        <w:rPr>
          <w:sz w:val="24"/>
          <w:szCs w:val="24"/>
          <w:lang w:val="de-DE"/>
        </w:rPr>
        <w:t>).</w:t>
      </w:r>
    </w:p>
    <w:p w14:paraId="6319930F" w14:textId="77777777" w:rsidR="004132BA" w:rsidRPr="007A3688" w:rsidRDefault="004132BA" w:rsidP="00FD0498">
      <w:pPr>
        <w:pStyle w:val="FootnoteText"/>
        <w:spacing w:line="259" w:lineRule="auto"/>
        <w:jc w:val="both"/>
        <w:rPr>
          <w:sz w:val="24"/>
          <w:szCs w:val="24"/>
          <w:lang w:val="de-DE"/>
        </w:rPr>
      </w:pPr>
    </w:p>
    <w:p w14:paraId="0FD62FA8" w14:textId="72F4D7B4" w:rsidR="004132BA" w:rsidRPr="007A3688" w:rsidRDefault="004132BA" w:rsidP="00FD0498">
      <w:pPr>
        <w:pStyle w:val="FootnoteText"/>
        <w:spacing w:line="259" w:lineRule="auto"/>
        <w:jc w:val="both"/>
        <w:rPr>
          <w:sz w:val="24"/>
          <w:szCs w:val="24"/>
          <w:lang w:val="de-DE"/>
        </w:rPr>
      </w:pPr>
      <w:r w:rsidRPr="007A3688">
        <w:rPr>
          <w:sz w:val="24"/>
          <w:szCs w:val="24"/>
          <w:lang w:val="de-DE"/>
        </w:rPr>
        <w:t xml:space="preserve">HvJ EU 6 </w:t>
      </w:r>
      <w:proofErr w:type="spellStart"/>
      <w:r w:rsidRPr="007A3688">
        <w:rPr>
          <w:sz w:val="24"/>
          <w:szCs w:val="24"/>
          <w:lang w:val="de-DE"/>
        </w:rPr>
        <w:t>juni</w:t>
      </w:r>
      <w:proofErr w:type="spellEnd"/>
      <w:r w:rsidRPr="007A3688">
        <w:rPr>
          <w:sz w:val="24"/>
          <w:szCs w:val="24"/>
          <w:lang w:val="de-DE"/>
        </w:rPr>
        <w:t xml:space="preserve"> 2000, C-281/98, ECLI:EU:C:2000:296 (</w:t>
      </w:r>
      <w:proofErr w:type="spellStart"/>
      <w:r w:rsidRPr="007A3688">
        <w:rPr>
          <w:i/>
          <w:iCs/>
          <w:sz w:val="24"/>
          <w:szCs w:val="24"/>
          <w:lang w:val="de-DE"/>
        </w:rPr>
        <w:t>Angonese</w:t>
      </w:r>
      <w:proofErr w:type="spellEnd"/>
      <w:r w:rsidRPr="007A3688">
        <w:rPr>
          <w:sz w:val="24"/>
          <w:szCs w:val="24"/>
          <w:lang w:val="de-DE"/>
        </w:rPr>
        <w:t>).</w:t>
      </w:r>
    </w:p>
    <w:p w14:paraId="2FC41290" w14:textId="77777777" w:rsidR="0015188E" w:rsidRPr="007A3688" w:rsidRDefault="0015188E" w:rsidP="00FD0498">
      <w:pPr>
        <w:pStyle w:val="FootnoteText"/>
        <w:spacing w:line="259" w:lineRule="auto"/>
        <w:jc w:val="both"/>
        <w:rPr>
          <w:sz w:val="24"/>
          <w:szCs w:val="24"/>
          <w:lang w:val="de-DE"/>
        </w:rPr>
      </w:pPr>
    </w:p>
    <w:p w14:paraId="3E595910" w14:textId="578B7061" w:rsidR="0015188E" w:rsidRPr="007A3688" w:rsidRDefault="0015188E" w:rsidP="00FD0498">
      <w:pPr>
        <w:pStyle w:val="FootnoteText"/>
        <w:spacing w:line="259" w:lineRule="auto"/>
        <w:jc w:val="both"/>
        <w:rPr>
          <w:sz w:val="24"/>
          <w:szCs w:val="24"/>
          <w:lang w:val="de-DE"/>
        </w:rPr>
      </w:pPr>
      <w:r w:rsidRPr="007A3688">
        <w:rPr>
          <w:sz w:val="24"/>
          <w:szCs w:val="24"/>
          <w:lang w:val="de-DE"/>
        </w:rPr>
        <w:t>HvJ E</w:t>
      </w:r>
      <w:r w:rsidR="003501C6" w:rsidRPr="007A3688">
        <w:rPr>
          <w:sz w:val="24"/>
          <w:szCs w:val="24"/>
          <w:lang w:val="de-DE"/>
        </w:rPr>
        <w:t>U</w:t>
      </w:r>
      <w:r w:rsidRPr="007A3688">
        <w:rPr>
          <w:sz w:val="24"/>
          <w:szCs w:val="24"/>
          <w:lang w:val="de-DE"/>
        </w:rPr>
        <w:t xml:space="preserve"> 12 </w:t>
      </w:r>
      <w:proofErr w:type="spellStart"/>
      <w:r w:rsidRPr="007A3688">
        <w:rPr>
          <w:sz w:val="24"/>
          <w:szCs w:val="24"/>
          <w:lang w:val="de-DE"/>
        </w:rPr>
        <w:t>juni</w:t>
      </w:r>
      <w:proofErr w:type="spellEnd"/>
      <w:r w:rsidRPr="007A3688">
        <w:rPr>
          <w:sz w:val="24"/>
          <w:szCs w:val="24"/>
          <w:lang w:val="de-DE"/>
        </w:rPr>
        <w:t xml:space="preserve"> 2003, C-112/00, ECLI:EU:C:2003:333 (</w:t>
      </w:r>
      <w:r w:rsidRPr="007A3688">
        <w:rPr>
          <w:i/>
          <w:iCs/>
          <w:sz w:val="24"/>
          <w:szCs w:val="24"/>
          <w:lang w:val="de-DE"/>
        </w:rPr>
        <w:t>Schmidberger</w:t>
      </w:r>
      <w:r w:rsidRPr="007A3688">
        <w:rPr>
          <w:sz w:val="24"/>
          <w:szCs w:val="24"/>
          <w:lang w:val="de-DE"/>
        </w:rPr>
        <w:t>).</w:t>
      </w:r>
    </w:p>
    <w:p w14:paraId="7D62695A" w14:textId="77777777" w:rsidR="00604C68" w:rsidRPr="007A3688" w:rsidRDefault="00604C68" w:rsidP="00FD0498">
      <w:pPr>
        <w:pStyle w:val="FootnoteText"/>
        <w:spacing w:line="259" w:lineRule="auto"/>
        <w:jc w:val="both"/>
        <w:rPr>
          <w:sz w:val="24"/>
          <w:szCs w:val="24"/>
          <w:lang w:val="de-DE"/>
        </w:rPr>
      </w:pPr>
    </w:p>
    <w:p w14:paraId="518FD6DB" w14:textId="0DCF178E" w:rsidR="00604C68" w:rsidRPr="007A3688" w:rsidRDefault="00604C68" w:rsidP="00FD0498">
      <w:pPr>
        <w:pStyle w:val="FootnoteText"/>
        <w:spacing w:line="259" w:lineRule="auto"/>
        <w:jc w:val="both"/>
        <w:rPr>
          <w:sz w:val="24"/>
          <w:szCs w:val="24"/>
          <w:lang w:val="de-DE"/>
        </w:rPr>
      </w:pPr>
      <w:r w:rsidRPr="007A3688">
        <w:rPr>
          <w:sz w:val="24"/>
          <w:szCs w:val="24"/>
          <w:lang w:val="de-DE"/>
        </w:rPr>
        <w:t xml:space="preserve">HvJ EU 14 </w:t>
      </w:r>
      <w:proofErr w:type="spellStart"/>
      <w:r w:rsidRPr="007A3688">
        <w:rPr>
          <w:sz w:val="24"/>
          <w:szCs w:val="24"/>
          <w:lang w:val="de-DE"/>
        </w:rPr>
        <w:t>oktober</w:t>
      </w:r>
      <w:proofErr w:type="spellEnd"/>
      <w:r w:rsidRPr="007A3688">
        <w:rPr>
          <w:sz w:val="24"/>
          <w:szCs w:val="24"/>
          <w:lang w:val="de-DE"/>
        </w:rPr>
        <w:t xml:space="preserve"> 2004, C-36/02, ECLI:EU:C:2004:614 (</w:t>
      </w:r>
      <w:r w:rsidRPr="007A3688">
        <w:rPr>
          <w:i/>
          <w:iCs/>
          <w:sz w:val="24"/>
          <w:szCs w:val="24"/>
          <w:lang w:val="de-DE"/>
        </w:rPr>
        <w:t>Omega</w:t>
      </w:r>
      <w:r w:rsidRPr="007A3688">
        <w:rPr>
          <w:sz w:val="24"/>
          <w:szCs w:val="24"/>
          <w:lang w:val="de-DE"/>
        </w:rPr>
        <w:t>).</w:t>
      </w:r>
    </w:p>
    <w:p w14:paraId="6BE1476B" w14:textId="77777777" w:rsidR="00030EF2" w:rsidRPr="007A3688" w:rsidRDefault="00030EF2" w:rsidP="00FD0498">
      <w:pPr>
        <w:pStyle w:val="FootnoteText"/>
        <w:spacing w:line="259" w:lineRule="auto"/>
        <w:jc w:val="both"/>
        <w:rPr>
          <w:sz w:val="24"/>
          <w:szCs w:val="24"/>
          <w:lang w:val="de-DE"/>
        </w:rPr>
      </w:pPr>
    </w:p>
    <w:p w14:paraId="3F245258" w14:textId="00126F9B" w:rsidR="00030EF2" w:rsidRPr="007A3688" w:rsidRDefault="00030EF2" w:rsidP="00FD0498">
      <w:pPr>
        <w:pStyle w:val="FootnoteText"/>
        <w:spacing w:line="259" w:lineRule="auto"/>
        <w:jc w:val="both"/>
        <w:rPr>
          <w:sz w:val="24"/>
          <w:szCs w:val="24"/>
          <w:lang w:val="en-US"/>
        </w:rPr>
      </w:pPr>
      <w:r w:rsidRPr="007A3688">
        <w:rPr>
          <w:sz w:val="24"/>
          <w:szCs w:val="24"/>
          <w:lang w:val="en-US"/>
        </w:rPr>
        <w:t xml:space="preserve">HvJ EU 11 </w:t>
      </w:r>
      <w:proofErr w:type="spellStart"/>
      <w:r w:rsidRPr="007A3688">
        <w:rPr>
          <w:sz w:val="24"/>
          <w:szCs w:val="24"/>
          <w:lang w:val="en-US"/>
        </w:rPr>
        <w:t>december</w:t>
      </w:r>
      <w:proofErr w:type="spellEnd"/>
      <w:r w:rsidRPr="007A3688">
        <w:rPr>
          <w:sz w:val="24"/>
          <w:szCs w:val="24"/>
          <w:lang w:val="en-US"/>
        </w:rPr>
        <w:t xml:space="preserve"> 2007, C-438/05, ECLI:EU:C:2007:772 (</w:t>
      </w:r>
      <w:r w:rsidRPr="007A3688">
        <w:rPr>
          <w:i/>
          <w:iCs/>
          <w:sz w:val="24"/>
          <w:szCs w:val="24"/>
          <w:lang w:val="en-US"/>
        </w:rPr>
        <w:t>Viking Line</w:t>
      </w:r>
      <w:r w:rsidRPr="007A3688">
        <w:rPr>
          <w:sz w:val="24"/>
          <w:szCs w:val="24"/>
          <w:lang w:val="en-US"/>
        </w:rPr>
        <w:t>).</w:t>
      </w:r>
    </w:p>
    <w:p w14:paraId="4922418C" w14:textId="77777777" w:rsidR="00030EF2" w:rsidRPr="007A3688" w:rsidRDefault="00030EF2" w:rsidP="00FD0498">
      <w:pPr>
        <w:pStyle w:val="FootnoteText"/>
        <w:spacing w:line="259" w:lineRule="auto"/>
        <w:jc w:val="both"/>
        <w:rPr>
          <w:sz w:val="24"/>
          <w:szCs w:val="24"/>
          <w:lang w:val="en-US"/>
        </w:rPr>
      </w:pPr>
    </w:p>
    <w:p w14:paraId="36CED22F" w14:textId="5E50480D" w:rsidR="00030EF2" w:rsidRPr="007A3688" w:rsidRDefault="00030EF2" w:rsidP="00FD0498">
      <w:pPr>
        <w:pStyle w:val="FootnoteText"/>
        <w:spacing w:line="259" w:lineRule="auto"/>
        <w:jc w:val="both"/>
        <w:rPr>
          <w:sz w:val="24"/>
          <w:szCs w:val="24"/>
          <w:lang w:val="fr-BE"/>
        </w:rPr>
      </w:pPr>
      <w:r w:rsidRPr="007A3688">
        <w:rPr>
          <w:sz w:val="24"/>
          <w:szCs w:val="24"/>
          <w:lang w:val="fr-BE"/>
        </w:rPr>
        <w:t xml:space="preserve">HvJ EU 18 </w:t>
      </w:r>
      <w:proofErr w:type="spellStart"/>
      <w:r w:rsidRPr="007A3688">
        <w:rPr>
          <w:sz w:val="24"/>
          <w:szCs w:val="24"/>
          <w:lang w:val="fr-BE"/>
        </w:rPr>
        <w:t>december</w:t>
      </w:r>
      <w:proofErr w:type="spellEnd"/>
      <w:r w:rsidRPr="007A3688">
        <w:rPr>
          <w:sz w:val="24"/>
          <w:szCs w:val="24"/>
          <w:lang w:val="fr-BE"/>
        </w:rPr>
        <w:t xml:space="preserve"> 2007, C-341/05, ECLI:EU:C:2007:809 (</w:t>
      </w:r>
      <w:r w:rsidRPr="007A3688">
        <w:rPr>
          <w:i/>
          <w:iCs/>
          <w:sz w:val="24"/>
          <w:szCs w:val="24"/>
          <w:lang w:val="fr-BE"/>
        </w:rPr>
        <w:t>Laval</w:t>
      </w:r>
      <w:r w:rsidRPr="007A3688">
        <w:rPr>
          <w:sz w:val="24"/>
          <w:szCs w:val="24"/>
          <w:lang w:val="fr-BE"/>
        </w:rPr>
        <w:t xml:space="preserve"> </w:t>
      </w:r>
      <w:r w:rsidRPr="007A3688">
        <w:rPr>
          <w:i/>
          <w:iCs/>
          <w:sz w:val="24"/>
          <w:szCs w:val="24"/>
          <w:lang w:val="fr-BE"/>
        </w:rPr>
        <w:t xml:space="preserve">un </w:t>
      </w:r>
      <w:proofErr w:type="spellStart"/>
      <w:r w:rsidRPr="007A3688">
        <w:rPr>
          <w:i/>
          <w:iCs/>
          <w:sz w:val="24"/>
          <w:szCs w:val="24"/>
          <w:lang w:val="fr-BE"/>
        </w:rPr>
        <w:t>Partneri</w:t>
      </w:r>
      <w:proofErr w:type="spellEnd"/>
      <w:r w:rsidRPr="007A3688">
        <w:rPr>
          <w:sz w:val="24"/>
          <w:szCs w:val="24"/>
          <w:lang w:val="fr-BE"/>
        </w:rPr>
        <w:t>).</w:t>
      </w:r>
    </w:p>
    <w:p w14:paraId="6640A05D" w14:textId="77777777" w:rsidR="00861824" w:rsidRPr="007A3688" w:rsidRDefault="00861824" w:rsidP="00FD0498">
      <w:pPr>
        <w:pStyle w:val="FootnoteText"/>
        <w:spacing w:line="259" w:lineRule="auto"/>
        <w:jc w:val="both"/>
        <w:rPr>
          <w:sz w:val="24"/>
          <w:szCs w:val="24"/>
          <w:lang w:val="fr-BE"/>
        </w:rPr>
      </w:pPr>
    </w:p>
    <w:p w14:paraId="515BF9B4" w14:textId="62AB275A" w:rsidR="00861824" w:rsidRPr="007A3688" w:rsidRDefault="00861824" w:rsidP="00FD0498">
      <w:pPr>
        <w:pStyle w:val="FootnoteText"/>
        <w:spacing w:line="259" w:lineRule="auto"/>
        <w:jc w:val="both"/>
        <w:rPr>
          <w:sz w:val="24"/>
          <w:szCs w:val="24"/>
          <w:lang w:val="de-DE"/>
        </w:rPr>
      </w:pPr>
      <w:r w:rsidRPr="007A3688">
        <w:rPr>
          <w:sz w:val="24"/>
          <w:szCs w:val="24"/>
          <w:lang w:val="de-DE"/>
        </w:rPr>
        <w:t xml:space="preserve">HvJ EU 3 </w:t>
      </w:r>
      <w:proofErr w:type="spellStart"/>
      <w:r w:rsidRPr="007A3688">
        <w:rPr>
          <w:sz w:val="24"/>
          <w:szCs w:val="24"/>
          <w:lang w:val="de-DE"/>
        </w:rPr>
        <w:t>april</w:t>
      </w:r>
      <w:proofErr w:type="spellEnd"/>
      <w:r w:rsidRPr="007A3688">
        <w:rPr>
          <w:sz w:val="24"/>
          <w:szCs w:val="24"/>
          <w:lang w:val="de-DE"/>
        </w:rPr>
        <w:t xml:space="preserve"> 2008, C-346/06, ECLI:EU:C:2008:189 (</w:t>
      </w:r>
      <w:proofErr w:type="spellStart"/>
      <w:r w:rsidRPr="007A3688">
        <w:rPr>
          <w:i/>
          <w:iCs/>
          <w:sz w:val="24"/>
          <w:szCs w:val="24"/>
          <w:lang w:val="de-DE"/>
        </w:rPr>
        <w:t>Rüffert</w:t>
      </w:r>
      <w:proofErr w:type="spellEnd"/>
      <w:r w:rsidRPr="007A3688">
        <w:rPr>
          <w:sz w:val="24"/>
          <w:szCs w:val="24"/>
          <w:lang w:val="de-DE"/>
        </w:rPr>
        <w:t>).</w:t>
      </w:r>
    </w:p>
    <w:p w14:paraId="6BAA3E1C" w14:textId="77777777" w:rsidR="00861824" w:rsidRPr="007A3688" w:rsidRDefault="00861824" w:rsidP="00FD0498">
      <w:pPr>
        <w:pStyle w:val="FootnoteText"/>
        <w:spacing w:line="259" w:lineRule="auto"/>
        <w:jc w:val="both"/>
        <w:rPr>
          <w:sz w:val="24"/>
          <w:szCs w:val="24"/>
          <w:lang w:val="de-DE"/>
        </w:rPr>
      </w:pPr>
    </w:p>
    <w:p w14:paraId="7326A6DF" w14:textId="16E1FE79" w:rsidR="00861824" w:rsidRPr="007A3688" w:rsidRDefault="00861824" w:rsidP="00FD0498">
      <w:pPr>
        <w:pStyle w:val="FootnoteText"/>
        <w:spacing w:line="259" w:lineRule="auto"/>
        <w:jc w:val="both"/>
        <w:rPr>
          <w:sz w:val="24"/>
          <w:szCs w:val="24"/>
          <w:lang w:val="de-DE"/>
        </w:rPr>
      </w:pPr>
      <w:r w:rsidRPr="007A3688">
        <w:rPr>
          <w:sz w:val="24"/>
          <w:szCs w:val="24"/>
          <w:lang w:val="de-DE"/>
        </w:rPr>
        <w:t xml:space="preserve">HvJ EU 19 </w:t>
      </w:r>
      <w:proofErr w:type="spellStart"/>
      <w:r w:rsidRPr="007A3688">
        <w:rPr>
          <w:sz w:val="24"/>
          <w:szCs w:val="24"/>
          <w:lang w:val="de-DE"/>
        </w:rPr>
        <w:t>juni</w:t>
      </w:r>
      <w:proofErr w:type="spellEnd"/>
      <w:r w:rsidRPr="007A3688">
        <w:rPr>
          <w:sz w:val="24"/>
          <w:szCs w:val="24"/>
          <w:lang w:val="de-DE"/>
        </w:rPr>
        <w:t xml:space="preserve"> 2008, C-319/06, ECLI:EU:C:2008:350 (</w:t>
      </w:r>
      <w:proofErr w:type="spellStart"/>
      <w:r w:rsidRPr="007A3688">
        <w:rPr>
          <w:i/>
          <w:iCs/>
          <w:sz w:val="24"/>
          <w:szCs w:val="24"/>
          <w:lang w:val="de-DE"/>
        </w:rPr>
        <w:t>Commissie</w:t>
      </w:r>
      <w:proofErr w:type="spellEnd"/>
      <w:r w:rsidRPr="007A3688">
        <w:rPr>
          <w:i/>
          <w:iCs/>
          <w:sz w:val="24"/>
          <w:szCs w:val="24"/>
          <w:lang w:val="de-DE"/>
        </w:rPr>
        <w:t>/Luxemburg</w:t>
      </w:r>
      <w:r w:rsidRPr="007A3688">
        <w:rPr>
          <w:sz w:val="24"/>
          <w:szCs w:val="24"/>
          <w:lang w:val="de-DE"/>
        </w:rPr>
        <w:t>).</w:t>
      </w:r>
    </w:p>
    <w:p w14:paraId="187FFA3A" w14:textId="77777777" w:rsidR="009E25A5" w:rsidRPr="007A3688" w:rsidRDefault="009E25A5" w:rsidP="00FD0498">
      <w:pPr>
        <w:pStyle w:val="FootnoteText"/>
        <w:spacing w:line="259" w:lineRule="auto"/>
        <w:jc w:val="both"/>
        <w:rPr>
          <w:sz w:val="24"/>
          <w:szCs w:val="24"/>
          <w:lang w:val="de-DE"/>
        </w:rPr>
      </w:pPr>
    </w:p>
    <w:p w14:paraId="614A36CD" w14:textId="0BF7F1A7" w:rsidR="009E25A5" w:rsidRPr="007A3688" w:rsidRDefault="009E25A5" w:rsidP="00FD0498">
      <w:pPr>
        <w:pStyle w:val="FootnoteText"/>
        <w:spacing w:line="259" w:lineRule="auto"/>
        <w:jc w:val="both"/>
        <w:rPr>
          <w:sz w:val="24"/>
          <w:szCs w:val="24"/>
          <w:lang w:val="de-DE"/>
        </w:rPr>
      </w:pPr>
      <w:r w:rsidRPr="007A3688">
        <w:rPr>
          <w:sz w:val="24"/>
          <w:szCs w:val="24"/>
          <w:lang w:val="de-DE"/>
        </w:rPr>
        <w:t xml:space="preserve">HvJ EU 19 </w:t>
      </w:r>
      <w:proofErr w:type="spellStart"/>
      <w:r w:rsidRPr="007A3688">
        <w:rPr>
          <w:sz w:val="24"/>
          <w:szCs w:val="24"/>
          <w:lang w:val="de-DE"/>
        </w:rPr>
        <w:t>januari</w:t>
      </w:r>
      <w:proofErr w:type="spellEnd"/>
      <w:r w:rsidRPr="007A3688">
        <w:rPr>
          <w:sz w:val="24"/>
          <w:szCs w:val="24"/>
          <w:lang w:val="de-DE"/>
        </w:rPr>
        <w:t xml:space="preserve"> 2010, C-555/07, ECLI:EU:C:2010:21 (</w:t>
      </w:r>
      <w:proofErr w:type="spellStart"/>
      <w:r w:rsidRPr="007A3688">
        <w:rPr>
          <w:i/>
          <w:iCs/>
          <w:sz w:val="24"/>
          <w:szCs w:val="24"/>
          <w:lang w:val="de-DE"/>
        </w:rPr>
        <w:t>Kücükdeveci</w:t>
      </w:r>
      <w:proofErr w:type="spellEnd"/>
      <w:r w:rsidRPr="007A3688">
        <w:rPr>
          <w:sz w:val="24"/>
          <w:szCs w:val="24"/>
          <w:lang w:val="de-DE"/>
        </w:rPr>
        <w:t>).</w:t>
      </w:r>
    </w:p>
    <w:p w14:paraId="6B5EDB7A" w14:textId="77777777" w:rsidR="00861824" w:rsidRPr="007A3688" w:rsidRDefault="00861824" w:rsidP="00FD0498">
      <w:pPr>
        <w:pStyle w:val="FootnoteText"/>
        <w:spacing w:line="259" w:lineRule="auto"/>
        <w:jc w:val="both"/>
        <w:rPr>
          <w:sz w:val="24"/>
          <w:szCs w:val="24"/>
          <w:lang w:val="de-DE"/>
        </w:rPr>
      </w:pPr>
    </w:p>
    <w:p w14:paraId="513225A3" w14:textId="1C272CD0" w:rsidR="00861824" w:rsidRPr="007A3688" w:rsidRDefault="00861824" w:rsidP="00FD0498">
      <w:pPr>
        <w:pStyle w:val="FootnoteText"/>
        <w:spacing w:line="259" w:lineRule="auto"/>
        <w:jc w:val="both"/>
        <w:rPr>
          <w:sz w:val="24"/>
          <w:szCs w:val="24"/>
          <w:lang w:val="de-DE"/>
        </w:rPr>
      </w:pPr>
      <w:r w:rsidRPr="007A3688">
        <w:rPr>
          <w:sz w:val="24"/>
          <w:szCs w:val="24"/>
          <w:lang w:val="de-DE"/>
        </w:rPr>
        <w:t xml:space="preserve">HvJ EU 15 </w:t>
      </w:r>
      <w:proofErr w:type="spellStart"/>
      <w:r w:rsidRPr="007A3688">
        <w:rPr>
          <w:sz w:val="24"/>
          <w:szCs w:val="24"/>
          <w:lang w:val="de-DE"/>
        </w:rPr>
        <w:t>juli</w:t>
      </w:r>
      <w:proofErr w:type="spellEnd"/>
      <w:r w:rsidRPr="007A3688">
        <w:rPr>
          <w:sz w:val="24"/>
          <w:szCs w:val="24"/>
          <w:lang w:val="de-DE"/>
        </w:rPr>
        <w:t xml:space="preserve"> 2010, C-271/08, ECLI:EU:C:2010:426 (</w:t>
      </w:r>
      <w:proofErr w:type="spellStart"/>
      <w:r w:rsidRPr="007A3688">
        <w:rPr>
          <w:i/>
          <w:iCs/>
          <w:sz w:val="24"/>
          <w:szCs w:val="24"/>
          <w:lang w:val="de-DE"/>
        </w:rPr>
        <w:t>Commissie</w:t>
      </w:r>
      <w:proofErr w:type="spellEnd"/>
      <w:r w:rsidRPr="007A3688">
        <w:rPr>
          <w:i/>
          <w:iCs/>
          <w:sz w:val="24"/>
          <w:szCs w:val="24"/>
          <w:lang w:val="de-DE"/>
        </w:rPr>
        <w:t>/</w:t>
      </w:r>
      <w:proofErr w:type="spellStart"/>
      <w:r w:rsidRPr="007A3688">
        <w:rPr>
          <w:i/>
          <w:iCs/>
          <w:sz w:val="24"/>
          <w:szCs w:val="24"/>
          <w:lang w:val="de-DE"/>
        </w:rPr>
        <w:t>Duitsland</w:t>
      </w:r>
      <w:proofErr w:type="spellEnd"/>
      <w:r w:rsidRPr="007A3688">
        <w:rPr>
          <w:sz w:val="24"/>
          <w:szCs w:val="24"/>
          <w:lang w:val="de-DE"/>
        </w:rPr>
        <w:t>).</w:t>
      </w:r>
    </w:p>
    <w:p w14:paraId="71C6F5D3" w14:textId="77777777" w:rsidR="00662C28" w:rsidRPr="007A3688" w:rsidRDefault="00662C28" w:rsidP="00FD0498">
      <w:pPr>
        <w:pStyle w:val="FootnoteText"/>
        <w:spacing w:line="259" w:lineRule="auto"/>
        <w:jc w:val="both"/>
        <w:rPr>
          <w:sz w:val="24"/>
          <w:szCs w:val="24"/>
          <w:lang w:val="de-DE"/>
        </w:rPr>
      </w:pPr>
    </w:p>
    <w:p w14:paraId="1917528A" w14:textId="6C2585D4" w:rsidR="00662C28" w:rsidRPr="00A872BE" w:rsidRDefault="00662C28" w:rsidP="00FD0498">
      <w:pPr>
        <w:pStyle w:val="FootnoteText"/>
        <w:spacing w:line="259" w:lineRule="auto"/>
        <w:jc w:val="both"/>
        <w:rPr>
          <w:sz w:val="24"/>
          <w:szCs w:val="24"/>
          <w:lang w:val="fr-BE"/>
        </w:rPr>
      </w:pPr>
      <w:r w:rsidRPr="00A872BE">
        <w:rPr>
          <w:sz w:val="24"/>
          <w:szCs w:val="24"/>
          <w:lang w:val="fr-BE"/>
        </w:rPr>
        <w:t xml:space="preserve">HvJ EU 22 </w:t>
      </w:r>
      <w:proofErr w:type="spellStart"/>
      <w:r w:rsidRPr="00A872BE">
        <w:rPr>
          <w:sz w:val="24"/>
          <w:szCs w:val="24"/>
          <w:lang w:val="fr-BE"/>
        </w:rPr>
        <w:t>december</w:t>
      </w:r>
      <w:proofErr w:type="spellEnd"/>
      <w:r w:rsidRPr="00A872BE">
        <w:rPr>
          <w:sz w:val="24"/>
          <w:szCs w:val="24"/>
          <w:lang w:val="fr-BE"/>
        </w:rPr>
        <w:t xml:space="preserve"> 2010, C-279/09, ECLI:EU:C:2010:811 (</w:t>
      </w:r>
      <w:r w:rsidRPr="00A872BE">
        <w:rPr>
          <w:i/>
          <w:iCs/>
          <w:sz w:val="24"/>
          <w:szCs w:val="24"/>
          <w:lang w:val="fr-BE"/>
        </w:rPr>
        <w:t>DEB</w:t>
      </w:r>
      <w:r w:rsidRPr="00A872BE">
        <w:rPr>
          <w:sz w:val="24"/>
          <w:szCs w:val="24"/>
          <w:lang w:val="fr-BE"/>
        </w:rPr>
        <w:t>).</w:t>
      </w:r>
    </w:p>
    <w:p w14:paraId="09501033" w14:textId="77777777" w:rsidR="008917A2" w:rsidRPr="00A872BE" w:rsidRDefault="008917A2" w:rsidP="00FD0498">
      <w:pPr>
        <w:pStyle w:val="FootnoteText"/>
        <w:spacing w:line="259" w:lineRule="auto"/>
        <w:jc w:val="both"/>
        <w:rPr>
          <w:sz w:val="24"/>
          <w:szCs w:val="24"/>
          <w:lang w:val="fr-BE"/>
        </w:rPr>
      </w:pPr>
    </w:p>
    <w:p w14:paraId="541EC9A9" w14:textId="0F1BED2F" w:rsidR="008917A2" w:rsidRPr="00A872BE" w:rsidRDefault="008917A2" w:rsidP="00FD0498">
      <w:pPr>
        <w:pStyle w:val="FootnoteText"/>
        <w:spacing w:line="259" w:lineRule="auto"/>
        <w:jc w:val="both"/>
        <w:rPr>
          <w:sz w:val="24"/>
          <w:szCs w:val="24"/>
          <w:lang w:val="fr-BE"/>
        </w:rPr>
      </w:pPr>
      <w:r w:rsidRPr="00A872BE">
        <w:rPr>
          <w:sz w:val="24"/>
          <w:szCs w:val="24"/>
          <w:lang w:val="fr-BE"/>
        </w:rPr>
        <w:t xml:space="preserve">HvJ EU 13 </w:t>
      </w:r>
      <w:proofErr w:type="spellStart"/>
      <w:r w:rsidRPr="00A872BE">
        <w:rPr>
          <w:sz w:val="24"/>
          <w:szCs w:val="24"/>
          <w:lang w:val="fr-BE"/>
        </w:rPr>
        <w:t>september</w:t>
      </w:r>
      <w:proofErr w:type="spellEnd"/>
      <w:r w:rsidRPr="00A872BE">
        <w:rPr>
          <w:sz w:val="24"/>
          <w:szCs w:val="24"/>
          <w:lang w:val="fr-BE"/>
        </w:rPr>
        <w:t xml:space="preserve"> 2011, C‑447/09, ECLI:EU:C:2011:573 (</w:t>
      </w:r>
      <w:proofErr w:type="spellStart"/>
      <w:r w:rsidRPr="00A872BE">
        <w:rPr>
          <w:i/>
          <w:iCs/>
          <w:sz w:val="24"/>
          <w:szCs w:val="24"/>
          <w:lang w:val="fr-BE"/>
        </w:rPr>
        <w:t>Prigge</w:t>
      </w:r>
      <w:proofErr w:type="spellEnd"/>
      <w:r w:rsidRPr="00A872BE">
        <w:rPr>
          <w:sz w:val="24"/>
          <w:szCs w:val="24"/>
          <w:lang w:val="fr-BE"/>
        </w:rPr>
        <w:t>).</w:t>
      </w:r>
    </w:p>
    <w:p w14:paraId="186FAEB2" w14:textId="77777777" w:rsidR="00355F03" w:rsidRPr="00A872BE" w:rsidRDefault="00355F03" w:rsidP="00FD0498">
      <w:pPr>
        <w:pStyle w:val="FootnoteText"/>
        <w:spacing w:line="259" w:lineRule="auto"/>
        <w:jc w:val="both"/>
        <w:rPr>
          <w:sz w:val="24"/>
          <w:szCs w:val="24"/>
          <w:lang w:val="fr-BE"/>
        </w:rPr>
      </w:pPr>
    </w:p>
    <w:p w14:paraId="494C4C24" w14:textId="35D36CE0" w:rsidR="00355F03" w:rsidRPr="00A872BE" w:rsidRDefault="00355F03" w:rsidP="00FD0498">
      <w:pPr>
        <w:pStyle w:val="FootnoteText"/>
        <w:spacing w:line="259" w:lineRule="auto"/>
        <w:jc w:val="both"/>
        <w:rPr>
          <w:sz w:val="24"/>
          <w:szCs w:val="24"/>
          <w:lang w:val="fr-BE"/>
        </w:rPr>
      </w:pPr>
      <w:r w:rsidRPr="00A872BE">
        <w:rPr>
          <w:sz w:val="24"/>
          <w:szCs w:val="24"/>
          <w:lang w:val="fr-BE"/>
        </w:rPr>
        <w:t xml:space="preserve">HvJ EU 26 </w:t>
      </w:r>
      <w:proofErr w:type="spellStart"/>
      <w:r w:rsidRPr="00A872BE">
        <w:rPr>
          <w:sz w:val="24"/>
          <w:szCs w:val="24"/>
          <w:lang w:val="fr-BE"/>
        </w:rPr>
        <w:t>februari</w:t>
      </w:r>
      <w:proofErr w:type="spellEnd"/>
      <w:r w:rsidRPr="00A872BE">
        <w:rPr>
          <w:sz w:val="24"/>
          <w:szCs w:val="24"/>
          <w:lang w:val="fr-BE"/>
        </w:rPr>
        <w:t xml:space="preserve"> 2013, C‑617/10, ECLI:EU:C:2013:105 (</w:t>
      </w:r>
      <w:proofErr w:type="spellStart"/>
      <w:r w:rsidRPr="00A872BE">
        <w:rPr>
          <w:i/>
          <w:iCs/>
          <w:sz w:val="24"/>
          <w:szCs w:val="24"/>
          <w:lang w:val="fr-BE"/>
        </w:rPr>
        <w:t>Åkerberg</w:t>
      </w:r>
      <w:proofErr w:type="spellEnd"/>
      <w:r w:rsidRPr="00A872BE">
        <w:rPr>
          <w:i/>
          <w:iCs/>
          <w:sz w:val="24"/>
          <w:szCs w:val="24"/>
          <w:lang w:val="fr-BE"/>
        </w:rPr>
        <w:t xml:space="preserve"> </w:t>
      </w:r>
      <w:proofErr w:type="spellStart"/>
      <w:r w:rsidRPr="00A872BE">
        <w:rPr>
          <w:i/>
          <w:iCs/>
          <w:sz w:val="24"/>
          <w:szCs w:val="24"/>
          <w:lang w:val="fr-BE"/>
        </w:rPr>
        <w:t>Fransson</w:t>
      </w:r>
      <w:proofErr w:type="spellEnd"/>
      <w:r w:rsidRPr="00A872BE">
        <w:rPr>
          <w:sz w:val="24"/>
          <w:szCs w:val="24"/>
          <w:lang w:val="fr-BE"/>
        </w:rPr>
        <w:t>).</w:t>
      </w:r>
    </w:p>
    <w:p w14:paraId="6CBE14DB" w14:textId="77777777" w:rsidR="00030EF2" w:rsidRPr="00A872BE" w:rsidRDefault="00030EF2" w:rsidP="00FD0498">
      <w:pPr>
        <w:pStyle w:val="FootnoteText"/>
        <w:spacing w:line="259" w:lineRule="auto"/>
        <w:jc w:val="both"/>
        <w:rPr>
          <w:sz w:val="24"/>
          <w:szCs w:val="24"/>
          <w:lang w:val="fr-BE"/>
        </w:rPr>
      </w:pPr>
    </w:p>
    <w:p w14:paraId="64B3E00F" w14:textId="48E90426" w:rsidR="00030EF2" w:rsidRPr="00A872BE" w:rsidRDefault="00030EF2" w:rsidP="002A0AB2">
      <w:pPr>
        <w:pStyle w:val="FootnoteText"/>
        <w:jc w:val="both"/>
        <w:rPr>
          <w:sz w:val="24"/>
          <w:szCs w:val="24"/>
          <w:lang w:val="fr-BE"/>
        </w:rPr>
      </w:pPr>
      <w:r w:rsidRPr="00A872BE">
        <w:rPr>
          <w:sz w:val="24"/>
          <w:szCs w:val="24"/>
          <w:lang w:val="fr-BE"/>
        </w:rPr>
        <w:t xml:space="preserve">HvJ EU 18 </w:t>
      </w:r>
      <w:proofErr w:type="spellStart"/>
      <w:r w:rsidRPr="00A872BE">
        <w:rPr>
          <w:sz w:val="24"/>
          <w:szCs w:val="24"/>
          <w:lang w:val="fr-BE"/>
        </w:rPr>
        <w:t>juli</w:t>
      </w:r>
      <w:proofErr w:type="spellEnd"/>
      <w:r w:rsidRPr="00A872BE">
        <w:rPr>
          <w:sz w:val="24"/>
          <w:szCs w:val="24"/>
          <w:lang w:val="fr-BE"/>
        </w:rPr>
        <w:t xml:space="preserve"> 2013, C-426/11, ECLI:EU:C:2013:521 (</w:t>
      </w:r>
      <w:proofErr w:type="spellStart"/>
      <w:r w:rsidRPr="00A872BE">
        <w:rPr>
          <w:i/>
          <w:iCs/>
          <w:sz w:val="24"/>
          <w:szCs w:val="24"/>
          <w:lang w:val="fr-BE"/>
        </w:rPr>
        <w:t>Alemo</w:t>
      </w:r>
      <w:proofErr w:type="spellEnd"/>
      <w:r w:rsidRPr="00A872BE">
        <w:rPr>
          <w:i/>
          <w:iCs/>
          <w:sz w:val="24"/>
          <w:szCs w:val="24"/>
          <w:lang w:val="fr-BE"/>
        </w:rPr>
        <w:t>-Herron/</w:t>
      </w:r>
      <w:proofErr w:type="spellStart"/>
      <w:r w:rsidRPr="00A872BE">
        <w:rPr>
          <w:i/>
          <w:iCs/>
          <w:sz w:val="24"/>
          <w:szCs w:val="24"/>
          <w:lang w:val="fr-BE"/>
        </w:rPr>
        <w:t>Parkwood</w:t>
      </w:r>
      <w:proofErr w:type="spellEnd"/>
      <w:r w:rsidRPr="00A872BE">
        <w:rPr>
          <w:sz w:val="24"/>
          <w:szCs w:val="24"/>
          <w:lang w:val="fr-BE"/>
        </w:rPr>
        <w:t>).</w:t>
      </w:r>
    </w:p>
    <w:p w14:paraId="23F54866" w14:textId="77777777" w:rsidR="008917A2" w:rsidRPr="00A872BE" w:rsidRDefault="008917A2" w:rsidP="00FD0498">
      <w:pPr>
        <w:pStyle w:val="FootnoteText"/>
        <w:spacing w:line="259" w:lineRule="auto"/>
        <w:jc w:val="both"/>
        <w:rPr>
          <w:sz w:val="24"/>
          <w:szCs w:val="24"/>
          <w:lang w:val="fr-BE"/>
        </w:rPr>
      </w:pPr>
    </w:p>
    <w:p w14:paraId="275FB0D6" w14:textId="497B947E" w:rsidR="008917A2" w:rsidRPr="007A3688" w:rsidRDefault="008917A2" w:rsidP="00FD0498">
      <w:pPr>
        <w:pStyle w:val="FootnoteText"/>
        <w:spacing w:line="259" w:lineRule="auto"/>
        <w:jc w:val="both"/>
        <w:rPr>
          <w:sz w:val="24"/>
          <w:szCs w:val="24"/>
          <w:lang w:val="de-DE"/>
        </w:rPr>
      </w:pPr>
      <w:r w:rsidRPr="007A3688">
        <w:rPr>
          <w:sz w:val="24"/>
          <w:szCs w:val="24"/>
          <w:lang w:val="de-DE"/>
        </w:rPr>
        <w:t xml:space="preserve">HvJ EU 15 </w:t>
      </w:r>
      <w:proofErr w:type="spellStart"/>
      <w:r w:rsidRPr="007A3688">
        <w:rPr>
          <w:sz w:val="24"/>
          <w:szCs w:val="24"/>
          <w:lang w:val="de-DE"/>
        </w:rPr>
        <w:t>januari</w:t>
      </w:r>
      <w:proofErr w:type="spellEnd"/>
      <w:r w:rsidRPr="007A3688">
        <w:rPr>
          <w:sz w:val="24"/>
          <w:szCs w:val="24"/>
          <w:lang w:val="de-DE"/>
        </w:rPr>
        <w:t xml:space="preserve"> 2014, C-176/12, ECLI:EU:C:2014:2 (</w:t>
      </w:r>
      <w:r w:rsidRPr="007A3688">
        <w:rPr>
          <w:i/>
          <w:iCs/>
          <w:sz w:val="24"/>
          <w:szCs w:val="24"/>
          <w:lang w:val="de-DE"/>
        </w:rPr>
        <w:t>AMS</w:t>
      </w:r>
      <w:r w:rsidRPr="007A3688">
        <w:rPr>
          <w:sz w:val="24"/>
          <w:szCs w:val="24"/>
          <w:lang w:val="de-DE"/>
        </w:rPr>
        <w:t>).</w:t>
      </w:r>
    </w:p>
    <w:p w14:paraId="4AAF118B" w14:textId="77777777" w:rsidR="00030EF2" w:rsidRPr="007A3688" w:rsidRDefault="00030EF2" w:rsidP="00FD0498">
      <w:pPr>
        <w:pStyle w:val="FootnoteText"/>
        <w:spacing w:line="259" w:lineRule="auto"/>
        <w:jc w:val="both"/>
        <w:rPr>
          <w:sz w:val="24"/>
          <w:szCs w:val="24"/>
          <w:lang w:val="de-DE"/>
        </w:rPr>
      </w:pPr>
    </w:p>
    <w:p w14:paraId="0B55DF73" w14:textId="2E50FCB9" w:rsidR="00030EF2" w:rsidRPr="007A3688" w:rsidRDefault="00030EF2" w:rsidP="00FD0498">
      <w:pPr>
        <w:pStyle w:val="FootnoteText"/>
        <w:spacing w:line="259" w:lineRule="auto"/>
        <w:jc w:val="both"/>
        <w:rPr>
          <w:sz w:val="24"/>
          <w:szCs w:val="24"/>
          <w:lang w:val="de-DE"/>
        </w:rPr>
      </w:pPr>
      <w:r w:rsidRPr="007A3688">
        <w:rPr>
          <w:sz w:val="24"/>
          <w:szCs w:val="24"/>
          <w:lang w:val="de-DE"/>
        </w:rPr>
        <w:t xml:space="preserve">HvJ EU 13 </w:t>
      </w:r>
      <w:proofErr w:type="spellStart"/>
      <w:r w:rsidRPr="007A3688">
        <w:rPr>
          <w:sz w:val="24"/>
          <w:szCs w:val="24"/>
          <w:lang w:val="de-DE"/>
        </w:rPr>
        <w:t>februari</w:t>
      </w:r>
      <w:proofErr w:type="spellEnd"/>
      <w:r w:rsidRPr="007A3688">
        <w:rPr>
          <w:sz w:val="24"/>
          <w:szCs w:val="24"/>
          <w:lang w:val="de-DE"/>
        </w:rPr>
        <w:t xml:space="preserve"> 2014, C-367/12, ECLI:EU:C:2014:68 (</w:t>
      </w:r>
      <w:r w:rsidRPr="007A3688">
        <w:rPr>
          <w:i/>
          <w:iCs/>
          <w:sz w:val="24"/>
          <w:szCs w:val="24"/>
          <w:lang w:val="de-DE"/>
        </w:rPr>
        <w:t>Sokoll-Seebacher</w:t>
      </w:r>
      <w:r w:rsidRPr="007A3688">
        <w:rPr>
          <w:sz w:val="24"/>
          <w:szCs w:val="24"/>
          <w:lang w:val="de-DE"/>
        </w:rPr>
        <w:t>).</w:t>
      </w:r>
    </w:p>
    <w:p w14:paraId="6F1D03A7" w14:textId="77777777" w:rsidR="00FC05F4" w:rsidRPr="007A3688" w:rsidRDefault="00FC05F4" w:rsidP="00FD0498">
      <w:pPr>
        <w:pStyle w:val="FootnoteText"/>
        <w:spacing w:line="259" w:lineRule="auto"/>
        <w:jc w:val="both"/>
        <w:rPr>
          <w:sz w:val="24"/>
          <w:szCs w:val="24"/>
          <w:lang w:val="de-DE"/>
        </w:rPr>
      </w:pPr>
    </w:p>
    <w:p w14:paraId="010C4927" w14:textId="1BDD5BE5" w:rsidR="00FC05F4" w:rsidRPr="007A3688" w:rsidRDefault="00FC05F4" w:rsidP="00FD0498">
      <w:pPr>
        <w:pStyle w:val="FootnoteText"/>
        <w:spacing w:line="259" w:lineRule="auto"/>
        <w:jc w:val="both"/>
        <w:rPr>
          <w:sz w:val="24"/>
          <w:szCs w:val="24"/>
          <w:lang w:val="de-DE"/>
        </w:rPr>
      </w:pPr>
      <w:r w:rsidRPr="007A3688">
        <w:rPr>
          <w:sz w:val="24"/>
          <w:szCs w:val="24"/>
          <w:lang w:val="de-DE"/>
        </w:rPr>
        <w:t xml:space="preserve">HvJ EU 8 </w:t>
      </w:r>
      <w:proofErr w:type="spellStart"/>
      <w:r w:rsidRPr="007A3688">
        <w:rPr>
          <w:sz w:val="24"/>
          <w:szCs w:val="24"/>
          <w:lang w:val="de-DE"/>
        </w:rPr>
        <w:t>juli</w:t>
      </w:r>
      <w:proofErr w:type="spellEnd"/>
      <w:r w:rsidRPr="007A3688">
        <w:rPr>
          <w:sz w:val="24"/>
          <w:szCs w:val="24"/>
          <w:lang w:val="de-DE"/>
        </w:rPr>
        <w:t xml:space="preserve"> 2014, C‑83/13, ECLI:EU:C:2014:2053</w:t>
      </w:r>
      <w:r w:rsidR="00B729FB" w:rsidRPr="007A3688">
        <w:rPr>
          <w:sz w:val="24"/>
          <w:szCs w:val="24"/>
          <w:lang w:val="de-DE"/>
        </w:rPr>
        <w:t xml:space="preserve"> </w:t>
      </w:r>
      <w:r w:rsidRPr="007A3688">
        <w:rPr>
          <w:sz w:val="24"/>
          <w:szCs w:val="24"/>
          <w:lang w:val="de-DE"/>
        </w:rPr>
        <w:t>(</w:t>
      </w:r>
      <w:proofErr w:type="spellStart"/>
      <w:r w:rsidRPr="007A3688">
        <w:rPr>
          <w:i/>
          <w:iCs/>
          <w:sz w:val="24"/>
          <w:szCs w:val="24"/>
          <w:lang w:val="de-DE"/>
        </w:rPr>
        <w:t>Fonnship</w:t>
      </w:r>
      <w:proofErr w:type="spellEnd"/>
      <w:r w:rsidRPr="007A3688">
        <w:rPr>
          <w:sz w:val="24"/>
          <w:szCs w:val="24"/>
          <w:lang w:val="de-DE"/>
        </w:rPr>
        <w:t>).</w:t>
      </w:r>
    </w:p>
    <w:p w14:paraId="7A8A1907" w14:textId="77777777" w:rsidR="006C1830" w:rsidRPr="007A3688" w:rsidRDefault="006C1830" w:rsidP="00FD0498">
      <w:pPr>
        <w:pStyle w:val="FootnoteText"/>
        <w:spacing w:line="259" w:lineRule="auto"/>
        <w:jc w:val="both"/>
        <w:rPr>
          <w:sz w:val="24"/>
          <w:szCs w:val="24"/>
          <w:lang w:val="de-DE"/>
        </w:rPr>
      </w:pPr>
    </w:p>
    <w:p w14:paraId="567E531A" w14:textId="2212E429" w:rsidR="006C1830" w:rsidRPr="007A3688" w:rsidRDefault="006C1830" w:rsidP="00FD0498">
      <w:pPr>
        <w:pStyle w:val="FootnoteText"/>
        <w:spacing w:line="259" w:lineRule="auto"/>
        <w:jc w:val="both"/>
        <w:rPr>
          <w:sz w:val="24"/>
          <w:szCs w:val="24"/>
          <w:lang w:val="de-DE"/>
        </w:rPr>
      </w:pPr>
      <w:r w:rsidRPr="007A3688">
        <w:rPr>
          <w:sz w:val="24"/>
          <w:szCs w:val="24"/>
          <w:lang w:val="de-DE"/>
        </w:rPr>
        <w:t xml:space="preserve">HvJ EU 10 </w:t>
      </w:r>
      <w:proofErr w:type="spellStart"/>
      <w:r w:rsidRPr="007A3688">
        <w:rPr>
          <w:sz w:val="24"/>
          <w:szCs w:val="24"/>
          <w:lang w:val="de-DE"/>
        </w:rPr>
        <w:t>juli</w:t>
      </w:r>
      <w:proofErr w:type="spellEnd"/>
      <w:r w:rsidRPr="007A3688">
        <w:rPr>
          <w:sz w:val="24"/>
          <w:szCs w:val="24"/>
          <w:lang w:val="de-DE"/>
        </w:rPr>
        <w:t xml:space="preserve"> 2014, C‑198/13, ECLI:EU:C:2014:2055 (</w:t>
      </w:r>
      <w:r w:rsidRPr="007A3688">
        <w:rPr>
          <w:i/>
          <w:iCs/>
          <w:sz w:val="24"/>
          <w:szCs w:val="24"/>
          <w:lang w:val="de-DE"/>
        </w:rPr>
        <w:t>Hernández</w:t>
      </w:r>
      <w:r w:rsidRPr="007A3688">
        <w:rPr>
          <w:sz w:val="24"/>
          <w:szCs w:val="24"/>
          <w:lang w:val="de-DE"/>
        </w:rPr>
        <w:t>).</w:t>
      </w:r>
    </w:p>
    <w:p w14:paraId="3BAAB110" w14:textId="77777777" w:rsidR="002C597A" w:rsidRPr="007A3688" w:rsidRDefault="002C597A" w:rsidP="00FD0498">
      <w:pPr>
        <w:pStyle w:val="FootnoteText"/>
        <w:spacing w:line="259" w:lineRule="auto"/>
        <w:jc w:val="both"/>
        <w:rPr>
          <w:sz w:val="24"/>
          <w:szCs w:val="24"/>
          <w:lang w:val="de-DE"/>
        </w:rPr>
      </w:pPr>
    </w:p>
    <w:p w14:paraId="1C3ADCB1" w14:textId="2B564B8A" w:rsidR="002C597A" w:rsidRPr="007A3688" w:rsidRDefault="002C597A" w:rsidP="00FD0498">
      <w:pPr>
        <w:pStyle w:val="FootnoteText"/>
        <w:spacing w:line="259" w:lineRule="auto"/>
        <w:jc w:val="both"/>
        <w:rPr>
          <w:sz w:val="24"/>
          <w:szCs w:val="24"/>
          <w:lang w:val="de-DE"/>
        </w:rPr>
      </w:pPr>
      <w:r w:rsidRPr="007A3688">
        <w:rPr>
          <w:sz w:val="24"/>
          <w:szCs w:val="24"/>
          <w:lang w:val="de-DE"/>
        </w:rPr>
        <w:t xml:space="preserve">HvJ EU 18 </w:t>
      </w:r>
      <w:proofErr w:type="spellStart"/>
      <w:r w:rsidRPr="007A3688">
        <w:rPr>
          <w:sz w:val="24"/>
          <w:szCs w:val="24"/>
          <w:lang w:val="de-DE"/>
        </w:rPr>
        <w:t>september</w:t>
      </w:r>
      <w:proofErr w:type="spellEnd"/>
      <w:r w:rsidRPr="007A3688">
        <w:rPr>
          <w:sz w:val="24"/>
          <w:szCs w:val="24"/>
          <w:lang w:val="de-DE"/>
        </w:rPr>
        <w:t xml:space="preserve"> 2014, C-549/13, ECLI:EU:C:2014:2235 (</w:t>
      </w:r>
      <w:r w:rsidRPr="007A3688">
        <w:rPr>
          <w:i/>
          <w:iCs/>
          <w:sz w:val="24"/>
          <w:szCs w:val="24"/>
          <w:lang w:val="de-DE"/>
        </w:rPr>
        <w:t>Bundesdruckerei</w:t>
      </w:r>
      <w:r w:rsidRPr="007A3688">
        <w:rPr>
          <w:sz w:val="24"/>
          <w:szCs w:val="24"/>
          <w:lang w:val="de-DE"/>
        </w:rPr>
        <w:t>).</w:t>
      </w:r>
    </w:p>
    <w:p w14:paraId="4BBA2CDA" w14:textId="77777777" w:rsidR="004F4056" w:rsidRPr="007A3688" w:rsidRDefault="004F4056" w:rsidP="00FD0498">
      <w:pPr>
        <w:pStyle w:val="FootnoteText"/>
        <w:spacing w:line="259" w:lineRule="auto"/>
        <w:jc w:val="both"/>
        <w:rPr>
          <w:sz w:val="24"/>
          <w:szCs w:val="24"/>
          <w:lang w:val="de-DE"/>
        </w:rPr>
      </w:pPr>
    </w:p>
    <w:p w14:paraId="7848C493" w14:textId="688411E5" w:rsidR="004F4056" w:rsidRPr="001D36AC" w:rsidRDefault="004F4056" w:rsidP="00FD0498">
      <w:pPr>
        <w:pStyle w:val="FootnoteText"/>
        <w:spacing w:line="259" w:lineRule="auto"/>
        <w:jc w:val="both"/>
        <w:rPr>
          <w:sz w:val="24"/>
          <w:szCs w:val="24"/>
        </w:rPr>
      </w:pPr>
      <w:r w:rsidRPr="001D36AC">
        <w:rPr>
          <w:sz w:val="24"/>
          <w:szCs w:val="24"/>
        </w:rPr>
        <w:t>HvJ EU 18 december 2014, Advies 2/13, ECLI:EU:C:2014:2454 (</w:t>
      </w:r>
      <w:r w:rsidRPr="001D36AC">
        <w:rPr>
          <w:i/>
          <w:iCs/>
          <w:sz w:val="24"/>
          <w:szCs w:val="24"/>
        </w:rPr>
        <w:t>Toetreding</w:t>
      </w:r>
      <w:r w:rsidR="009E3407" w:rsidRPr="001D36AC">
        <w:rPr>
          <w:i/>
          <w:iCs/>
          <w:sz w:val="24"/>
          <w:szCs w:val="24"/>
        </w:rPr>
        <w:t xml:space="preserve"> van de</w:t>
      </w:r>
      <w:r w:rsidRPr="001D36AC">
        <w:rPr>
          <w:i/>
          <w:iCs/>
          <w:sz w:val="24"/>
          <w:szCs w:val="24"/>
        </w:rPr>
        <w:t xml:space="preserve"> EU tot </w:t>
      </w:r>
      <w:r w:rsidR="009E3407" w:rsidRPr="001D36AC">
        <w:rPr>
          <w:i/>
          <w:iCs/>
          <w:sz w:val="24"/>
          <w:szCs w:val="24"/>
        </w:rPr>
        <w:t xml:space="preserve">het </w:t>
      </w:r>
      <w:r w:rsidRPr="001D36AC">
        <w:rPr>
          <w:i/>
          <w:iCs/>
          <w:sz w:val="24"/>
          <w:szCs w:val="24"/>
        </w:rPr>
        <w:t>EVRM</w:t>
      </w:r>
      <w:r w:rsidRPr="001D36AC">
        <w:rPr>
          <w:sz w:val="24"/>
          <w:szCs w:val="24"/>
        </w:rPr>
        <w:t>).</w:t>
      </w:r>
    </w:p>
    <w:p w14:paraId="37493BD6" w14:textId="77777777" w:rsidR="002C597A" w:rsidRPr="001D36AC" w:rsidRDefault="002C597A" w:rsidP="00FD0498">
      <w:pPr>
        <w:pStyle w:val="FootnoteText"/>
        <w:spacing w:line="259" w:lineRule="auto"/>
        <w:jc w:val="both"/>
        <w:rPr>
          <w:sz w:val="24"/>
          <w:szCs w:val="24"/>
        </w:rPr>
      </w:pPr>
    </w:p>
    <w:p w14:paraId="4662E80D" w14:textId="77777777" w:rsidR="002C597A" w:rsidRPr="00A872BE" w:rsidRDefault="002C597A" w:rsidP="00FD0498">
      <w:pPr>
        <w:pStyle w:val="FootnoteText"/>
        <w:spacing w:line="259" w:lineRule="auto"/>
        <w:jc w:val="both"/>
        <w:rPr>
          <w:sz w:val="24"/>
          <w:szCs w:val="24"/>
          <w:lang w:val="es-ES"/>
        </w:rPr>
      </w:pPr>
      <w:r w:rsidRPr="00A872BE">
        <w:rPr>
          <w:sz w:val="24"/>
          <w:szCs w:val="24"/>
          <w:lang w:val="es-ES"/>
        </w:rPr>
        <w:t xml:space="preserve">HvJ EU 15 </w:t>
      </w:r>
      <w:proofErr w:type="spellStart"/>
      <w:r w:rsidRPr="00A872BE">
        <w:rPr>
          <w:sz w:val="24"/>
          <w:szCs w:val="24"/>
          <w:lang w:val="es-ES"/>
        </w:rPr>
        <w:t>februari</w:t>
      </w:r>
      <w:proofErr w:type="spellEnd"/>
      <w:r w:rsidRPr="00A872BE">
        <w:rPr>
          <w:sz w:val="24"/>
          <w:szCs w:val="24"/>
          <w:lang w:val="es-ES"/>
        </w:rPr>
        <w:t xml:space="preserve"> 2015, C-396/13, ECLI:EU:C:2015:86 (</w:t>
      </w:r>
      <w:r w:rsidRPr="00A872BE">
        <w:rPr>
          <w:i/>
          <w:iCs/>
          <w:sz w:val="24"/>
          <w:szCs w:val="24"/>
          <w:lang w:val="es-ES"/>
        </w:rPr>
        <w:t>ESA</w:t>
      </w:r>
      <w:r w:rsidRPr="00A872BE">
        <w:rPr>
          <w:sz w:val="24"/>
          <w:szCs w:val="24"/>
          <w:lang w:val="es-ES"/>
        </w:rPr>
        <w:t>).</w:t>
      </w:r>
    </w:p>
    <w:p w14:paraId="6B1FE0C6" w14:textId="77777777" w:rsidR="002C597A" w:rsidRPr="00A872BE" w:rsidRDefault="002C597A" w:rsidP="00FD0498">
      <w:pPr>
        <w:pStyle w:val="FootnoteText"/>
        <w:spacing w:line="259" w:lineRule="auto"/>
        <w:jc w:val="both"/>
        <w:rPr>
          <w:sz w:val="24"/>
          <w:szCs w:val="24"/>
          <w:lang w:val="es-ES"/>
        </w:rPr>
      </w:pPr>
    </w:p>
    <w:p w14:paraId="2017BDD3" w14:textId="542A0573" w:rsidR="002C597A" w:rsidRPr="00A872BE" w:rsidRDefault="002C597A" w:rsidP="00FD0498">
      <w:pPr>
        <w:pStyle w:val="FootnoteText"/>
        <w:spacing w:line="259" w:lineRule="auto"/>
        <w:jc w:val="both"/>
        <w:rPr>
          <w:sz w:val="24"/>
          <w:szCs w:val="24"/>
          <w:lang w:val="es-ES"/>
        </w:rPr>
      </w:pPr>
      <w:r w:rsidRPr="00A872BE">
        <w:rPr>
          <w:sz w:val="24"/>
          <w:szCs w:val="24"/>
          <w:lang w:val="es-ES"/>
        </w:rPr>
        <w:t xml:space="preserve">HvJ EU 17 </w:t>
      </w:r>
      <w:proofErr w:type="spellStart"/>
      <w:r w:rsidRPr="00A872BE">
        <w:rPr>
          <w:sz w:val="24"/>
          <w:szCs w:val="24"/>
          <w:lang w:val="es-ES"/>
        </w:rPr>
        <w:t>november</w:t>
      </w:r>
      <w:proofErr w:type="spellEnd"/>
      <w:r w:rsidRPr="00A872BE">
        <w:rPr>
          <w:sz w:val="24"/>
          <w:szCs w:val="24"/>
          <w:lang w:val="es-ES"/>
        </w:rPr>
        <w:t xml:space="preserve"> 2015, C-115/14, ECLI:EU:C:2015:760 (</w:t>
      </w:r>
      <w:proofErr w:type="spellStart"/>
      <w:r w:rsidRPr="00A872BE">
        <w:rPr>
          <w:i/>
          <w:iCs/>
          <w:sz w:val="24"/>
          <w:szCs w:val="24"/>
          <w:lang w:val="es-ES"/>
        </w:rPr>
        <w:t>RegioPost</w:t>
      </w:r>
      <w:proofErr w:type="spellEnd"/>
      <w:r w:rsidRPr="00A872BE">
        <w:rPr>
          <w:sz w:val="24"/>
          <w:szCs w:val="24"/>
          <w:lang w:val="es-ES"/>
        </w:rPr>
        <w:t>).</w:t>
      </w:r>
    </w:p>
    <w:p w14:paraId="2EB63196" w14:textId="77777777" w:rsidR="00030EF2" w:rsidRPr="00A872BE" w:rsidRDefault="00030EF2" w:rsidP="00FD0498">
      <w:pPr>
        <w:pStyle w:val="FootnoteText"/>
        <w:spacing w:line="259" w:lineRule="auto"/>
        <w:jc w:val="both"/>
        <w:rPr>
          <w:sz w:val="24"/>
          <w:szCs w:val="24"/>
          <w:lang w:val="es-ES"/>
        </w:rPr>
      </w:pPr>
    </w:p>
    <w:p w14:paraId="48DD2C48" w14:textId="73FC13A7" w:rsidR="00030EF2" w:rsidRPr="00A872BE" w:rsidRDefault="00030EF2" w:rsidP="00FD0498">
      <w:pPr>
        <w:pStyle w:val="FootnoteText"/>
        <w:spacing w:line="259" w:lineRule="auto"/>
        <w:jc w:val="both"/>
        <w:rPr>
          <w:sz w:val="24"/>
          <w:szCs w:val="24"/>
          <w:lang w:val="es-ES"/>
        </w:rPr>
      </w:pPr>
      <w:r w:rsidRPr="00A872BE">
        <w:rPr>
          <w:sz w:val="24"/>
          <w:szCs w:val="24"/>
          <w:lang w:val="es-ES"/>
        </w:rPr>
        <w:t xml:space="preserve">HvJ EU 21 </w:t>
      </w:r>
      <w:proofErr w:type="spellStart"/>
      <w:r w:rsidRPr="00A872BE">
        <w:rPr>
          <w:sz w:val="24"/>
          <w:szCs w:val="24"/>
          <w:lang w:val="es-ES"/>
        </w:rPr>
        <w:t>december</w:t>
      </w:r>
      <w:proofErr w:type="spellEnd"/>
      <w:r w:rsidRPr="00A872BE">
        <w:rPr>
          <w:sz w:val="24"/>
          <w:szCs w:val="24"/>
          <w:lang w:val="es-ES"/>
        </w:rPr>
        <w:t xml:space="preserve"> 2016, C-201/15, ECLI:EU:C:2016:972 (</w:t>
      </w:r>
      <w:r w:rsidRPr="00A872BE">
        <w:rPr>
          <w:i/>
          <w:iCs/>
          <w:sz w:val="24"/>
          <w:szCs w:val="24"/>
          <w:lang w:val="es-ES"/>
        </w:rPr>
        <w:t>AGET Iraklis</w:t>
      </w:r>
      <w:r w:rsidRPr="00A872BE">
        <w:rPr>
          <w:sz w:val="24"/>
          <w:szCs w:val="24"/>
          <w:lang w:val="es-ES"/>
        </w:rPr>
        <w:t>).</w:t>
      </w:r>
    </w:p>
    <w:p w14:paraId="16680A72" w14:textId="77777777" w:rsidR="002C597A" w:rsidRPr="00A872BE" w:rsidRDefault="002C597A" w:rsidP="00FD0498">
      <w:pPr>
        <w:pStyle w:val="FootnoteText"/>
        <w:spacing w:line="259" w:lineRule="auto"/>
        <w:jc w:val="both"/>
        <w:rPr>
          <w:sz w:val="24"/>
          <w:szCs w:val="24"/>
          <w:lang w:val="es-ES"/>
        </w:rPr>
      </w:pPr>
    </w:p>
    <w:p w14:paraId="3C722DA2" w14:textId="6684EB26" w:rsidR="002C597A" w:rsidRPr="00A872BE" w:rsidRDefault="002C597A" w:rsidP="00FD0498">
      <w:pPr>
        <w:pStyle w:val="FootnoteText"/>
        <w:spacing w:line="259" w:lineRule="auto"/>
        <w:jc w:val="both"/>
        <w:rPr>
          <w:sz w:val="24"/>
          <w:szCs w:val="24"/>
          <w:lang w:val="es-ES"/>
        </w:rPr>
      </w:pPr>
      <w:r w:rsidRPr="00A872BE">
        <w:rPr>
          <w:sz w:val="24"/>
          <w:szCs w:val="24"/>
          <w:lang w:val="es-ES"/>
        </w:rPr>
        <w:t xml:space="preserve">HvJ 14 </w:t>
      </w:r>
      <w:proofErr w:type="spellStart"/>
      <w:r w:rsidRPr="00A872BE">
        <w:rPr>
          <w:sz w:val="24"/>
          <w:szCs w:val="24"/>
          <w:lang w:val="es-ES"/>
        </w:rPr>
        <w:t>maart</w:t>
      </w:r>
      <w:proofErr w:type="spellEnd"/>
      <w:r w:rsidRPr="00A872BE">
        <w:rPr>
          <w:sz w:val="24"/>
          <w:szCs w:val="24"/>
          <w:lang w:val="es-ES"/>
        </w:rPr>
        <w:t xml:space="preserve"> 2017, C-157/15, ECLI:EU:C:2017:203 (</w:t>
      </w:r>
      <w:proofErr w:type="spellStart"/>
      <w:r w:rsidRPr="00A872BE">
        <w:rPr>
          <w:i/>
          <w:iCs/>
          <w:sz w:val="24"/>
          <w:szCs w:val="24"/>
          <w:lang w:val="es-ES"/>
        </w:rPr>
        <w:t>Achbita</w:t>
      </w:r>
      <w:proofErr w:type="spellEnd"/>
      <w:r w:rsidRPr="00A872BE">
        <w:rPr>
          <w:sz w:val="24"/>
          <w:szCs w:val="24"/>
          <w:lang w:val="es-ES"/>
        </w:rPr>
        <w:t>).</w:t>
      </w:r>
    </w:p>
    <w:p w14:paraId="14549690" w14:textId="77777777" w:rsidR="002C597A" w:rsidRPr="00A872BE" w:rsidRDefault="002C597A" w:rsidP="00FD0498">
      <w:pPr>
        <w:pStyle w:val="FootnoteText"/>
        <w:spacing w:line="259" w:lineRule="auto"/>
        <w:jc w:val="both"/>
        <w:rPr>
          <w:sz w:val="24"/>
          <w:szCs w:val="24"/>
          <w:lang w:val="es-ES"/>
        </w:rPr>
      </w:pPr>
    </w:p>
    <w:p w14:paraId="60A6E42C" w14:textId="146224D3" w:rsidR="002C597A" w:rsidRPr="007A3688" w:rsidRDefault="002C597A" w:rsidP="00FD0498">
      <w:pPr>
        <w:pStyle w:val="FootnoteText"/>
        <w:spacing w:line="259" w:lineRule="auto"/>
        <w:jc w:val="both"/>
        <w:rPr>
          <w:sz w:val="24"/>
          <w:szCs w:val="24"/>
          <w:lang w:val="de-DE"/>
        </w:rPr>
      </w:pPr>
      <w:r w:rsidRPr="007A3688">
        <w:rPr>
          <w:sz w:val="24"/>
          <w:szCs w:val="24"/>
          <w:lang w:val="de-DE"/>
        </w:rPr>
        <w:t xml:space="preserve">HvJ EU 27 </w:t>
      </w:r>
      <w:proofErr w:type="spellStart"/>
      <w:r w:rsidRPr="007A3688">
        <w:rPr>
          <w:sz w:val="24"/>
          <w:szCs w:val="24"/>
          <w:lang w:val="de-DE"/>
        </w:rPr>
        <w:t>april</w:t>
      </w:r>
      <w:proofErr w:type="spellEnd"/>
      <w:r w:rsidRPr="007A3688">
        <w:rPr>
          <w:sz w:val="24"/>
          <w:szCs w:val="24"/>
          <w:lang w:val="de-DE"/>
        </w:rPr>
        <w:t xml:space="preserve"> 2017, C-680/15, ECLI:EU:C:2017:317 (</w:t>
      </w:r>
      <w:r w:rsidRPr="007A3688">
        <w:rPr>
          <w:i/>
          <w:iCs/>
          <w:sz w:val="24"/>
          <w:szCs w:val="24"/>
          <w:lang w:val="de-DE"/>
        </w:rPr>
        <w:t>Asklepios</w:t>
      </w:r>
      <w:r w:rsidRPr="007A3688">
        <w:rPr>
          <w:sz w:val="24"/>
          <w:szCs w:val="24"/>
          <w:lang w:val="de-DE"/>
        </w:rPr>
        <w:t>).</w:t>
      </w:r>
    </w:p>
    <w:p w14:paraId="5A5F72EE" w14:textId="77777777" w:rsidR="00030EF2" w:rsidRPr="007A3688" w:rsidRDefault="00030EF2" w:rsidP="00FD0498">
      <w:pPr>
        <w:pStyle w:val="FootnoteText"/>
        <w:spacing w:line="259" w:lineRule="auto"/>
        <w:jc w:val="both"/>
        <w:rPr>
          <w:sz w:val="24"/>
          <w:szCs w:val="24"/>
          <w:lang w:val="de-DE"/>
        </w:rPr>
      </w:pPr>
    </w:p>
    <w:p w14:paraId="2AFD3F8A" w14:textId="43F557C1" w:rsidR="00030EF2" w:rsidRPr="007A3688" w:rsidRDefault="00030EF2" w:rsidP="00FD0498">
      <w:pPr>
        <w:pStyle w:val="FootnoteText"/>
        <w:spacing w:line="259" w:lineRule="auto"/>
        <w:jc w:val="both"/>
        <w:rPr>
          <w:sz w:val="24"/>
          <w:szCs w:val="24"/>
          <w:lang w:val="de-DE"/>
        </w:rPr>
      </w:pPr>
      <w:r w:rsidRPr="007A3688">
        <w:rPr>
          <w:sz w:val="24"/>
          <w:szCs w:val="24"/>
          <w:lang w:val="de-DE"/>
        </w:rPr>
        <w:t xml:space="preserve">HvJ EU 17 </w:t>
      </w:r>
      <w:proofErr w:type="spellStart"/>
      <w:r w:rsidRPr="007A3688">
        <w:rPr>
          <w:sz w:val="24"/>
          <w:szCs w:val="24"/>
          <w:lang w:val="de-DE"/>
        </w:rPr>
        <w:t>april</w:t>
      </w:r>
      <w:proofErr w:type="spellEnd"/>
      <w:r w:rsidRPr="007A3688">
        <w:rPr>
          <w:sz w:val="24"/>
          <w:szCs w:val="24"/>
          <w:lang w:val="de-DE"/>
        </w:rPr>
        <w:t xml:space="preserve"> 2018, C-414/16, ECLI:EU:C:2018:257 (</w:t>
      </w:r>
      <w:r w:rsidRPr="007A3688">
        <w:rPr>
          <w:i/>
          <w:iCs/>
          <w:sz w:val="24"/>
          <w:szCs w:val="24"/>
          <w:lang w:val="de-DE"/>
        </w:rPr>
        <w:t>Egenberger</w:t>
      </w:r>
      <w:r w:rsidRPr="007A3688">
        <w:rPr>
          <w:sz w:val="24"/>
          <w:szCs w:val="24"/>
          <w:lang w:val="de-DE"/>
        </w:rPr>
        <w:t>).</w:t>
      </w:r>
    </w:p>
    <w:p w14:paraId="5112E198" w14:textId="77777777" w:rsidR="008917A2" w:rsidRPr="007A3688" w:rsidRDefault="008917A2" w:rsidP="00FD0498">
      <w:pPr>
        <w:pStyle w:val="FootnoteText"/>
        <w:spacing w:line="259" w:lineRule="auto"/>
        <w:jc w:val="both"/>
        <w:rPr>
          <w:sz w:val="24"/>
          <w:szCs w:val="24"/>
          <w:lang w:val="de-DE"/>
        </w:rPr>
      </w:pPr>
    </w:p>
    <w:p w14:paraId="3820F3C2" w14:textId="051E3100" w:rsidR="008917A2" w:rsidRPr="007A3688" w:rsidRDefault="008917A2" w:rsidP="00FD0498">
      <w:pPr>
        <w:pStyle w:val="FootnoteText"/>
        <w:spacing w:line="259" w:lineRule="auto"/>
        <w:jc w:val="both"/>
        <w:rPr>
          <w:sz w:val="24"/>
          <w:szCs w:val="24"/>
          <w:lang w:val="de-DE"/>
        </w:rPr>
      </w:pPr>
      <w:r w:rsidRPr="007A3688">
        <w:rPr>
          <w:sz w:val="24"/>
          <w:szCs w:val="24"/>
          <w:lang w:val="de-DE"/>
        </w:rPr>
        <w:t xml:space="preserve">HvJ EU 19 </w:t>
      </w:r>
      <w:proofErr w:type="spellStart"/>
      <w:r w:rsidRPr="007A3688">
        <w:rPr>
          <w:sz w:val="24"/>
          <w:szCs w:val="24"/>
          <w:lang w:val="de-DE"/>
        </w:rPr>
        <w:t>september</w:t>
      </w:r>
      <w:proofErr w:type="spellEnd"/>
      <w:r w:rsidRPr="007A3688">
        <w:rPr>
          <w:sz w:val="24"/>
          <w:szCs w:val="24"/>
          <w:lang w:val="de-DE"/>
        </w:rPr>
        <w:t xml:space="preserve"> 2018, C-312/17, ECLI:EU:C:2018:734 (</w:t>
      </w:r>
      <w:r w:rsidRPr="007A3688">
        <w:rPr>
          <w:i/>
          <w:iCs/>
          <w:sz w:val="24"/>
          <w:szCs w:val="24"/>
          <w:lang w:val="de-DE"/>
        </w:rPr>
        <w:t>Bedi/</w:t>
      </w:r>
      <w:proofErr w:type="spellStart"/>
      <w:r w:rsidRPr="007A3688">
        <w:rPr>
          <w:i/>
          <w:iCs/>
          <w:sz w:val="24"/>
          <w:szCs w:val="24"/>
          <w:lang w:val="de-DE"/>
        </w:rPr>
        <w:t>Duitsland</w:t>
      </w:r>
      <w:proofErr w:type="spellEnd"/>
      <w:r w:rsidRPr="007A3688">
        <w:rPr>
          <w:sz w:val="24"/>
          <w:szCs w:val="24"/>
          <w:lang w:val="de-DE"/>
        </w:rPr>
        <w:t>).</w:t>
      </w:r>
    </w:p>
    <w:p w14:paraId="0633F62B" w14:textId="77777777" w:rsidR="00030EF2" w:rsidRPr="007A3688" w:rsidRDefault="00030EF2" w:rsidP="00FD0498">
      <w:pPr>
        <w:pStyle w:val="FootnoteText"/>
        <w:spacing w:line="259" w:lineRule="auto"/>
        <w:jc w:val="both"/>
        <w:rPr>
          <w:sz w:val="24"/>
          <w:szCs w:val="24"/>
          <w:lang w:val="de-DE"/>
        </w:rPr>
      </w:pPr>
    </w:p>
    <w:p w14:paraId="0D32502A" w14:textId="288AF4B1" w:rsidR="00030EF2" w:rsidRPr="007A3688" w:rsidRDefault="00030EF2" w:rsidP="00FD0498">
      <w:pPr>
        <w:pStyle w:val="FootnoteText"/>
        <w:spacing w:line="259" w:lineRule="auto"/>
        <w:jc w:val="both"/>
        <w:rPr>
          <w:sz w:val="24"/>
          <w:szCs w:val="24"/>
          <w:lang w:val="de-DE"/>
        </w:rPr>
      </w:pPr>
      <w:r w:rsidRPr="007A3688">
        <w:rPr>
          <w:sz w:val="24"/>
          <w:szCs w:val="24"/>
          <w:lang w:val="de-DE"/>
        </w:rPr>
        <w:t xml:space="preserve">HvJ EU 6 </w:t>
      </w:r>
      <w:proofErr w:type="spellStart"/>
      <w:r w:rsidRPr="007A3688">
        <w:rPr>
          <w:sz w:val="24"/>
          <w:szCs w:val="24"/>
          <w:lang w:val="de-DE"/>
        </w:rPr>
        <w:t>november</w:t>
      </w:r>
      <w:proofErr w:type="spellEnd"/>
      <w:r w:rsidRPr="007A3688">
        <w:rPr>
          <w:sz w:val="24"/>
          <w:szCs w:val="24"/>
          <w:lang w:val="de-DE"/>
        </w:rPr>
        <w:t xml:space="preserve"> 2018, C-569/16 en C-570/16, ECLI:EU:C:2018:871 (</w:t>
      </w:r>
      <w:r w:rsidRPr="007A3688">
        <w:rPr>
          <w:i/>
          <w:iCs/>
          <w:sz w:val="24"/>
          <w:szCs w:val="24"/>
          <w:lang w:val="de-DE"/>
        </w:rPr>
        <w:t>Bauer</w:t>
      </w:r>
      <w:r w:rsidRPr="007A3688">
        <w:rPr>
          <w:sz w:val="24"/>
          <w:szCs w:val="24"/>
          <w:lang w:val="de-DE"/>
        </w:rPr>
        <w:t xml:space="preserve"> </w:t>
      </w:r>
      <w:r w:rsidRPr="007A3688">
        <w:rPr>
          <w:i/>
          <w:iCs/>
          <w:sz w:val="24"/>
          <w:szCs w:val="24"/>
          <w:lang w:val="de-DE"/>
        </w:rPr>
        <w:t>en</w:t>
      </w:r>
      <w:r w:rsidRPr="007A3688">
        <w:rPr>
          <w:sz w:val="24"/>
          <w:szCs w:val="24"/>
          <w:lang w:val="de-DE"/>
        </w:rPr>
        <w:t xml:space="preserve"> </w:t>
      </w:r>
      <w:proofErr w:type="spellStart"/>
      <w:r w:rsidRPr="007A3688">
        <w:rPr>
          <w:i/>
          <w:iCs/>
          <w:sz w:val="24"/>
          <w:szCs w:val="24"/>
          <w:lang w:val="de-DE"/>
        </w:rPr>
        <w:t>Willmeroth</w:t>
      </w:r>
      <w:proofErr w:type="spellEnd"/>
      <w:r w:rsidRPr="007A3688">
        <w:rPr>
          <w:sz w:val="24"/>
          <w:szCs w:val="24"/>
          <w:lang w:val="de-DE"/>
        </w:rPr>
        <w:t>).</w:t>
      </w:r>
    </w:p>
    <w:p w14:paraId="1093ABA7" w14:textId="77777777" w:rsidR="00030EF2" w:rsidRPr="007A3688" w:rsidRDefault="00030EF2" w:rsidP="00FD0498">
      <w:pPr>
        <w:pStyle w:val="FootnoteText"/>
        <w:spacing w:line="259" w:lineRule="auto"/>
        <w:jc w:val="both"/>
        <w:rPr>
          <w:sz w:val="24"/>
          <w:szCs w:val="24"/>
          <w:lang w:val="de-DE"/>
        </w:rPr>
      </w:pPr>
    </w:p>
    <w:p w14:paraId="2095F3B9" w14:textId="75D9EA10" w:rsidR="00030EF2" w:rsidRPr="00A872BE" w:rsidRDefault="00030EF2" w:rsidP="00FD0498">
      <w:pPr>
        <w:pStyle w:val="FootnoteText"/>
        <w:spacing w:line="259" w:lineRule="auto"/>
        <w:jc w:val="both"/>
        <w:rPr>
          <w:sz w:val="24"/>
          <w:szCs w:val="24"/>
          <w:lang w:val="de-DE"/>
        </w:rPr>
      </w:pPr>
      <w:r w:rsidRPr="00A872BE">
        <w:rPr>
          <w:sz w:val="24"/>
          <w:szCs w:val="24"/>
          <w:lang w:val="de-DE"/>
        </w:rPr>
        <w:t xml:space="preserve">HvJ EU 6 </w:t>
      </w:r>
      <w:proofErr w:type="spellStart"/>
      <w:r w:rsidRPr="00A872BE">
        <w:rPr>
          <w:sz w:val="24"/>
          <w:szCs w:val="24"/>
          <w:lang w:val="de-DE"/>
        </w:rPr>
        <w:t>november</w:t>
      </w:r>
      <w:proofErr w:type="spellEnd"/>
      <w:r w:rsidRPr="00A872BE">
        <w:rPr>
          <w:sz w:val="24"/>
          <w:szCs w:val="24"/>
          <w:lang w:val="de-DE"/>
        </w:rPr>
        <w:t xml:space="preserve"> 2018, C-684/16, ECLI:EU:C:2018:874 (</w:t>
      </w:r>
      <w:r w:rsidRPr="00A872BE">
        <w:rPr>
          <w:i/>
          <w:iCs/>
          <w:sz w:val="24"/>
          <w:szCs w:val="24"/>
          <w:lang w:val="de-DE"/>
        </w:rPr>
        <w:t>Max-Planck/Shimizu</w:t>
      </w:r>
      <w:r w:rsidRPr="00A872BE">
        <w:rPr>
          <w:sz w:val="24"/>
          <w:szCs w:val="24"/>
          <w:lang w:val="de-DE"/>
        </w:rPr>
        <w:t>).</w:t>
      </w:r>
    </w:p>
    <w:p w14:paraId="16080DF6" w14:textId="77777777" w:rsidR="00030EF2" w:rsidRPr="00A872BE" w:rsidRDefault="00030EF2" w:rsidP="00FD0498">
      <w:pPr>
        <w:pStyle w:val="FootnoteText"/>
        <w:spacing w:line="259" w:lineRule="auto"/>
        <w:jc w:val="both"/>
        <w:rPr>
          <w:sz w:val="24"/>
          <w:szCs w:val="24"/>
          <w:lang w:val="de-DE"/>
        </w:rPr>
      </w:pPr>
    </w:p>
    <w:p w14:paraId="47FB3AD5" w14:textId="36346F57" w:rsidR="00030EF2" w:rsidRPr="00A872BE" w:rsidRDefault="00030EF2" w:rsidP="00FD0498">
      <w:pPr>
        <w:pStyle w:val="FootnoteText"/>
        <w:spacing w:line="259" w:lineRule="auto"/>
        <w:jc w:val="both"/>
        <w:rPr>
          <w:sz w:val="24"/>
          <w:szCs w:val="24"/>
          <w:lang w:val="de-DE"/>
        </w:rPr>
      </w:pPr>
      <w:r w:rsidRPr="00A872BE">
        <w:rPr>
          <w:sz w:val="24"/>
          <w:szCs w:val="24"/>
          <w:lang w:val="de-DE"/>
        </w:rPr>
        <w:t xml:space="preserve">HvJ 22 </w:t>
      </w:r>
      <w:proofErr w:type="spellStart"/>
      <w:r w:rsidRPr="00A872BE">
        <w:rPr>
          <w:sz w:val="24"/>
          <w:szCs w:val="24"/>
          <w:lang w:val="de-DE"/>
        </w:rPr>
        <w:t>januari</w:t>
      </w:r>
      <w:proofErr w:type="spellEnd"/>
      <w:r w:rsidRPr="00A872BE">
        <w:rPr>
          <w:sz w:val="24"/>
          <w:szCs w:val="24"/>
          <w:lang w:val="de-DE"/>
        </w:rPr>
        <w:t xml:space="preserve"> 2019, C-193/17, ECLI:EU:C:2019:43 (</w:t>
      </w:r>
      <w:proofErr w:type="spellStart"/>
      <w:r w:rsidRPr="00A872BE">
        <w:rPr>
          <w:i/>
          <w:iCs/>
          <w:sz w:val="24"/>
          <w:szCs w:val="24"/>
          <w:lang w:val="de-DE"/>
        </w:rPr>
        <w:t>Cresco</w:t>
      </w:r>
      <w:proofErr w:type="spellEnd"/>
      <w:r w:rsidRPr="00A872BE">
        <w:rPr>
          <w:i/>
          <w:iCs/>
          <w:sz w:val="24"/>
          <w:szCs w:val="24"/>
          <w:lang w:val="de-DE"/>
        </w:rPr>
        <w:t xml:space="preserve"> Investigation</w:t>
      </w:r>
      <w:r w:rsidRPr="00A872BE">
        <w:rPr>
          <w:sz w:val="24"/>
          <w:szCs w:val="24"/>
          <w:lang w:val="de-DE"/>
        </w:rPr>
        <w:t>).</w:t>
      </w:r>
    </w:p>
    <w:p w14:paraId="121FB013" w14:textId="77777777" w:rsidR="002835DE" w:rsidRPr="00A872BE" w:rsidRDefault="002835DE" w:rsidP="00FD0498">
      <w:pPr>
        <w:pStyle w:val="FootnoteText"/>
        <w:spacing w:line="259" w:lineRule="auto"/>
        <w:jc w:val="both"/>
        <w:rPr>
          <w:sz w:val="24"/>
          <w:szCs w:val="24"/>
          <w:lang w:val="de-DE"/>
        </w:rPr>
      </w:pPr>
    </w:p>
    <w:p w14:paraId="2DCAAD61" w14:textId="033F9E75" w:rsidR="002835DE" w:rsidRPr="00A872BE" w:rsidRDefault="002835DE" w:rsidP="00FD0498">
      <w:pPr>
        <w:pStyle w:val="FootnoteText"/>
        <w:spacing w:line="259" w:lineRule="auto"/>
        <w:jc w:val="both"/>
        <w:rPr>
          <w:sz w:val="24"/>
          <w:szCs w:val="24"/>
          <w:lang w:val="de-DE"/>
        </w:rPr>
      </w:pPr>
      <w:r w:rsidRPr="00A872BE">
        <w:rPr>
          <w:sz w:val="24"/>
          <w:szCs w:val="24"/>
          <w:lang w:val="de-DE"/>
        </w:rPr>
        <w:t xml:space="preserve">HvJ EU 19 </w:t>
      </w:r>
      <w:proofErr w:type="spellStart"/>
      <w:r w:rsidRPr="00A872BE">
        <w:rPr>
          <w:sz w:val="24"/>
          <w:szCs w:val="24"/>
          <w:lang w:val="de-DE"/>
        </w:rPr>
        <w:t>november</w:t>
      </w:r>
      <w:proofErr w:type="spellEnd"/>
      <w:r w:rsidRPr="00A872BE">
        <w:rPr>
          <w:sz w:val="24"/>
          <w:szCs w:val="24"/>
          <w:lang w:val="de-DE"/>
        </w:rPr>
        <w:t xml:space="preserve"> 2019, C-609/17 en C-610/17, ECLI:EU:C:2019:981 (</w:t>
      </w:r>
      <w:r w:rsidRPr="00A872BE">
        <w:rPr>
          <w:i/>
          <w:iCs/>
          <w:sz w:val="24"/>
          <w:szCs w:val="24"/>
          <w:lang w:val="de-DE"/>
        </w:rPr>
        <w:t>TSN en AKT</w:t>
      </w:r>
      <w:r w:rsidRPr="00A872BE">
        <w:rPr>
          <w:sz w:val="24"/>
          <w:szCs w:val="24"/>
          <w:lang w:val="de-DE"/>
        </w:rPr>
        <w:t>).</w:t>
      </w:r>
    </w:p>
    <w:p w14:paraId="1A6949BA" w14:textId="77777777" w:rsidR="0015188E" w:rsidRPr="00A872BE" w:rsidRDefault="0015188E" w:rsidP="00FD0498">
      <w:pPr>
        <w:pStyle w:val="FootnoteText"/>
        <w:spacing w:line="259" w:lineRule="auto"/>
        <w:jc w:val="both"/>
        <w:rPr>
          <w:sz w:val="24"/>
          <w:szCs w:val="24"/>
          <w:lang w:val="de-DE"/>
        </w:rPr>
      </w:pPr>
    </w:p>
    <w:p w14:paraId="71AB224C" w14:textId="721AA765" w:rsidR="0015188E" w:rsidRPr="007A3688" w:rsidRDefault="0015188E" w:rsidP="00FD0498">
      <w:pPr>
        <w:pStyle w:val="FootnoteText"/>
        <w:spacing w:line="259" w:lineRule="auto"/>
        <w:jc w:val="both"/>
        <w:rPr>
          <w:sz w:val="24"/>
          <w:szCs w:val="24"/>
          <w:lang w:val="fr-BE"/>
        </w:rPr>
      </w:pPr>
      <w:r w:rsidRPr="007A3688">
        <w:rPr>
          <w:sz w:val="24"/>
          <w:szCs w:val="24"/>
          <w:lang w:val="fr-BE"/>
        </w:rPr>
        <w:t xml:space="preserve">HvJ EU 8 </w:t>
      </w:r>
      <w:proofErr w:type="spellStart"/>
      <w:r w:rsidRPr="007A3688">
        <w:rPr>
          <w:sz w:val="24"/>
          <w:szCs w:val="24"/>
          <w:lang w:val="fr-BE"/>
        </w:rPr>
        <w:t>december</w:t>
      </w:r>
      <w:proofErr w:type="spellEnd"/>
      <w:r w:rsidRPr="007A3688">
        <w:rPr>
          <w:sz w:val="24"/>
          <w:szCs w:val="24"/>
          <w:lang w:val="fr-BE"/>
        </w:rPr>
        <w:t xml:space="preserve"> 2020, C-620/18, ECLI:EU:C:2020:1001 (</w:t>
      </w:r>
      <w:proofErr w:type="spellStart"/>
      <w:r w:rsidRPr="007A3688">
        <w:rPr>
          <w:i/>
          <w:iCs/>
          <w:sz w:val="24"/>
          <w:szCs w:val="24"/>
          <w:lang w:val="fr-BE"/>
        </w:rPr>
        <w:t>Hongarije</w:t>
      </w:r>
      <w:proofErr w:type="spellEnd"/>
      <w:r w:rsidRPr="007A3688">
        <w:rPr>
          <w:i/>
          <w:iCs/>
          <w:sz w:val="24"/>
          <w:szCs w:val="24"/>
          <w:lang w:val="fr-BE"/>
        </w:rPr>
        <w:t>/</w:t>
      </w:r>
      <w:proofErr w:type="spellStart"/>
      <w:r w:rsidRPr="007A3688">
        <w:rPr>
          <w:i/>
          <w:iCs/>
          <w:sz w:val="24"/>
          <w:szCs w:val="24"/>
          <w:lang w:val="fr-BE"/>
        </w:rPr>
        <w:t>Europees</w:t>
      </w:r>
      <w:proofErr w:type="spellEnd"/>
      <w:r w:rsidRPr="007A3688">
        <w:rPr>
          <w:i/>
          <w:iCs/>
          <w:sz w:val="24"/>
          <w:szCs w:val="24"/>
          <w:lang w:val="fr-BE"/>
        </w:rPr>
        <w:t xml:space="preserve"> Parlement</w:t>
      </w:r>
      <w:r w:rsidRPr="007A3688">
        <w:rPr>
          <w:sz w:val="24"/>
          <w:szCs w:val="24"/>
          <w:lang w:val="fr-BE"/>
        </w:rPr>
        <w:t>).</w:t>
      </w:r>
    </w:p>
    <w:p w14:paraId="4A669C6C" w14:textId="77777777" w:rsidR="00030EF2" w:rsidRPr="007A3688" w:rsidRDefault="00030EF2" w:rsidP="00FD0498">
      <w:pPr>
        <w:pStyle w:val="FootnoteText"/>
        <w:spacing w:line="259" w:lineRule="auto"/>
        <w:jc w:val="both"/>
        <w:rPr>
          <w:sz w:val="24"/>
          <w:szCs w:val="24"/>
          <w:lang w:val="fr-BE"/>
        </w:rPr>
      </w:pPr>
    </w:p>
    <w:p w14:paraId="71B9E0D2" w14:textId="22FA36D9" w:rsidR="002C597A" w:rsidRPr="007A3688" w:rsidRDefault="00604C68" w:rsidP="00FD0498">
      <w:pPr>
        <w:pStyle w:val="FootnoteText"/>
        <w:spacing w:line="259" w:lineRule="auto"/>
        <w:jc w:val="both"/>
        <w:rPr>
          <w:sz w:val="24"/>
          <w:szCs w:val="24"/>
          <w:lang w:val="fr-BE"/>
        </w:rPr>
      </w:pPr>
      <w:r w:rsidRPr="007A3688">
        <w:rPr>
          <w:sz w:val="24"/>
          <w:szCs w:val="24"/>
          <w:lang w:val="fr-BE"/>
        </w:rPr>
        <w:t xml:space="preserve">HvJ EU 23 </w:t>
      </w:r>
      <w:proofErr w:type="spellStart"/>
      <w:r w:rsidRPr="007A3688">
        <w:rPr>
          <w:sz w:val="24"/>
          <w:szCs w:val="24"/>
          <w:lang w:val="fr-BE"/>
        </w:rPr>
        <w:t>maart</w:t>
      </w:r>
      <w:proofErr w:type="spellEnd"/>
      <w:r w:rsidRPr="007A3688">
        <w:rPr>
          <w:sz w:val="24"/>
          <w:szCs w:val="24"/>
          <w:lang w:val="fr-BE"/>
        </w:rPr>
        <w:t xml:space="preserve"> 2021, C-28/20, ECLI:EU:C:2021:226 (</w:t>
      </w:r>
      <w:proofErr w:type="spellStart"/>
      <w:r w:rsidRPr="007A3688">
        <w:rPr>
          <w:i/>
          <w:iCs/>
          <w:sz w:val="24"/>
          <w:szCs w:val="24"/>
          <w:lang w:val="fr-BE"/>
        </w:rPr>
        <w:t>Airhelp</w:t>
      </w:r>
      <w:proofErr w:type="spellEnd"/>
      <w:r w:rsidRPr="007A3688">
        <w:rPr>
          <w:i/>
          <w:iCs/>
          <w:sz w:val="24"/>
          <w:szCs w:val="24"/>
          <w:lang w:val="fr-BE"/>
        </w:rPr>
        <w:t>/</w:t>
      </w:r>
      <w:r w:rsidR="00493219" w:rsidRPr="007A3688">
        <w:rPr>
          <w:i/>
          <w:iCs/>
          <w:sz w:val="24"/>
          <w:szCs w:val="24"/>
          <w:lang w:val="fr-BE"/>
        </w:rPr>
        <w:t>SAS</w:t>
      </w:r>
      <w:r w:rsidRPr="007A3688">
        <w:rPr>
          <w:sz w:val="24"/>
          <w:szCs w:val="24"/>
          <w:lang w:val="fr-BE"/>
        </w:rPr>
        <w:t>).</w:t>
      </w:r>
    </w:p>
    <w:p w14:paraId="1B93994F" w14:textId="77777777" w:rsidR="00604C68" w:rsidRPr="007A3688" w:rsidRDefault="00604C68" w:rsidP="00FD0498">
      <w:pPr>
        <w:pStyle w:val="FootnoteText"/>
        <w:spacing w:line="259" w:lineRule="auto"/>
        <w:jc w:val="both"/>
        <w:rPr>
          <w:sz w:val="24"/>
          <w:szCs w:val="24"/>
          <w:lang w:val="fr-BE"/>
        </w:rPr>
      </w:pPr>
    </w:p>
    <w:p w14:paraId="35D8F498" w14:textId="19D902C5" w:rsidR="002C597A" w:rsidRPr="007A3688" w:rsidRDefault="002C597A" w:rsidP="00FD0498">
      <w:pPr>
        <w:pStyle w:val="FootnoteText"/>
        <w:spacing w:line="259" w:lineRule="auto"/>
        <w:jc w:val="both"/>
        <w:rPr>
          <w:sz w:val="24"/>
          <w:szCs w:val="24"/>
          <w:lang w:val="de-DE"/>
        </w:rPr>
      </w:pPr>
      <w:r w:rsidRPr="007A3688">
        <w:rPr>
          <w:sz w:val="24"/>
          <w:szCs w:val="24"/>
          <w:lang w:val="de-DE"/>
        </w:rPr>
        <w:t xml:space="preserve">HvJ EU 15 </w:t>
      </w:r>
      <w:proofErr w:type="spellStart"/>
      <w:r w:rsidRPr="007A3688">
        <w:rPr>
          <w:sz w:val="24"/>
          <w:szCs w:val="24"/>
          <w:lang w:val="de-DE"/>
        </w:rPr>
        <w:t>juli</w:t>
      </w:r>
      <w:proofErr w:type="spellEnd"/>
      <w:r w:rsidRPr="007A3688">
        <w:rPr>
          <w:sz w:val="24"/>
          <w:szCs w:val="24"/>
          <w:lang w:val="de-DE"/>
        </w:rPr>
        <w:t xml:space="preserve"> 2021, C-804/18 en C-341-19, ECLI:EU:C:2021:594 (</w:t>
      </w:r>
      <w:r w:rsidRPr="007A3688">
        <w:rPr>
          <w:i/>
          <w:iCs/>
          <w:sz w:val="24"/>
          <w:szCs w:val="24"/>
          <w:lang w:val="de-DE"/>
        </w:rPr>
        <w:t>IX/WABE en Müller/MJ</w:t>
      </w:r>
      <w:r w:rsidRPr="007A3688">
        <w:rPr>
          <w:sz w:val="24"/>
          <w:szCs w:val="24"/>
          <w:lang w:val="de-DE"/>
        </w:rPr>
        <w:t>).</w:t>
      </w:r>
    </w:p>
    <w:p w14:paraId="016412C7" w14:textId="77777777" w:rsidR="00604C68" w:rsidRPr="007A3688" w:rsidRDefault="00604C68" w:rsidP="00FD0498">
      <w:pPr>
        <w:pStyle w:val="FootnoteText"/>
        <w:spacing w:line="259" w:lineRule="auto"/>
        <w:jc w:val="both"/>
        <w:rPr>
          <w:sz w:val="24"/>
          <w:szCs w:val="24"/>
          <w:lang w:val="de-DE"/>
        </w:rPr>
      </w:pPr>
    </w:p>
    <w:p w14:paraId="31CEF7E0" w14:textId="23B9ABA8" w:rsidR="00604C68" w:rsidRPr="007A3688" w:rsidRDefault="00604C68" w:rsidP="00FD0498">
      <w:pPr>
        <w:pStyle w:val="FootnoteText"/>
        <w:spacing w:line="259" w:lineRule="auto"/>
        <w:jc w:val="both"/>
        <w:rPr>
          <w:sz w:val="24"/>
          <w:szCs w:val="24"/>
          <w:lang w:val="de-DE"/>
        </w:rPr>
      </w:pPr>
      <w:r w:rsidRPr="007A3688">
        <w:rPr>
          <w:sz w:val="24"/>
          <w:szCs w:val="24"/>
          <w:lang w:val="de-DE"/>
        </w:rPr>
        <w:t xml:space="preserve">HvJ EU 6 </w:t>
      </w:r>
      <w:proofErr w:type="spellStart"/>
      <w:r w:rsidRPr="007A3688">
        <w:rPr>
          <w:sz w:val="24"/>
          <w:szCs w:val="24"/>
          <w:lang w:val="de-DE"/>
        </w:rPr>
        <w:t>oktober</w:t>
      </w:r>
      <w:proofErr w:type="spellEnd"/>
      <w:r w:rsidRPr="007A3688">
        <w:rPr>
          <w:sz w:val="24"/>
          <w:szCs w:val="24"/>
          <w:lang w:val="de-DE"/>
        </w:rPr>
        <w:t xml:space="preserve"> 2021, C-613/20, ECLI:EU:C:2021:820 (</w:t>
      </w:r>
      <w:r w:rsidRPr="007A3688">
        <w:rPr>
          <w:i/>
          <w:iCs/>
          <w:sz w:val="24"/>
          <w:szCs w:val="24"/>
          <w:lang w:val="de-DE"/>
        </w:rPr>
        <w:t>Eurowings</w:t>
      </w:r>
      <w:r w:rsidRPr="007A3688">
        <w:rPr>
          <w:sz w:val="24"/>
          <w:szCs w:val="24"/>
          <w:lang w:val="de-DE"/>
        </w:rPr>
        <w:t>).</w:t>
      </w:r>
    </w:p>
    <w:p w14:paraId="61FCB32E" w14:textId="77777777" w:rsidR="00A14B46" w:rsidRPr="007A3688" w:rsidRDefault="00A14B46" w:rsidP="00FD0498">
      <w:pPr>
        <w:pStyle w:val="FootnoteText"/>
        <w:spacing w:line="259" w:lineRule="auto"/>
        <w:jc w:val="both"/>
        <w:rPr>
          <w:sz w:val="24"/>
          <w:szCs w:val="24"/>
          <w:lang w:val="de-DE"/>
        </w:rPr>
      </w:pPr>
    </w:p>
    <w:p w14:paraId="7152C75E" w14:textId="0B455036" w:rsidR="00A14B46" w:rsidRPr="007A3688" w:rsidRDefault="00A14B46" w:rsidP="00FD0498">
      <w:pPr>
        <w:pStyle w:val="FootnoteText"/>
        <w:spacing w:line="259" w:lineRule="auto"/>
        <w:jc w:val="both"/>
        <w:rPr>
          <w:sz w:val="24"/>
          <w:szCs w:val="24"/>
          <w:lang w:val="de-DE"/>
        </w:rPr>
      </w:pPr>
      <w:r w:rsidRPr="007A3688">
        <w:rPr>
          <w:sz w:val="24"/>
          <w:szCs w:val="24"/>
          <w:lang w:val="de-DE"/>
        </w:rPr>
        <w:t xml:space="preserve">HvJ EU 20 </w:t>
      </w:r>
      <w:proofErr w:type="spellStart"/>
      <w:r w:rsidRPr="007A3688">
        <w:rPr>
          <w:sz w:val="24"/>
          <w:szCs w:val="24"/>
          <w:lang w:val="de-DE"/>
        </w:rPr>
        <w:t>februari</w:t>
      </w:r>
      <w:proofErr w:type="spellEnd"/>
      <w:r w:rsidRPr="007A3688">
        <w:rPr>
          <w:sz w:val="24"/>
          <w:szCs w:val="24"/>
          <w:lang w:val="de-DE"/>
        </w:rPr>
        <w:t xml:space="preserve"> 2024, C-715/20, ECLI:EU:C:2024:139 (</w:t>
      </w:r>
      <w:r w:rsidRPr="007A3688">
        <w:rPr>
          <w:i/>
          <w:iCs/>
          <w:sz w:val="24"/>
          <w:szCs w:val="24"/>
          <w:lang w:val="de-DE"/>
        </w:rPr>
        <w:t>KL/X</w:t>
      </w:r>
      <w:r w:rsidRPr="007A3688">
        <w:rPr>
          <w:sz w:val="24"/>
          <w:szCs w:val="24"/>
          <w:lang w:val="de-DE"/>
        </w:rPr>
        <w:t>).</w:t>
      </w:r>
    </w:p>
    <w:p w14:paraId="262AD6D0" w14:textId="77777777" w:rsidR="00030EF2" w:rsidRPr="007A3688" w:rsidRDefault="00030EF2" w:rsidP="00FD0498">
      <w:pPr>
        <w:pStyle w:val="FootnoteText"/>
        <w:spacing w:line="259" w:lineRule="auto"/>
        <w:jc w:val="both"/>
        <w:rPr>
          <w:rStyle w:val="FootnoteReference"/>
          <w:sz w:val="24"/>
          <w:szCs w:val="24"/>
          <w:lang w:val="de-DE"/>
        </w:rPr>
      </w:pPr>
    </w:p>
    <w:p w14:paraId="5EEA009C" w14:textId="3281705C" w:rsidR="00030EF2" w:rsidRPr="007A3688" w:rsidRDefault="00030EF2" w:rsidP="00FD0498">
      <w:pPr>
        <w:pStyle w:val="FootnoteText"/>
        <w:spacing w:line="259" w:lineRule="auto"/>
        <w:jc w:val="both"/>
        <w:rPr>
          <w:b/>
          <w:bCs/>
          <w:i/>
          <w:iCs/>
          <w:sz w:val="24"/>
          <w:szCs w:val="24"/>
          <w:lang w:val="de-DE"/>
        </w:rPr>
      </w:pPr>
      <w:r w:rsidRPr="007A3688">
        <w:rPr>
          <w:b/>
          <w:bCs/>
          <w:i/>
          <w:iCs/>
          <w:sz w:val="24"/>
          <w:szCs w:val="24"/>
          <w:lang w:val="de-DE"/>
        </w:rPr>
        <w:t>Gerecht</w:t>
      </w:r>
    </w:p>
    <w:p w14:paraId="0381B6AA" w14:textId="68164640" w:rsidR="009B54EB" w:rsidRPr="007A3688" w:rsidRDefault="009B54EB" w:rsidP="00FD0498">
      <w:pPr>
        <w:pStyle w:val="FootnoteText"/>
        <w:spacing w:line="259" w:lineRule="auto"/>
        <w:jc w:val="both"/>
        <w:rPr>
          <w:sz w:val="24"/>
          <w:szCs w:val="24"/>
          <w:lang w:val="de-DE"/>
        </w:rPr>
      </w:pPr>
      <w:r w:rsidRPr="007A3688">
        <w:rPr>
          <w:sz w:val="24"/>
          <w:szCs w:val="24"/>
          <w:lang w:val="de-DE"/>
        </w:rPr>
        <w:t xml:space="preserve">Gerecht EU 30 </w:t>
      </w:r>
      <w:proofErr w:type="spellStart"/>
      <w:r w:rsidRPr="007A3688">
        <w:rPr>
          <w:sz w:val="24"/>
          <w:szCs w:val="24"/>
          <w:lang w:val="de-DE"/>
        </w:rPr>
        <w:t>juni</w:t>
      </w:r>
      <w:proofErr w:type="spellEnd"/>
      <w:r w:rsidRPr="007A3688">
        <w:rPr>
          <w:sz w:val="24"/>
          <w:szCs w:val="24"/>
          <w:lang w:val="de-DE"/>
        </w:rPr>
        <w:t xml:space="preserve"> 2015, F-124/14, ECLI:EU:F:2015:69 (</w:t>
      </w:r>
      <w:r w:rsidRPr="007A3688">
        <w:rPr>
          <w:i/>
          <w:iCs/>
          <w:sz w:val="24"/>
          <w:szCs w:val="24"/>
          <w:lang w:val="de-DE"/>
        </w:rPr>
        <w:t>Petsch/</w:t>
      </w:r>
      <w:proofErr w:type="spellStart"/>
      <w:r w:rsidRPr="007A3688">
        <w:rPr>
          <w:i/>
          <w:iCs/>
          <w:sz w:val="24"/>
          <w:szCs w:val="24"/>
          <w:lang w:val="de-DE"/>
        </w:rPr>
        <w:t>Europese</w:t>
      </w:r>
      <w:proofErr w:type="spellEnd"/>
      <w:r w:rsidRPr="007A3688">
        <w:rPr>
          <w:i/>
          <w:iCs/>
          <w:sz w:val="24"/>
          <w:szCs w:val="24"/>
          <w:lang w:val="de-DE"/>
        </w:rPr>
        <w:t xml:space="preserve"> </w:t>
      </w:r>
      <w:proofErr w:type="spellStart"/>
      <w:r w:rsidRPr="007A3688">
        <w:rPr>
          <w:i/>
          <w:iCs/>
          <w:sz w:val="24"/>
          <w:szCs w:val="24"/>
          <w:lang w:val="de-DE"/>
        </w:rPr>
        <w:t>Commissie</w:t>
      </w:r>
      <w:proofErr w:type="spellEnd"/>
      <w:r w:rsidRPr="007A3688">
        <w:rPr>
          <w:sz w:val="24"/>
          <w:szCs w:val="24"/>
          <w:lang w:val="de-DE"/>
        </w:rPr>
        <w:t>).</w:t>
      </w:r>
    </w:p>
    <w:p w14:paraId="72C67839" w14:textId="77777777" w:rsidR="009B54EB" w:rsidRPr="007A3688" w:rsidRDefault="009B54EB" w:rsidP="00FD0498">
      <w:pPr>
        <w:pStyle w:val="FootnoteText"/>
        <w:spacing w:line="259" w:lineRule="auto"/>
        <w:jc w:val="both"/>
        <w:rPr>
          <w:sz w:val="24"/>
          <w:szCs w:val="24"/>
          <w:lang w:val="de-DE"/>
        </w:rPr>
      </w:pPr>
    </w:p>
    <w:p w14:paraId="1503352D" w14:textId="22495820" w:rsidR="00030EF2" w:rsidRPr="007A3688" w:rsidRDefault="00030EF2" w:rsidP="00FD0498">
      <w:pPr>
        <w:pStyle w:val="FootnoteText"/>
        <w:spacing w:line="259" w:lineRule="auto"/>
        <w:jc w:val="both"/>
        <w:rPr>
          <w:sz w:val="24"/>
          <w:szCs w:val="24"/>
          <w:lang w:val="de-DE"/>
        </w:rPr>
      </w:pPr>
      <w:r w:rsidRPr="007A3688">
        <w:rPr>
          <w:sz w:val="24"/>
          <w:szCs w:val="24"/>
          <w:lang w:val="de-DE"/>
        </w:rPr>
        <w:t xml:space="preserve">Gerecht EU 29 </w:t>
      </w:r>
      <w:proofErr w:type="spellStart"/>
      <w:r w:rsidRPr="007A3688">
        <w:rPr>
          <w:sz w:val="24"/>
          <w:szCs w:val="24"/>
          <w:lang w:val="de-DE"/>
        </w:rPr>
        <w:t>januari</w:t>
      </w:r>
      <w:proofErr w:type="spellEnd"/>
      <w:r w:rsidRPr="007A3688">
        <w:rPr>
          <w:sz w:val="24"/>
          <w:szCs w:val="24"/>
          <w:lang w:val="de-DE"/>
        </w:rPr>
        <w:t xml:space="preserve"> 2020, T-402/18, ECLI:EU:T:2020:13 (</w:t>
      </w:r>
      <w:r w:rsidRPr="007A3688">
        <w:rPr>
          <w:i/>
          <w:iCs/>
          <w:sz w:val="24"/>
          <w:szCs w:val="24"/>
          <w:lang w:val="de-DE"/>
        </w:rPr>
        <w:t>Aquino</w:t>
      </w:r>
      <w:r w:rsidR="00641EF2" w:rsidRPr="007A3688">
        <w:rPr>
          <w:i/>
          <w:iCs/>
          <w:sz w:val="24"/>
          <w:szCs w:val="24"/>
          <w:lang w:val="de-DE"/>
        </w:rPr>
        <w:t xml:space="preserve"> </w:t>
      </w:r>
      <w:proofErr w:type="spellStart"/>
      <w:r w:rsidR="00641EF2" w:rsidRPr="007A3688">
        <w:rPr>
          <w:i/>
          <w:iCs/>
          <w:sz w:val="24"/>
          <w:szCs w:val="24"/>
          <w:lang w:val="de-DE"/>
        </w:rPr>
        <w:t>e.a</w:t>
      </w:r>
      <w:proofErr w:type="spellEnd"/>
      <w:r w:rsidR="00641EF2" w:rsidRPr="007A3688">
        <w:rPr>
          <w:i/>
          <w:iCs/>
          <w:sz w:val="24"/>
          <w:szCs w:val="24"/>
          <w:lang w:val="de-DE"/>
        </w:rPr>
        <w:t>.</w:t>
      </w:r>
      <w:r w:rsidRPr="007A3688">
        <w:rPr>
          <w:i/>
          <w:iCs/>
          <w:sz w:val="24"/>
          <w:szCs w:val="24"/>
          <w:lang w:val="de-DE"/>
        </w:rPr>
        <w:t>/</w:t>
      </w:r>
      <w:proofErr w:type="spellStart"/>
      <w:r w:rsidRPr="007A3688">
        <w:rPr>
          <w:i/>
          <w:iCs/>
          <w:sz w:val="24"/>
          <w:szCs w:val="24"/>
          <w:lang w:val="de-DE"/>
        </w:rPr>
        <w:t>Europees</w:t>
      </w:r>
      <w:proofErr w:type="spellEnd"/>
      <w:r w:rsidRPr="007A3688">
        <w:rPr>
          <w:i/>
          <w:iCs/>
          <w:sz w:val="24"/>
          <w:szCs w:val="24"/>
          <w:lang w:val="de-DE"/>
        </w:rPr>
        <w:t xml:space="preserve"> </w:t>
      </w:r>
      <w:proofErr w:type="spellStart"/>
      <w:r w:rsidRPr="007A3688">
        <w:rPr>
          <w:i/>
          <w:iCs/>
          <w:sz w:val="24"/>
          <w:szCs w:val="24"/>
          <w:lang w:val="de-DE"/>
        </w:rPr>
        <w:t>Parlement</w:t>
      </w:r>
      <w:proofErr w:type="spellEnd"/>
      <w:r w:rsidRPr="007A3688">
        <w:rPr>
          <w:sz w:val="24"/>
          <w:szCs w:val="24"/>
          <w:lang w:val="de-DE"/>
        </w:rPr>
        <w:t>).</w:t>
      </w:r>
    </w:p>
    <w:p w14:paraId="0F292DAA" w14:textId="77777777" w:rsidR="00030EF2" w:rsidRPr="007A3688" w:rsidRDefault="00030EF2" w:rsidP="00FD0498">
      <w:pPr>
        <w:pStyle w:val="FootnoteText"/>
        <w:spacing w:line="259" w:lineRule="auto"/>
        <w:jc w:val="both"/>
        <w:rPr>
          <w:sz w:val="24"/>
          <w:szCs w:val="24"/>
          <w:lang w:val="de-DE"/>
        </w:rPr>
      </w:pPr>
    </w:p>
    <w:p w14:paraId="44B81C73" w14:textId="65E467DF" w:rsidR="00030EF2" w:rsidRPr="001D36AC" w:rsidRDefault="00030EF2" w:rsidP="00FD0498">
      <w:pPr>
        <w:pStyle w:val="FootnoteText"/>
        <w:spacing w:line="259" w:lineRule="auto"/>
        <w:jc w:val="both"/>
        <w:rPr>
          <w:b/>
          <w:bCs/>
          <w:i/>
          <w:iCs/>
          <w:sz w:val="24"/>
          <w:szCs w:val="24"/>
        </w:rPr>
      </w:pPr>
      <w:r w:rsidRPr="001D36AC">
        <w:rPr>
          <w:b/>
          <w:bCs/>
          <w:i/>
          <w:iCs/>
          <w:sz w:val="24"/>
          <w:szCs w:val="24"/>
        </w:rPr>
        <w:t>Conclusies</w:t>
      </w:r>
      <w:r w:rsidR="0073298E" w:rsidRPr="001D36AC">
        <w:rPr>
          <w:b/>
          <w:bCs/>
          <w:i/>
          <w:iCs/>
          <w:sz w:val="24"/>
          <w:szCs w:val="24"/>
        </w:rPr>
        <w:t xml:space="preserve"> van de Advocaat-Generaal</w:t>
      </w:r>
    </w:p>
    <w:p w14:paraId="6D663CD3" w14:textId="20FE9F50" w:rsidR="0015188E" w:rsidRPr="007A3688" w:rsidRDefault="00046A49" w:rsidP="00FD0498">
      <w:pPr>
        <w:pStyle w:val="FootnoteText"/>
        <w:spacing w:line="259" w:lineRule="auto"/>
        <w:jc w:val="both"/>
        <w:rPr>
          <w:sz w:val="24"/>
          <w:szCs w:val="24"/>
          <w:lang w:val="de-DE"/>
        </w:rPr>
      </w:pPr>
      <w:proofErr w:type="spellStart"/>
      <w:r w:rsidRPr="001D36AC">
        <w:rPr>
          <w:sz w:val="24"/>
          <w:szCs w:val="24"/>
        </w:rPr>
        <w:t>Concl</w:t>
      </w:r>
      <w:proofErr w:type="spellEnd"/>
      <w:r w:rsidRPr="001D36AC">
        <w:rPr>
          <w:sz w:val="24"/>
          <w:szCs w:val="24"/>
        </w:rPr>
        <w:t>.</w:t>
      </w:r>
      <w:r w:rsidR="0015188E" w:rsidRPr="001D36AC">
        <w:rPr>
          <w:sz w:val="24"/>
          <w:szCs w:val="24"/>
        </w:rPr>
        <w:t xml:space="preserve"> </w:t>
      </w:r>
      <w:r w:rsidR="0015188E" w:rsidRPr="007A3688">
        <w:rPr>
          <w:sz w:val="24"/>
          <w:szCs w:val="24"/>
          <w:lang w:val="de-DE"/>
        </w:rPr>
        <w:t xml:space="preserve">A-G Jacobs 11 </w:t>
      </w:r>
      <w:proofErr w:type="spellStart"/>
      <w:r w:rsidR="0015188E" w:rsidRPr="007A3688">
        <w:rPr>
          <w:sz w:val="24"/>
          <w:szCs w:val="24"/>
          <w:lang w:val="de-DE"/>
        </w:rPr>
        <w:t>juli</w:t>
      </w:r>
      <w:proofErr w:type="spellEnd"/>
      <w:r w:rsidR="0015188E" w:rsidRPr="007A3688">
        <w:rPr>
          <w:sz w:val="24"/>
          <w:szCs w:val="24"/>
          <w:lang w:val="de-DE"/>
        </w:rPr>
        <w:t xml:space="preserve"> 2002, C-112/00, ECLI:EU:C:2002:437 (</w:t>
      </w:r>
      <w:r w:rsidR="0015188E" w:rsidRPr="007A3688">
        <w:rPr>
          <w:i/>
          <w:iCs/>
          <w:sz w:val="24"/>
          <w:szCs w:val="24"/>
          <w:lang w:val="de-DE"/>
        </w:rPr>
        <w:t>Schmidberger</w:t>
      </w:r>
      <w:r w:rsidR="0015188E" w:rsidRPr="007A3688">
        <w:rPr>
          <w:sz w:val="24"/>
          <w:szCs w:val="24"/>
          <w:lang w:val="de-DE"/>
        </w:rPr>
        <w:t>).</w:t>
      </w:r>
    </w:p>
    <w:p w14:paraId="3C48B23D" w14:textId="77777777" w:rsidR="0015188E" w:rsidRPr="007A3688" w:rsidRDefault="0015188E" w:rsidP="00FD0498">
      <w:pPr>
        <w:pStyle w:val="FootnoteText"/>
        <w:spacing w:line="259" w:lineRule="auto"/>
        <w:jc w:val="both"/>
        <w:rPr>
          <w:sz w:val="24"/>
          <w:szCs w:val="24"/>
          <w:lang w:val="de-DE"/>
        </w:rPr>
      </w:pPr>
    </w:p>
    <w:p w14:paraId="5BD30ACB" w14:textId="1BE6E873" w:rsidR="00030EF2" w:rsidRPr="007A3688" w:rsidRDefault="00046A49" w:rsidP="00FD0498">
      <w:pPr>
        <w:pStyle w:val="FootnoteText"/>
        <w:spacing w:line="259" w:lineRule="auto"/>
        <w:jc w:val="both"/>
        <w:rPr>
          <w:sz w:val="24"/>
          <w:szCs w:val="24"/>
          <w:lang w:val="fr-BE"/>
        </w:rPr>
      </w:pPr>
      <w:proofErr w:type="spellStart"/>
      <w:r w:rsidRPr="007A3688">
        <w:rPr>
          <w:sz w:val="24"/>
          <w:szCs w:val="24"/>
          <w:lang w:val="fr-BE"/>
        </w:rPr>
        <w:t>Concl</w:t>
      </w:r>
      <w:proofErr w:type="spellEnd"/>
      <w:r w:rsidRPr="007A3688">
        <w:rPr>
          <w:sz w:val="24"/>
          <w:szCs w:val="24"/>
          <w:lang w:val="fr-BE"/>
        </w:rPr>
        <w:t xml:space="preserve">. </w:t>
      </w:r>
      <w:r w:rsidR="00030EF2" w:rsidRPr="007A3688">
        <w:rPr>
          <w:sz w:val="24"/>
          <w:szCs w:val="24"/>
          <w:lang w:val="fr-BE"/>
        </w:rPr>
        <w:t xml:space="preserve">A-G </w:t>
      </w:r>
      <w:proofErr w:type="spellStart"/>
      <w:r w:rsidR="00030EF2" w:rsidRPr="007A3688">
        <w:rPr>
          <w:sz w:val="24"/>
          <w:szCs w:val="24"/>
          <w:lang w:val="fr-BE"/>
        </w:rPr>
        <w:t>Mengozzi</w:t>
      </w:r>
      <w:proofErr w:type="spellEnd"/>
      <w:r w:rsidR="00030EF2" w:rsidRPr="007A3688">
        <w:rPr>
          <w:sz w:val="24"/>
          <w:szCs w:val="24"/>
          <w:lang w:val="fr-BE"/>
        </w:rPr>
        <w:t xml:space="preserve"> 23 </w:t>
      </w:r>
      <w:proofErr w:type="spellStart"/>
      <w:r w:rsidR="00030EF2" w:rsidRPr="007A3688">
        <w:rPr>
          <w:sz w:val="24"/>
          <w:szCs w:val="24"/>
          <w:lang w:val="fr-BE"/>
        </w:rPr>
        <w:t>mei</w:t>
      </w:r>
      <w:proofErr w:type="spellEnd"/>
      <w:r w:rsidR="00030EF2" w:rsidRPr="007A3688">
        <w:rPr>
          <w:sz w:val="24"/>
          <w:szCs w:val="24"/>
          <w:lang w:val="fr-BE"/>
        </w:rPr>
        <w:t xml:space="preserve"> 2007, C-341/05, ECLI:EU:C:2007:291 (</w:t>
      </w:r>
      <w:r w:rsidR="00030EF2" w:rsidRPr="007A3688">
        <w:rPr>
          <w:i/>
          <w:iCs/>
          <w:sz w:val="24"/>
          <w:szCs w:val="24"/>
          <w:lang w:val="fr-BE"/>
        </w:rPr>
        <w:t>Laval</w:t>
      </w:r>
      <w:r w:rsidR="00030EF2" w:rsidRPr="007A3688">
        <w:rPr>
          <w:sz w:val="24"/>
          <w:szCs w:val="24"/>
          <w:lang w:val="fr-BE"/>
        </w:rPr>
        <w:t xml:space="preserve">). </w:t>
      </w:r>
    </w:p>
    <w:p w14:paraId="7DA66996" w14:textId="77777777" w:rsidR="004357D4" w:rsidRPr="007A3688" w:rsidRDefault="004357D4" w:rsidP="00FD0498">
      <w:pPr>
        <w:pStyle w:val="FootnoteText"/>
        <w:spacing w:line="259" w:lineRule="auto"/>
        <w:jc w:val="both"/>
        <w:rPr>
          <w:sz w:val="24"/>
          <w:szCs w:val="24"/>
          <w:lang w:val="fr-BE"/>
        </w:rPr>
      </w:pPr>
    </w:p>
    <w:p w14:paraId="13269A81" w14:textId="5FD0CC9D" w:rsidR="004357D4" w:rsidRPr="007A3688" w:rsidRDefault="00046A49" w:rsidP="00FD0498">
      <w:pPr>
        <w:pStyle w:val="FootnoteText"/>
        <w:spacing w:line="259" w:lineRule="auto"/>
        <w:jc w:val="both"/>
        <w:rPr>
          <w:sz w:val="24"/>
          <w:szCs w:val="24"/>
          <w:lang w:val="fr-BE"/>
        </w:rPr>
      </w:pPr>
      <w:proofErr w:type="spellStart"/>
      <w:r w:rsidRPr="007A3688">
        <w:rPr>
          <w:sz w:val="24"/>
          <w:szCs w:val="24"/>
          <w:lang w:val="fr-BE"/>
        </w:rPr>
        <w:t>Concl</w:t>
      </w:r>
      <w:proofErr w:type="spellEnd"/>
      <w:r w:rsidRPr="007A3688">
        <w:rPr>
          <w:sz w:val="24"/>
          <w:szCs w:val="24"/>
          <w:lang w:val="fr-BE"/>
        </w:rPr>
        <w:t xml:space="preserve">. </w:t>
      </w:r>
      <w:r w:rsidR="004357D4" w:rsidRPr="007A3688">
        <w:rPr>
          <w:sz w:val="24"/>
          <w:szCs w:val="24"/>
          <w:lang w:val="fr-BE"/>
        </w:rPr>
        <w:t xml:space="preserve">A-G Bot 20 </w:t>
      </w:r>
      <w:proofErr w:type="spellStart"/>
      <w:r w:rsidR="004357D4" w:rsidRPr="007A3688">
        <w:rPr>
          <w:sz w:val="24"/>
          <w:szCs w:val="24"/>
          <w:lang w:val="fr-BE"/>
        </w:rPr>
        <w:t>september</w:t>
      </w:r>
      <w:proofErr w:type="spellEnd"/>
      <w:r w:rsidR="004357D4" w:rsidRPr="007A3688">
        <w:rPr>
          <w:sz w:val="24"/>
          <w:szCs w:val="24"/>
          <w:lang w:val="fr-BE"/>
        </w:rPr>
        <w:t xml:space="preserve"> 2007, C-346/06, ECLI:EU:C:2007:541 (</w:t>
      </w:r>
      <w:proofErr w:type="spellStart"/>
      <w:r w:rsidR="004357D4" w:rsidRPr="007A3688">
        <w:rPr>
          <w:i/>
          <w:iCs/>
          <w:sz w:val="24"/>
          <w:szCs w:val="24"/>
          <w:lang w:val="fr-BE"/>
        </w:rPr>
        <w:t>Rüffert</w:t>
      </w:r>
      <w:proofErr w:type="spellEnd"/>
      <w:r w:rsidR="004357D4" w:rsidRPr="007A3688">
        <w:rPr>
          <w:sz w:val="24"/>
          <w:szCs w:val="24"/>
          <w:lang w:val="fr-BE"/>
        </w:rPr>
        <w:t>).</w:t>
      </w:r>
    </w:p>
    <w:p w14:paraId="11B5AE51" w14:textId="77777777" w:rsidR="00861824" w:rsidRPr="007A3688" w:rsidRDefault="00861824" w:rsidP="00FD0498">
      <w:pPr>
        <w:pStyle w:val="FootnoteText"/>
        <w:spacing w:line="259" w:lineRule="auto"/>
        <w:jc w:val="both"/>
        <w:rPr>
          <w:sz w:val="24"/>
          <w:szCs w:val="24"/>
          <w:lang w:val="fr-BE"/>
        </w:rPr>
      </w:pPr>
    </w:p>
    <w:p w14:paraId="7E45A963" w14:textId="72BE7438" w:rsidR="00861824" w:rsidRPr="007A3688" w:rsidRDefault="00046A49" w:rsidP="00FD0498">
      <w:pPr>
        <w:pStyle w:val="FootnoteText"/>
        <w:spacing w:line="259" w:lineRule="auto"/>
        <w:jc w:val="both"/>
        <w:rPr>
          <w:sz w:val="24"/>
          <w:szCs w:val="24"/>
          <w:lang w:val="fr-BE"/>
        </w:rPr>
      </w:pPr>
      <w:proofErr w:type="spellStart"/>
      <w:r w:rsidRPr="007A3688">
        <w:rPr>
          <w:sz w:val="24"/>
          <w:szCs w:val="24"/>
          <w:lang w:val="fr-BE"/>
        </w:rPr>
        <w:t>Concl</w:t>
      </w:r>
      <w:proofErr w:type="spellEnd"/>
      <w:r w:rsidRPr="007A3688">
        <w:rPr>
          <w:sz w:val="24"/>
          <w:szCs w:val="24"/>
          <w:lang w:val="fr-BE"/>
        </w:rPr>
        <w:t xml:space="preserve">. </w:t>
      </w:r>
      <w:r w:rsidR="00861824" w:rsidRPr="007A3688">
        <w:rPr>
          <w:sz w:val="24"/>
          <w:szCs w:val="24"/>
          <w:lang w:val="fr-BE"/>
        </w:rPr>
        <w:t xml:space="preserve">A-G </w:t>
      </w:r>
      <w:proofErr w:type="spellStart"/>
      <w:r w:rsidR="00861824" w:rsidRPr="007A3688">
        <w:rPr>
          <w:sz w:val="24"/>
          <w:szCs w:val="24"/>
          <w:lang w:val="fr-BE"/>
        </w:rPr>
        <w:t>Trstenjak</w:t>
      </w:r>
      <w:proofErr w:type="spellEnd"/>
      <w:r w:rsidR="00861824" w:rsidRPr="007A3688">
        <w:rPr>
          <w:sz w:val="24"/>
          <w:szCs w:val="24"/>
          <w:lang w:val="fr-BE"/>
        </w:rPr>
        <w:t xml:space="preserve"> 14 </w:t>
      </w:r>
      <w:proofErr w:type="spellStart"/>
      <w:r w:rsidR="00861824" w:rsidRPr="007A3688">
        <w:rPr>
          <w:sz w:val="24"/>
          <w:szCs w:val="24"/>
          <w:lang w:val="fr-BE"/>
        </w:rPr>
        <w:t>april</w:t>
      </w:r>
      <w:proofErr w:type="spellEnd"/>
      <w:r w:rsidR="00861824" w:rsidRPr="007A3688">
        <w:rPr>
          <w:sz w:val="24"/>
          <w:szCs w:val="24"/>
          <w:lang w:val="fr-BE"/>
        </w:rPr>
        <w:t xml:space="preserve"> 2010, C-271/08, ECLI:EU:C:2010:183 (</w:t>
      </w:r>
      <w:proofErr w:type="spellStart"/>
      <w:r w:rsidR="00861824" w:rsidRPr="007A3688">
        <w:rPr>
          <w:i/>
          <w:iCs/>
          <w:sz w:val="24"/>
          <w:szCs w:val="24"/>
          <w:lang w:val="fr-BE"/>
        </w:rPr>
        <w:t>Commissie</w:t>
      </w:r>
      <w:proofErr w:type="spellEnd"/>
      <w:r w:rsidR="00861824" w:rsidRPr="007A3688">
        <w:rPr>
          <w:i/>
          <w:iCs/>
          <w:sz w:val="24"/>
          <w:szCs w:val="24"/>
          <w:lang w:val="fr-BE"/>
        </w:rPr>
        <w:t>/</w:t>
      </w:r>
      <w:proofErr w:type="spellStart"/>
      <w:r w:rsidR="00861824" w:rsidRPr="007A3688">
        <w:rPr>
          <w:i/>
          <w:iCs/>
          <w:sz w:val="24"/>
          <w:szCs w:val="24"/>
          <w:lang w:val="fr-BE"/>
        </w:rPr>
        <w:t>Duitsland</w:t>
      </w:r>
      <w:proofErr w:type="spellEnd"/>
      <w:r w:rsidR="00861824" w:rsidRPr="007A3688">
        <w:rPr>
          <w:sz w:val="24"/>
          <w:szCs w:val="24"/>
          <w:lang w:val="fr-BE"/>
        </w:rPr>
        <w:t>).</w:t>
      </w:r>
    </w:p>
    <w:p w14:paraId="718B8032" w14:textId="77777777" w:rsidR="00046A49" w:rsidRPr="007A3688" w:rsidRDefault="00046A49" w:rsidP="00FD0498">
      <w:pPr>
        <w:pStyle w:val="FootnoteText"/>
        <w:spacing w:line="259" w:lineRule="auto"/>
        <w:jc w:val="both"/>
        <w:rPr>
          <w:sz w:val="24"/>
          <w:szCs w:val="24"/>
          <w:lang w:val="fr-BE"/>
        </w:rPr>
      </w:pPr>
    </w:p>
    <w:p w14:paraId="20FA65E1" w14:textId="28A18BA1" w:rsidR="00046A49" w:rsidRPr="00A872BE" w:rsidRDefault="00046A49" w:rsidP="00FD0498">
      <w:pPr>
        <w:pStyle w:val="FootnoteText"/>
        <w:spacing w:line="259" w:lineRule="auto"/>
        <w:jc w:val="both"/>
        <w:rPr>
          <w:sz w:val="24"/>
          <w:szCs w:val="24"/>
          <w:lang w:val="es-ES"/>
        </w:rPr>
      </w:pPr>
      <w:proofErr w:type="spellStart"/>
      <w:r w:rsidRPr="00A872BE">
        <w:rPr>
          <w:sz w:val="24"/>
          <w:szCs w:val="24"/>
          <w:lang w:val="es-ES"/>
        </w:rPr>
        <w:t>Concl</w:t>
      </w:r>
      <w:proofErr w:type="spellEnd"/>
      <w:r w:rsidRPr="00A872BE">
        <w:rPr>
          <w:sz w:val="24"/>
          <w:szCs w:val="24"/>
          <w:lang w:val="es-ES"/>
        </w:rPr>
        <w:t xml:space="preserve">. A-G </w:t>
      </w:r>
      <w:proofErr w:type="spellStart"/>
      <w:r w:rsidRPr="00A872BE">
        <w:rPr>
          <w:sz w:val="24"/>
          <w:szCs w:val="24"/>
          <w:lang w:val="es-ES"/>
        </w:rPr>
        <w:t>Bobek</w:t>
      </w:r>
      <w:proofErr w:type="spellEnd"/>
      <w:r w:rsidRPr="00A872BE">
        <w:rPr>
          <w:sz w:val="24"/>
          <w:szCs w:val="24"/>
          <w:lang w:val="es-ES"/>
        </w:rPr>
        <w:t xml:space="preserve"> 25 </w:t>
      </w:r>
      <w:proofErr w:type="spellStart"/>
      <w:r w:rsidRPr="00A872BE">
        <w:rPr>
          <w:sz w:val="24"/>
          <w:szCs w:val="24"/>
          <w:lang w:val="es-ES"/>
        </w:rPr>
        <w:t>juli</w:t>
      </w:r>
      <w:proofErr w:type="spellEnd"/>
      <w:r w:rsidRPr="00A872BE">
        <w:rPr>
          <w:sz w:val="24"/>
          <w:szCs w:val="24"/>
          <w:lang w:val="es-ES"/>
        </w:rPr>
        <w:t xml:space="preserve"> 2018, C‑193/17, ECLI:EU:C:2019:43 (</w:t>
      </w:r>
      <w:proofErr w:type="spellStart"/>
      <w:r w:rsidRPr="00A872BE">
        <w:rPr>
          <w:i/>
          <w:iCs/>
          <w:sz w:val="24"/>
          <w:szCs w:val="24"/>
          <w:lang w:val="es-ES"/>
        </w:rPr>
        <w:t>Cresco</w:t>
      </w:r>
      <w:proofErr w:type="spellEnd"/>
      <w:r w:rsidRPr="00A872BE">
        <w:rPr>
          <w:i/>
          <w:iCs/>
          <w:sz w:val="24"/>
          <w:szCs w:val="24"/>
          <w:lang w:val="es-ES"/>
        </w:rPr>
        <w:t xml:space="preserve"> </w:t>
      </w:r>
      <w:proofErr w:type="spellStart"/>
      <w:r w:rsidRPr="00A872BE">
        <w:rPr>
          <w:i/>
          <w:iCs/>
          <w:sz w:val="24"/>
          <w:szCs w:val="24"/>
          <w:lang w:val="es-ES"/>
        </w:rPr>
        <w:t>Investigation</w:t>
      </w:r>
      <w:proofErr w:type="spellEnd"/>
      <w:r w:rsidRPr="00A872BE">
        <w:rPr>
          <w:sz w:val="24"/>
          <w:szCs w:val="24"/>
          <w:lang w:val="es-ES"/>
        </w:rPr>
        <w:t>).</w:t>
      </w:r>
    </w:p>
    <w:p w14:paraId="534D42DB" w14:textId="77777777" w:rsidR="00FC05F4" w:rsidRPr="00A872BE" w:rsidRDefault="00FC05F4" w:rsidP="00FD0498">
      <w:pPr>
        <w:pStyle w:val="FootnoteText"/>
        <w:spacing w:line="259" w:lineRule="auto"/>
        <w:jc w:val="both"/>
        <w:rPr>
          <w:sz w:val="24"/>
          <w:szCs w:val="24"/>
          <w:lang w:val="es-ES"/>
        </w:rPr>
      </w:pPr>
    </w:p>
    <w:p w14:paraId="702A9ABA" w14:textId="390B1B31" w:rsidR="00FC05F4" w:rsidRPr="00A872BE" w:rsidRDefault="00046A49" w:rsidP="00FD0498">
      <w:pPr>
        <w:pStyle w:val="FootnoteText"/>
        <w:spacing w:line="259" w:lineRule="auto"/>
        <w:jc w:val="both"/>
        <w:rPr>
          <w:sz w:val="24"/>
          <w:szCs w:val="24"/>
          <w:lang w:val="es-ES"/>
        </w:rPr>
      </w:pPr>
      <w:proofErr w:type="spellStart"/>
      <w:r w:rsidRPr="00A872BE">
        <w:rPr>
          <w:sz w:val="24"/>
          <w:szCs w:val="24"/>
          <w:lang w:val="es-ES"/>
        </w:rPr>
        <w:t>Concl</w:t>
      </w:r>
      <w:proofErr w:type="spellEnd"/>
      <w:r w:rsidRPr="00A872BE">
        <w:rPr>
          <w:sz w:val="24"/>
          <w:szCs w:val="24"/>
          <w:lang w:val="es-ES"/>
        </w:rPr>
        <w:t xml:space="preserve">. </w:t>
      </w:r>
      <w:r w:rsidR="00FC05F4" w:rsidRPr="00A872BE">
        <w:rPr>
          <w:sz w:val="24"/>
          <w:szCs w:val="24"/>
          <w:lang w:val="es-ES"/>
        </w:rPr>
        <w:t xml:space="preserve">A-G Cruz Villalón 5 </w:t>
      </w:r>
      <w:proofErr w:type="spellStart"/>
      <w:r w:rsidR="00FC05F4" w:rsidRPr="00A872BE">
        <w:rPr>
          <w:sz w:val="24"/>
          <w:szCs w:val="24"/>
          <w:lang w:val="es-ES"/>
        </w:rPr>
        <w:t>mei</w:t>
      </w:r>
      <w:proofErr w:type="spellEnd"/>
      <w:r w:rsidR="00FC05F4" w:rsidRPr="00A872BE">
        <w:rPr>
          <w:sz w:val="24"/>
          <w:szCs w:val="24"/>
          <w:lang w:val="es-ES"/>
        </w:rPr>
        <w:t xml:space="preserve"> 2019, C-515/08, ECLI:EU:C:2010:245 (</w:t>
      </w:r>
      <w:r w:rsidR="00FC05F4" w:rsidRPr="00A872BE">
        <w:rPr>
          <w:i/>
          <w:iCs/>
          <w:sz w:val="24"/>
          <w:szCs w:val="24"/>
          <w:lang w:val="es-ES"/>
        </w:rPr>
        <w:t xml:space="preserve">Santos </w:t>
      </w:r>
      <w:proofErr w:type="spellStart"/>
      <w:r w:rsidR="00FC05F4" w:rsidRPr="00A872BE">
        <w:rPr>
          <w:i/>
          <w:iCs/>
          <w:sz w:val="24"/>
          <w:szCs w:val="24"/>
          <w:lang w:val="es-ES"/>
        </w:rPr>
        <w:t>Palhota</w:t>
      </w:r>
      <w:proofErr w:type="spellEnd"/>
      <w:r w:rsidR="00FC05F4" w:rsidRPr="00A872BE">
        <w:rPr>
          <w:sz w:val="24"/>
          <w:szCs w:val="24"/>
          <w:lang w:val="es-ES"/>
        </w:rPr>
        <w:t>).</w:t>
      </w:r>
    </w:p>
    <w:p w14:paraId="64646445" w14:textId="77777777" w:rsidR="002835DE" w:rsidRPr="00A872BE" w:rsidRDefault="002835DE" w:rsidP="00FD0498">
      <w:pPr>
        <w:pStyle w:val="FootnoteText"/>
        <w:spacing w:line="259" w:lineRule="auto"/>
        <w:jc w:val="both"/>
        <w:rPr>
          <w:sz w:val="24"/>
          <w:szCs w:val="24"/>
          <w:lang w:val="es-ES"/>
        </w:rPr>
      </w:pPr>
    </w:p>
    <w:p w14:paraId="75397236" w14:textId="0EA290B5" w:rsidR="002835DE" w:rsidRPr="00A872BE" w:rsidRDefault="00046A49" w:rsidP="00FD0498">
      <w:pPr>
        <w:pStyle w:val="FootnoteText"/>
        <w:spacing w:line="259" w:lineRule="auto"/>
        <w:jc w:val="both"/>
        <w:rPr>
          <w:sz w:val="24"/>
          <w:szCs w:val="24"/>
          <w:lang w:val="es-ES"/>
        </w:rPr>
      </w:pPr>
      <w:proofErr w:type="spellStart"/>
      <w:r w:rsidRPr="00A872BE">
        <w:rPr>
          <w:sz w:val="24"/>
          <w:szCs w:val="24"/>
          <w:lang w:val="es-ES"/>
        </w:rPr>
        <w:t>Concl</w:t>
      </w:r>
      <w:proofErr w:type="spellEnd"/>
      <w:r w:rsidRPr="00A872BE">
        <w:rPr>
          <w:sz w:val="24"/>
          <w:szCs w:val="24"/>
          <w:lang w:val="es-ES"/>
        </w:rPr>
        <w:t xml:space="preserve">. </w:t>
      </w:r>
      <w:r w:rsidR="002835DE" w:rsidRPr="00A872BE">
        <w:rPr>
          <w:sz w:val="24"/>
          <w:szCs w:val="24"/>
          <w:lang w:val="es-ES"/>
        </w:rPr>
        <w:t xml:space="preserve">A-G Bot 4 </w:t>
      </w:r>
      <w:proofErr w:type="spellStart"/>
      <w:r w:rsidR="002835DE" w:rsidRPr="00A872BE">
        <w:rPr>
          <w:sz w:val="24"/>
          <w:szCs w:val="24"/>
          <w:lang w:val="es-ES"/>
        </w:rPr>
        <w:t>juni</w:t>
      </w:r>
      <w:proofErr w:type="spellEnd"/>
      <w:r w:rsidR="002835DE" w:rsidRPr="00A872BE">
        <w:rPr>
          <w:sz w:val="24"/>
          <w:szCs w:val="24"/>
          <w:lang w:val="es-ES"/>
        </w:rPr>
        <w:t xml:space="preserve"> 2019, C‑609/17 en C‑610/17, ECLI:EU:C:2019:459 (</w:t>
      </w:r>
      <w:r w:rsidR="002835DE" w:rsidRPr="00A872BE">
        <w:rPr>
          <w:i/>
          <w:iCs/>
          <w:sz w:val="24"/>
          <w:szCs w:val="24"/>
          <w:lang w:val="es-ES"/>
        </w:rPr>
        <w:t>TSN en AKT</w:t>
      </w:r>
      <w:r w:rsidR="002835DE" w:rsidRPr="00A872BE">
        <w:rPr>
          <w:sz w:val="24"/>
          <w:szCs w:val="24"/>
          <w:lang w:val="es-ES"/>
        </w:rPr>
        <w:t>).</w:t>
      </w:r>
    </w:p>
    <w:p w14:paraId="29D5533B" w14:textId="77777777" w:rsidR="00B769ED" w:rsidRPr="00A872BE" w:rsidRDefault="00B769ED" w:rsidP="00FD0498">
      <w:pPr>
        <w:pStyle w:val="FootnoteText"/>
        <w:spacing w:line="259" w:lineRule="auto"/>
        <w:jc w:val="both"/>
        <w:rPr>
          <w:sz w:val="24"/>
          <w:szCs w:val="24"/>
          <w:lang w:val="es-ES"/>
        </w:rPr>
      </w:pPr>
    </w:p>
    <w:p w14:paraId="6985FAD4" w14:textId="5E1A6F5E" w:rsidR="00B769ED" w:rsidRPr="00A872BE" w:rsidRDefault="00B769ED" w:rsidP="00FD0498">
      <w:pPr>
        <w:pStyle w:val="FootnoteText"/>
        <w:spacing w:line="259" w:lineRule="auto"/>
        <w:jc w:val="both"/>
        <w:rPr>
          <w:sz w:val="24"/>
          <w:szCs w:val="24"/>
          <w:lang w:val="es-ES"/>
        </w:rPr>
      </w:pPr>
      <w:proofErr w:type="spellStart"/>
      <w:r w:rsidRPr="00A872BE">
        <w:rPr>
          <w:sz w:val="24"/>
          <w:szCs w:val="24"/>
          <w:lang w:val="es-ES"/>
        </w:rPr>
        <w:t>Concl</w:t>
      </w:r>
      <w:proofErr w:type="spellEnd"/>
      <w:r w:rsidRPr="00A872BE">
        <w:rPr>
          <w:sz w:val="24"/>
          <w:szCs w:val="24"/>
          <w:lang w:val="es-ES"/>
        </w:rPr>
        <w:t xml:space="preserve">. A-G </w:t>
      </w:r>
      <w:proofErr w:type="spellStart"/>
      <w:r w:rsidRPr="00A872BE">
        <w:rPr>
          <w:sz w:val="24"/>
          <w:szCs w:val="24"/>
          <w:lang w:val="es-ES"/>
        </w:rPr>
        <w:t>Pikmäe</w:t>
      </w:r>
      <w:proofErr w:type="spellEnd"/>
      <w:r w:rsidRPr="00A872BE">
        <w:rPr>
          <w:sz w:val="24"/>
          <w:szCs w:val="24"/>
          <w:lang w:val="es-ES"/>
        </w:rPr>
        <w:t xml:space="preserve"> 16 </w:t>
      </w:r>
      <w:proofErr w:type="spellStart"/>
      <w:r w:rsidRPr="00A872BE">
        <w:rPr>
          <w:sz w:val="24"/>
          <w:szCs w:val="24"/>
          <w:lang w:val="es-ES"/>
        </w:rPr>
        <w:t>maart</w:t>
      </w:r>
      <w:proofErr w:type="spellEnd"/>
      <w:r w:rsidRPr="00A872BE">
        <w:rPr>
          <w:sz w:val="24"/>
          <w:szCs w:val="24"/>
          <w:lang w:val="es-ES"/>
        </w:rPr>
        <w:t xml:space="preserve"> 2021, C-28/20, ECLI:EU:C:2021:203 (</w:t>
      </w:r>
      <w:proofErr w:type="spellStart"/>
      <w:r w:rsidRPr="00A872BE">
        <w:rPr>
          <w:i/>
          <w:iCs/>
          <w:sz w:val="24"/>
          <w:szCs w:val="24"/>
          <w:lang w:val="es-ES"/>
        </w:rPr>
        <w:t>Airhelp</w:t>
      </w:r>
      <w:proofErr w:type="spellEnd"/>
      <w:r w:rsidRPr="00A872BE">
        <w:rPr>
          <w:i/>
          <w:iCs/>
          <w:sz w:val="24"/>
          <w:szCs w:val="24"/>
          <w:lang w:val="es-ES"/>
        </w:rPr>
        <w:t>/SAS</w:t>
      </w:r>
      <w:r w:rsidRPr="00A872BE">
        <w:rPr>
          <w:sz w:val="24"/>
          <w:szCs w:val="24"/>
          <w:lang w:val="es-ES"/>
        </w:rPr>
        <w:t>).</w:t>
      </w:r>
    </w:p>
    <w:p w14:paraId="0A645CB8" w14:textId="77777777" w:rsidR="00E004ED" w:rsidRPr="00A872BE" w:rsidRDefault="00E004ED" w:rsidP="00FD0498">
      <w:pPr>
        <w:pStyle w:val="FootnoteText"/>
        <w:spacing w:line="259" w:lineRule="auto"/>
        <w:jc w:val="both"/>
        <w:rPr>
          <w:sz w:val="24"/>
          <w:szCs w:val="24"/>
          <w:lang w:val="es-ES"/>
        </w:rPr>
      </w:pPr>
    </w:p>
    <w:p w14:paraId="5B0A009A" w14:textId="06E60698" w:rsidR="00E004ED" w:rsidRPr="005F4C8E" w:rsidRDefault="00E004ED" w:rsidP="00FD0498">
      <w:pPr>
        <w:pStyle w:val="FootnoteText"/>
        <w:spacing w:line="259" w:lineRule="auto"/>
        <w:jc w:val="both"/>
        <w:rPr>
          <w:b/>
          <w:bCs/>
          <w:sz w:val="24"/>
          <w:szCs w:val="24"/>
        </w:rPr>
      </w:pPr>
      <w:r w:rsidRPr="005F4C8E">
        <w:rPr>
          <w:b/>
          <w:bCs/>
          <w:sz w:val="24"/>
          <w:szCs w:val="24"/>
        </w:rPr>
        <w:t xml:space="preserve">Europese Vrijhandelsassociatie </w:t>
      </w:r>
    </w:p>
    <w:p w14:paraId="7171CEDE" w14:textId="5DF20C2D" w:rsidR="00E004ED" w:rsidRPr="005F4C8E" w:rsidRDefault="00E004ED" w:rsidP="00FD0498">
      <w:pPr>
        <w:pStyle w:val="FootnoteText"/>
        <w:spacing w:line="259" w:lineRule="auto"/>
        <w:jc w:val="both"/>
        <w:rPr>
          <w:b/>
          <w:bCs/>
          <w:i/>
          <w:iCs/>
          <w:sz w:val="24"/>
          <w:szCs w:val="24"/>
        </w:rPr>
      </w:pPr>
      <w:r w:rsidRPr="005F4C8E">
        <w:rPr>
          <w:b/>
          <w:bCs/>
          <w:i/>
          <w:iCs/>
          <w:sz w:val="24"/>
          <w:szCs w:val="24"/>
        </w:rPr>
        <w:t>Hof van de Europese Vrijhandelsassociatie</w:t>
      </w:r>
    </w:p>
    <w:p w14:paraId="47CEBB55" w14:textId="06F530B1" w:rsidR="00E004ED" w:rsidRPr="005F4C8E" w:rsidRDefault="00E004ED" w:rsidP="00FD0498">
      <w:pPr>
        <w:pStyle w:val="FootnoteText"/>
        <w:spacing w:line="259" w:lineRule="auto"/>
        <w:jc w:val="both"/>
        <w:rPr>
          <w:sz w:val="24"/>
          <w:szCs w:val="24"/>
        </w:rPr>
      </w:pPr>
      <w:r w:rsidRPr="005F4C8E">
        <w:rPr>
          <w:sz w:val="24"/>
          <w:szCs w:val="24"/>
        </w:rPr>
        <w:t>EVA-Hof 19 april 2016, E-14/15 (</w:t>
      </w:r>
      <w:proofErr w:type="spellStart"/>
      <w:r w:rsidRPr="005F4C8E">
        <w:rPr>
          <w:i/>
          <w:iCs/>
          <w:sz w:val="24"/>
          <w:szCs w:val="24"/>
        </w:rPr>
        <w:t>Holship</w:t>
      </w:r>
      <w:proofErr w:type="spellEnd"/>
      <w:r w:rsidRPr="005F4C8E">
        <w:rPr>
          <w:sz w:val="24"/>
          <w:szCs w:val="24"/>
        </w:rPr>
        <w:t>).</w:t>
      </w:r>
    </w:p>
    <w:p w14:paraId="137B2953" w14:textId="77777777" w:rsidR="00030EF2" w:rsidRPr="00670E6B" w:rsidRDefault="00030EF2" w:rsidP="00FD0498">
      <w:pPr>
        <w:pStyle w:val="FootnoteText"/>
        <w:spacing w:line="259" w:lineRule="auto"/>
        <w:jc w:val="both"/>
        <w:rPr>
          <w:rStyle w:val="FootnoteReference"/>
          <w:sz w:val="24"/>
          <w:szCs w:val="24"/>
          <w:vertAlign w:val="baseline"/>
        </w:rPr>
      </w:pPr>
    </w:p>
    <w:p w14:paraId="4E427AD7" w14:textId="0933E018" w:rsidR="00030EF2" w:rsidRPr="005F4C8E" w:rsidRDefault="00C539CA" w:rsidP="00030EF2">
      <w:pPr>
        <w:spacing w:after="0"/>
        <w:jc w:val="both"/>
        <w:rPr>
          <w:b/>
          <w:bCs/>
          <w:sz w:val="24"/>
          <w:szCs w:val="24"/>
        </w:rPr>
      </w:pPr>
      <w:r w:rsidRPr="005F4C8E">
        <w:rPr>
          <w:b/>
          <w:bCs/>
          <w:sz w:val="24"/>
          <w:szCs w:val="24"/>
        </w:rPr>
        <w:t>Raad van Europa</w:t>
      </w:r>
    </w:p>
    <w:p w14:paraId="01432D43" w14:textId="464D28B8" w:rsidR="00C539CA" w:rsidRPr="005F4C8E" w:rsidRDefault="00C539CA" w:rsidP="00FD0498">
      <w:pPr>
        <w:pStyle w:val="FootnoteText"/>
        <w:spacing w:line="259" w:lineRule="auto"/>
        <w:jc w:val="both"/>
        <w:rPr>
          <w:b/>
          <w:bCs/>
          <w:i/>
          <w:iCs/>
          <w:sz w:val="24"/>
          <w:szCs w:val="24"/>
        </w:rPr>
      </w:pPr>
      <w:r w:rsidRPr="005F4C8E">
        <w:rPr>
          <w:b/>
          <w:bCs/>
          <w:i/>
          <w:iCs/>
          <w:sz w:val="24"/>
          <w:szCs w:val="24"/>
        </w:rPr>
        <w:t>Europees Hof voor de Rechten van de Mens</w:t>
      </w:r>
    </w:p>
    <w:p w14:paraId="15B9CFA5" w14:textId="1EE3FE58" w:rsidR="00905080" w:rsidRPr="007A3688" w:rsidRDefault="00905080" w:rsidP="00FD0498">
      <w:pPr>
        <w:pStyle w:val="FootnoteText"/>
        <w:spacing w:line="259" w:lineRule="auto"/>
        <w:jc w:val="both"/>
        <w:rPr>
          <w:sz w:val="24"/>
          <w:szCs w:val="24"/>
          <w:lang w:val="de-DE"/>
        </w:rPr>
      </w:pPr>
      <w:r w:rsidRPr="007A3688">
        <w:rPr>
          <w:sz w:val="24"/>
          <w:szCs w:val="24"/>
          <w:lang w:val="de-DE"/>
        </w:rPr>
        <w:t xml:space="preserve">EHRM 6 </w:t>
      </w:r>
      <w:proofErr w:type="spellStart"/>
      <w:r w:rsidRPr="007A3688">
        <w:rPr>
          <w:sz w:val="24"/>
          <w:szCs w:val="24"/>
          <w:lang w:val="de-DE"/>
        </w:rPr>
        <w:t>februari</w:t>
      </w:r>
      <w:proofErr w:type="spellEnd"/>
      <w:r w:rsidRPr="007A3688">
        <w:rPr>
          <w:sz w:val="24"/>
          <w:szCs w:val="24"/>
          <w:lang w:val="de-DE"/>
        </w:rPr>
        <w:t xml:space="preserve"> 1976, 5589/72, ECLI:CE:ECHR:1976:0206JUD000558972 (</w:t>
      </w:r>
      <w:r w:rsidRPr="007A3688">
        <w:rPr>
          <w:i/>
          <w:iCs/>
          <w:sz w:val="24"/>
          <w:szCs w:val="24"/>
          <w:lang w:val="de-DE"/>
        </w:rPr>
        <w:t>Schmidt en Dahlström</w:t>
      </w:r>
      <w:r w:rsidR="00FD0498" w:rsidRPr="007A3688">
        <w:rPr>
          <w:i/>
          <w:iCs/>
          <w:sz w:val="24"/>
          <w:szCs w:val="24"/>
          <w:lang w:val="de-DE"/>
        </w:rPr>
        <w:t>/</w:t>
      </w:r>
      <w:proofErr w:type="spellStart"/>
      <w:r w:rsidR="00FD0498" w:rsidRPr="007A3688">
        <w:rPr>
          <w:i/>
          <w:iCs/>
          <w:sz w:val="24"/>
          <w:szCs w:val="24"/>
          <w:lang w:val="de-DE"/>
        </w:rPr>
        <w:t>Zweden</w:t>
      </w:r>
      <w:proofErr w:type="spellEnd"/>
      <w:r w:rsidRPr="007A3688">
        <w:rPr>
          <w:sz w:val="24"/>
          <w:szCs w:val="24"/>
          <w:lang w:val="de-DE"/>
        </w:rPr>
        <w:t>).</w:t>
      </w:r>
    </w:p>
    <w:p w14:paraId="368558EB" w14:textId="77777777" w:rsidR="00905080" w:rsidRPr="007A3688" w:rsidRDefault="00905080" w:rsidP="00030EF2">
      <w:pPr>
        <w:pStyle w:val="FootnoteText"/>
        <w:jc w:val="both"/>
        <w:rPr>
          <w:sz w:val="24"/>
          <w:szCs w:val="24"/>
          <w:lang w:val="de-DE"/>
        </w:rPr>
      </w:pPr>
    </w:p>
    <w:p w14:paraId="61F0A8C4" w14:textId="145FB3E7" w:rsidR="00D81E28" w:rsidRPr="007A3688" w:rsidRDefault="00D81E28" w:rsidP="00FD0498">
      <w:pPr>
        <w:pStyle w:val="FootnoteText"/>
        <w:spacing w:line="259" w:lineRule="auto"/>
        <w:jc w:val="both"/>
        <w:rPr>
          <w:sz w:val="24"/>
          <w:szCs w:val="24"/>
          <w:lang w:val="de-DE"/>
        </w:rPr>
      </w:pPr>
      <w:r w:rsidRPr="007A3688">
        <w:rPr>
          <w:sz w:val="24"/>
          <w:szCs w:val="24"/>
          <w:lang w:val="de-DE"/>
        </w:rPr>
        <w:lastRenderedPageBreak/>
        <w:t xml:space="preserve">EHRM 25 </w:t>
      </w:r>
      <w:proofErr w:type="spellStart"/>
      <w:r w:rsidRPr="007A3688">
        <w:rPr>
          <w:sz w:val="24"/>
          <w:szCs w:val="24"/>
          <w:lang w:val="de-DE"/>
        </w:rPr>
        <w:t>april</w:t>
      </w:r>
      <w:proofErr w:type="spellEnd"/>
      <w:r w:rsidRPr="007A3688">
        <w:rPr>
          <w:sz w:val="24"/>
          <w:szCs w:val="24"/>
          <w:lang w:val="de-DE"/>
        </w:rPr>
        <w:t xml:space="preserve"> 1996, C-15573/89, ECLI:CE:ECHR:1998:0730JUD001557389 (</w:t>
      </w:r>
      <w:r w:rsidRPr="007A3688">
        <w:rPr>
          <w:i/>
          <w:iCs/>
          <w:sz w:val="24"/>
          <w:szCs w:val="24"/>
          <w:lang w:val="de-DE"/>
        </w:rPr>
        <w:t>Gustafsson/</w:t>
      </w:r>
      <w:proofErr w:type="spellStart"/>
      <w:r w:rsidRPr="007A3688">
        <w:rPr>
          <w:i/>
          <w:iCs/>
          <w:sz w:val="24"/>
          <w:szCs w:val="24"/>
          <w:lang w:val="de-DE"/>
        </w:rPr>
        <w:t>Zweden</w:t>
      </w:r>
      <w:proofErr w:type="spellEnd"/>
      <w:r w:rsidRPr="007A3688">
        <w:rPr>
          <w:sz w:val="24"/>
          <w:szCs w:val="24"/>
          <w:lang w:val="de-DE"/>
        </w:rPr>
        <w:t>).</w:t>
      </w:r>
    </w:p>
    <w:p w14:paraId="257D0AD2" w14:textId="77777777" w:rsidR="00171C32" w:rsidRPr="007A3688" w:rsidRDefault="00171C32" w:rsidP="00FD0498">
      <w:pPr>
        <w:pStyle w:val="FootnoteText"/>
        <w:spacing w:line="259" w:lineRule="auto"/>
        <w:jc w:val="both"/>
        <w:rPr>
          <w:sz w:val="24"/>
          <w:szCs w:val="24"/>
          <w:lang w:val="de-DE"/>
        </w:rPr>
      </w:pPr>
    </w:p>
    <w:p w14:paraId="3F3A9D76" w14:textId="0A98EC80" w:rsidR="00171C32" w:rsidRPr="001D36AC" w:rsidRDefault="00171C32" w:rsidP="00FD0498">
      <w:pPr>
        <w:pStyle w:val="FootnoteText"/>
        <w:spacing w:line="259" w:lineRule="auto"/>
        <w:jc w:val="both"/>
        <w:rPr>
          <w:sz w:val="24"/>
          <w:szCs w:val="24"/>
        </w:rPr>
      </w:pPr>
      <w:r w:rsidRPr="001D36AC">
        <w:rPr>
          <w:sz w:val="24"/>
          <w:szCs w:val="24"/>
        </w:rPr>
        <w:t>EHRM 10 januari 2002, 53574/99, ECLI:CE:ECHR:2002:0110DEC005357499 (</w:t>
      </w:r>
      <w:proofErr w:type="spellStart"/>
      <w:r w:rsidRPr="001D36AC">
        <w:rPr>
          <w:i/>
          <w:iCs/>
          <w:sz w:val="24"/>
          <w:szCs w:val="24"/>
        </w:rPr>
        <w:t>Unison</w:t>
      </w:r>
      <w:proofErr w:type="spellEnd"/>
      <w:r w:rsidR="00FD0498" w:rsidRPr="001D36AC">
        <w:rPr>
          <w:i/>
          <w:iCs/>
          <w:sz w:val="24"/>
          <w:szCs w:val="24"/>
        </w:rPr>
        <w:t>/Verenigd Koninkrijk</w:t>
      </w:r>
      <w:r w:rsidRPr="001D36AC">
        <w:rPr>
          <w:sz w:val="24"/>
          <w:szCs w:val="24"/>
        </w:rPr>
        <w:t>).</w:t>
      </w:r>
    </w:p>
    <w:p w14:paraId="5481C631" w14:textId="77777777" w:rsidR="00E004ED" w:rsidRPr="001D36AC" w:rsidRDefault="00E004ED" w:rsidP="00FD0498">
      <w:pPr>
        <w:pStyle w:val="FootnoteText"/>
        <w:spacing w:line="259" w:lineRule="auto"/>
        <w:jc w:val="both"/>
        <w:rPr>
          <w:sz w:val="24"/>
          <w:szCs w:val="24"/>
        </w:rPr>
      </w:pPr>
    </w:p>
    <w:p w14:paraId="549FBF11" w14:textId="78ED23FC" w:rsidR="00E004ED" w:rsidRPr="001D36AC" w:rsidRDefault="00E004ED" w:rsidP="00FD0498">
      <w:pPr>
        <w:pStyle w:val="FootnoteText"/>
        <w:spacing w:line="259" w:lineRule="auto"/>
        <w:jc w:val="both"/>
        <w:rPr>
          <w:sz w:val="24"/>
          <w:szCs w:val="24"/>
        </w:rPr>
      </w:pPr>
      <w:r w:rsidRPr="001D36AC">
        <w:rPr>
          <w:sz w:val="24"/>
          <w:szCs w:val="24"/>
        </w:rPr>
        <w:t>EHRM 30 juni 2005, nr. 45036/98, ECLI:CE:ECHR:2005:0630JUD004503698 (</w:t>
      </w:r>
      <w:r w:rsidRPr="001D36AC">
        <w:rPr>
          <w:i/>
          <w:iCs/>
          <w:sz w:val="24"/>
          <w:szCs w:val="24"/>
        </w:rPr>
        <w:t>Bosphorus</w:t>
      </w:r>
      <w:r w:rsidR="00FD0498" w:rsidRPr="001D36AC">
        <w:rPr>
          <w:i/>
          <w:iCs/>
          <w:sz w:val="24"/>
          <w:szCs w:val="24"/>
        </w:rPr>
        <w:t>/Ierland</w:t>
      </w:r>
      <w:r w:rsidRPr="001D36AC">
        <w:rPr>
          <w:sz w:val="24"/>
          <w:szCs w:val="24"/>
        </w:rPr>
        <w:t>).</w:t>
      </w:r>
    </w:p>
    <w:p w14:paraId="3E5F97D9" w14:textId="77777777" w:rsidR="00326734" w:rsidRPr="001D36AC" w:rsidRDefault="00326734" w:rsidP="00FD0498">
      <w:pPr>
        <w:pStyle w:val="FootnoteText"/>
        <w:spacing w:line="259" w:lineRule="auto"/>
        <w:jc w:val="both"/>
        <w:rPr>
          <w:sz w:val="24"/>
          <w:szCs w:val="24"/>
        </w:rPr>
      </w:pPr>
    </w:p>
    <w:p w14:paraId="6BBC660A" w14:textId="08786194" w:rsidR="00326734" w:rsidRPr="001D36AC" w:rsidRDefault="00326734" w:rsidP="00FD0498">
      <w:pPr>
        <w:pStyle w:val="FootnoteText"/>
        <w:spacing w:line="259" w:lineRule="auto"/>
        <w:jc w:val="both"/>
        <w:rPr>
          <w:sz w:val="24"/>
          <w:szCs w:val="24"/>
        </w:rPr>
      </w:pPr>
      <w:r w:rsidRPr="001D36AC">
        <w:rPr>
          <w:sz w:val="24"/>
          <w:szCs w:val="24"/>
        </w:rPr>
        <w:t>EHRM 12 november 2008, 34503/97, ECLI:CE:ECHR:2008:1112JUD003450397 (</w:t>
      </w:r>
      <w:r w:rsidRPr="001D36AC">
        <w:rPr>
          <w:i/>
          <w:iCs/>
          <w:sz w:val="24"/>
          <w:szCs w:val="24"/>
        </w:rPr>
        <w:t xml:space="preserve">Demir en </w:t>
      </w:r>
      <w:proofErr w:type="spellStart"/>
      <w:r w:rsidRPr="001D36AC">
        <w:rPr>
          <w:i/>
          <w:iCs/>
          <w:sz w:val="24"/>
          <w:szCs w:val="24"/>
        </w:rPr>
        <w:t>Baykara</w:t>
      </w:r>
      <w:proofErr w:type="spellEnd"/>
      <w:r w:rsidR="004C0A71" w:rsidRPr="001D36AC">
        <w:rPr>
          <w:i/>
          <w:iCs/>
          <w:sz w:val="24"/>
          <w:szCs w:val="24"/>
        </w:rPr>
        <w:t xml:space="preserve"> II</w:t>
      </w:r>
      <w:r w:rsidRPr="001D36AC">
        <w:rPr>
          <w:i/>
          <w:iCs/>
          <w:sz w:val="24"/>
          <w:szCs w:val="24"/>
        </w:rPr>
        <w:t>/Turkije</w:t>
      </w:r>
      <w:r w:rsidRPr="001D36AC">
        <w:rPr>
          <w:sz w:val="24"/>
          <w:szCs w:val="24"/>
        </w:rPr>
        <w:t>).</w:t>
      </w:r>
    </w:p>
    <w:p w14:paraId="7F955AA2" w14:textId="77777777" w:rsidR="00150D53" w:rsidRPr="001D36AC" w:rsidRDefault="00150D53" w:rsidP="00FD0498">
      <w:pPr>
        <w:pStyle w:val="FootnoteText"/>
        <w:spacing w:line="259" w:lineRule="auto"/>
        <w:jc w:val="both"/>
        <w:rPr>
          <w:sz w:val="24"/>
          <w:szCs w:val="24"/>
        </w:rPr>
      </w:pPr>
    </w:p>
    <w:p w14:paraId="171B515A" w14:textId="7C630598" w:rsidR="00150D53" w:rsidRPr="001D36AC" w:rsidRDefault="00150D53" w:rsidP="00FD0498">
      <w:pPr>
        <w:pStyle w:val="FootnoteText"/>
        <w:spacing w:line="259" w:lineRule="auto"/>
        <w:jc w:val="both"/>
        <w:rPr>
          <w:sz w:val="24"/>
          <w:szCs w:val="24"/>
        </w:rPr>
      </w:pPr>
      <w:r w:rsidRPr="001D36AC">
        <w:rPr>
          <w:sz w:val="24"/>
          <w:szCs w:val="24"/>
        </w:rPr>
        <w:t>EHRM 16 december 2008, 23883/06, ECLI:NL:XX:2008:BH1809 (</w:t>
      </w:r>
      <w:proofErr w:type="spellStart"/>
      <w:r w:rsidRPr="001D36AC">
        <w:rPr>
          <w:i/>
          <w:iCs/>
          <w:sz w:val="24"/>
          <w:szCs w:val="24"/>
        </w:rPr>
        <w:t>Khurshid</w:t>
      </w:r>
      <w:proofErr w:type="spellEnd"/>
      <w:r w:rsidR="00FD0498" w:rsidRPr="001D36AC">
        <w:rPr>
          <w:i/>
          <w:iCs/>
          <w:sz w:val="24"/>
          <w:szCs w:val="24"/>
        </w:rPr>
        <w:t>/Zweden</w:t>
      </w:r>
      <w:r w:rsidRPr="001D36AC">
        <w:rPr>
          <w:sz w:val="24"/>
          <w:szCs w:val="24"/>
        </w:rPr>
        <w:t>).</w:t>
      </w:r>
    </w:p>
    <w:p w14:paraId="2B550C73" w14:textId="77777777" w:rsidR="00D81E28" w:rsidRPr="001D36AC" w:rsidRDefault="00D81E28" w:rsidP="00FD0498">
      <w:pPr>
        <w:pStyle w:val="FootnoteText"/>
        <w:spacing w:line="259" w:lineRule="auto"/>
        <w:jc w:val="both"/>
        <w:rPr>
          <w:sz w:val="24"/>
          <w:szCs w:val="24"/>
        </w:rPr>
      </w:pPr>
    </w:p>
    <w:p w14:paraId="4CE4D63C" w14:textId="2712387C" w:rsidR="00D05E62" w:rsidRPr="001D36AC" w:rsidRDefault="00030EF2" w:rsidP="00FD0498">
      <w:pPr>
        <w:pStyle w:val="FootnoteText"/>
        <w:spacing w:line="259" w:lineRule="auto"/>
        <w:jc w:val="both"/>
        <w:rPr>
          <w:sz w:val="24"/>
          <w:szCs w:val="24"/>
        </w:rPr>
      </w:pPr>
      <w:r w:rsidRPr="001D36AC">
        <w:rPr>
          <w:sz w:val="24"/>
          <w:szCs w:val="24"/>
        </w:rPr>
        <w:t>EHRM 21 april 2009, 68959/01, ECLI:ECHR:2009:0421JUD006895901 (</w:t>
      </w:r>
      <w:proofErr w:type="spellStart"/>
      <w:r w:rsidRPr="001D36AC">
        <w:rPr>
          <w:i/>
          <w:iCs/>
          <w:sz w:val="24"/>
          <w:szCs w:val="24"/>
        </w:rPr>
        <w:t>Enerji</w:t>
      </w:r>
      <w:proofErr w:type="spellEnd"/>
      <w:r w:rsidRPr="001D36AC">
        <w:rPr>
          <w:i/>
          <w:iCs/>
          <w:sz w:val="24"/>
          <w:szCs w:val="24"/>
        </w:rPr>
        <w:t xml:space="preserve"> </w:t>
      </w:r>
      <w:proofErr w:type="spellStart"/>
      <w:r w:rsidRPr="001D36AC">
        <w:rPr>
          <w:i/>
          <w:iCs/>
          <w:sz w:val="24"/>
          <w:szCs w:val="24"/>
        </w:rPr>
        <w:t>Yapi</w:t>
      </w:r>
      <w:r w:rsidR="004C7EFC" w:rsidRPr="001D36AC">
        <w:rPr>
          <w:i/>
          <w:iCs/>
          <w:sz w:val="24"/>
          <w:szCs w:val="24"/>
        </w:rPr>
        <w:t>-</w:t>
      </w:r>
      <w:r w:rsidRPr="001D36AC">
        <w:rPr>
          <w:i/>
          <w:iCs/>
          <w:sz w:val="24"/>
          <w:szCs w:val="24"/>
        </w:rPr>
        <w:t>Yol</w:t>
      </w:r>
      <w:proofErr w:type="spellEnd"/>
      <w:r w:rsidRPr="001D36AC">
        <w:rPr>
          <w:i/>
          <w:iCs/>
          <w:sz w:val="24"/>
          <w:szCs w:val="24"/>
        </w:rPr>
        <w:t xml:space="preserve"> Sen/Turkije</w:t>
      </w:r>
      <w:r w:rsidRPr="001D36AC">
        <w:rPr>
          <w:sz w:val="24"/>
          <w:szCs w:val="24"/>
        </w:rPr>
        <w:t xml:space="preserve">). </w:t>
      </w:r>
    </w:p>
    <w:p w14:paraId="205EF8C1" w14:textId="77777777" w:rsidR="008C282C" w:rsidRPr="001D36AC" w:rsidRDefault="008C282C" w:rsidP="00FD0498">
      <w:pPr>
        <w:pStyle w:val="FootnoteText"/>
        <w:spacing w:line="259" w:lineRule="auto"/>
        <w:jc w:val="both"/>
        <w:rPr>
          <w:sz w:val="24"/>
          <w:szCs w:val="24"/>
        </w:rPr>
      </w:pPr>
    </w:p>
    <w:p w14:paraId="39452DD8" w14:textId="4907EB06" w:rsidR="008C282C" w:rsidRPr="001D36AC" w:rsidRDefault="008C282C" w:rsidP="00FD0498">
      <w:pPr>
        <w:pStyle w:val="FootnoteText"/>
        <w:spacing w:line="259" w:lineRule="auto"/>
        <w:jc w:val="both"/>
        <w:rPr>
          <w:sz w:val="24"/>
          <w:szCs w:val="24"/>
        </w:rPr>
      </w:pPr>
      <w:r w:rsidRPr="001D36AC">
        <w:rPr>
          <w:sz w:val="24"/>
          <w:szCs w:val="24"/>
        </w:rPr>
        <w:t>EHRM 27 april 2010, 7/08, ECLI:CE:ECHR:2010:0427JUD000000708 (</w:t>
      </w:r>
      <w:proofErr w:type="spellStart"/>
      <w:r w:rsidRPr="001D36AC">
        <w:rPr>
          <w:i/>
          <w:iCs/>
          <w:sz w:val="24"/>
          <w:szCs w:val="24"/>
        </w:rPr>
        <w:t>Tănase</w:t>
      </w:r>
      <w:proofErr w:type="spellEnd"/>
      <w:r w:rsidRPr="001D36AC">
        <w:rPr>
          <w:i/>
          <w:iCs/>
          <w:sz w:val="24"/>
          <w:szCs w:val="24"/>
        </w:rPr>
        <w:t>/Moldavië</w:t>
      </w:r>
      <w:r w:rsidRPr="001D36AC">
        <w:rPr>
          <w:sz w:val="24"/>
          <w:szCs w:val="24"/>
        </w:rPr>
        <w:t>).</w:t>
      </w:r>
    </w:p>
    <w:p w14:paraId="7333741A" w14:textId="77777777" w:rsidR="00030EF2" w:rsidRPr="001D36AC" w:rsidRDefault="00030EF2" w:rsidP="00FD0498">
      <w:pPr>
        <w:pStyle w:val="FootnoteText"/>
        <w:spacing w:line="259" w:lineRule="auto"/>
        <w:jc w:val="both"/>
        <w:rPr>
          <w:sz w:val="24"/>
          <w:szCs w:val="24"/>
        </w:rPr>
      </w:pPr>
    </w:p>
    <w:p w14:paraId="6A0CA831" w14:textId="251AF83E" w:rsidR="00030EF2" w:rsidRPr="001D36AC" w:rsidRDefault="00030EF2" w:rsidP="00FD0498">
      <w:pPr>
        <w:pStyle w:val="FootnoteText"/>
        <w:spacing w:line="259" w:lineRule="auto"/>
        <w:jc w:val="both"/>
        <w:rPr>
          <w:sz w:val="24"/>
          <w:szCs w:val="24"/>
        </w:rPr>
      </w:pPr>
      <w:r w:rsidRPr="001D36AC">
        <w:rPr>
          <w:sz w:val="24"/>
          <w:szCs w:val="24"/>
        </w:rPr>
        <w:t>EHRM 8 april 2014, 31045/10, ECLI:CE:ECHR:2014:0408JUD003104510 (</w:t>
      </w:r>
      <w:r w:rsidRPr="001D36AC">
        <w:rPr>
          <w:i/>
          <w:iCs/>
          <w:sz w:val="24"/>
          <w:szCs w:val="24"/>
        </w:rPr>
        <w:t>RMT</w:t>
      </w:r>
      <w:r w:rsidR="00FD0498" w:rsidRPr="001D36AC">
        <w:rPr>
          <w:i/>
          <w:iCs/>
          <w:sz w:val="24"/>
          <w:szCs w:val="24"/>
        </w:rPr>
        <w:t>/Verenigd Koninkrijk</w:t>
      </w:r>
      <w:r w:rsidRPr="001D36AC">
        <w:rPr>
          <w:sz w:val="24"/>
          <w:szCs w:val="24"/>
        </w:rPr>
        <w:t xml:space="preserve">). </w:t>
      </w:r>
    </w:p>
    <w:p w14:paraId="31D7B878" w14:textId="77777777" w:rsidR="009B45C3" w:rsidRPr="001D36AC" w:rsidRDefault="009B45C3" w:rsidP="00FD0498">
      <w:pPr>
        <w:pStyle w:val="FootnoteText"/>
        <w:spacing w:line="259" w:lineRule="auto"/>
        <w:jc w:val="both"/>
        <w:rPr>
          <w:sz w:val="24"/>
          <w:szCs w:val="24"/>
        </w:rPr>
      </w:pPr>
    </w:p>
    <w:p w14:paraId="3188E226" w14:textId="1E81A960" w:rsidR="009B45C3" w:rsidRPr="001D36AC" w:rsidRDefault="009B45C3" w:rsidP="00FD0498">
      <w:pPr>
        <w:pStyle w:val="FootnoteText"/>
        <w:spacing w:line="259" w:lineRule="auto"/>
        <w:jc w:val="both"/>
        <w:rPr>
          <w:sz w:val="24"/>
          <w:szCs w:val="24"/>
        </w:rPr>
      </w:pPr>
      <w:r w:rsidRPr="001D36AC">
        <w:rPr>
          <w:sz w:val="24"/>
          <w:szCs w:val="24"/>
        </w:rPr>
        <w:t>EHRM 27 november 2014, 36701/09, ECLI:CE:ECHR:2014:1127JUD003670109 (</w:t>
      </w:r>
      <w:proofErr w:type="spellStart"/>
      <w:r w:rsidRPr="001D36AC">
        <w:rPr>
          <w:i/>
          <w:iCs/>
          <w:sz w:val="24"/>
          <w:szCs w:val="24"/>
        </w:rPr>
        <w:t>Hrvatski</w:t>
      </w:r>
      <w:proofErr w:type="spellEnd"/>
      <w:r w:rsidRPr="001D36AC">
        <w:rPr>
          <w:i/>
          <w:iCs/>
          <w:sz w:val="24"/>
          <w:szCs w:val="24"/>
        </w:rPr>
        <w:t>/Kroatië</w:t>
      </w:r>
      <w:r w:rsidRPr="001D36AC">
        <w:rPr>
          <w:sz w:val="24"/>
          <w:szCs w:val="24"/>
        </w:rPr>
        <w:t>).</w:t>
      </w:r>
    </w:p>
    <w:p w14:paraId="096E3555" w14:textId="77777777" w:rsidR="00030EF2" w:rsidRPr="001D36AC" w:rsidRDefault="00030EF2" w:rsidP="00030EF2">
      <w:pPr>
        <w:pStyle w:val="FootnoteText"/>
        <w:jc w:val="both"/>
        <w:rPr>
          <w:sz w:val="24"/>
          <w:szCs w:val="24"/>
        </w:rPr>
      </w:pPr>
    </w:p>
    <w:p w14:paraId="6D18236E" w14:textId="7C1F24F8" w:rsidR="00030EF2" w:rsidRPr="001D36AC" w:rsidRDefault="00030EF2" w:rsidP="00FD0498">
      <w:pPr>
        <w:pStyle w:val="FootnoteText"/>
        <w:spacing w:line="259" w:lineRule="auto"/>
        <w:jc w:val="both"/>
        <w:rPr>
          <w:sz w:val="24"/>
          <w:szCs w:val="24"/>
        </w:rPr>
      </w:pPr>
      <w:r w:rsidRPr="001D36AC">
        <w:rPr>
          <w:sz w:val="24"/>
          <w:szCs w:val="24"/>
        </w:rPr>
        <w:t>EHRM 10 juni 2021</w:t>
      </w:r>
      <w:r w:rsidR="008A7677" w:rsidRPr="001D36AC">
        <w:rPr>
          <w:sz w:val="24"/>
          <w:szCs w:val="24"/>
        </w:rPr>
        <w:t xml:space="preserve">, </w:t>
      </w:r>
      <w:r w:rsidRPr="001D36AC">
        <w:rPr>
          <w:sz w:val="24"/>
          <w:szCs w:val="24"/>
        </w:rPr>
        <w:t>45487/17, ECLI:CE:ECHR:2021:0610JUD004548717 (</w:t>
      </w:r>
      <w:r w:rsidR="00FD0498" w:rsidRPr="001D36AC">
        <w:rPr>
          <w:i/>
          <w:iCs/>
          <w:sz w:val="24"/>
          <w:szCs w:val="24"/>
        </w:rPr>
        <w:t>LO en NTF/Noorwegen</w:t>
      </w:r>
      <w:r w:rsidR="00FD0498" w:rsidRPr="001D36AC">
        <w:rPr>
          <w:sz w:val="24"/>
          <w:szCs w:val="24"/>
        </w:rPr>
        <w:t>) (</w:t>
      </w:r>
      <w:proofErr w:type="spellStart"/>
      <w:r w:rsidR="00704DA8" w:rsidRPr="001D36AC">
        <w:rPr>
          <w:i/>
          <w:iCs/>
          <w:sz w:val="24"/>
          <w:szCs w:val="24"/>
        </w:rPr>
        <w:t>Holship</w:t>
      </w:r>
      <w:proofErr w:type="spellEnd"/>
      <w:r w:rsidRPr="001D36AC">
        <w:rPr>
          <w:sz w:val="24"/>
          <w:szCs w:val="24"/>
        </w:rPr>
        <w:t>).</w:t>
      </w:r>
    </w:p>
    <w:p w14:paraId="50EE00B9" w14:textId="77777777" w:rsidR="00030EF2" w:rsidRPr="001D36AC" w:rsidRDefault="00030EF2" w:rsidP="00FD0498">
      <w:pPr>
        <w:pStyle w:val="FootnoteText"/>
        <w:spacing w:line="259" w:lineRule="auto"/>
        <w:jc w:val="both"/>
        <w:rPr>
          <w:sz w:val="24"/>
          <w:szCs w:val="24"/>
        </w:rPr>
      </w:pPr>
    </w:p>
    <w:p w14:paraId="56F26D9B" w14:textId="5F616F07" w:rsidR="00030EF2" w:rsidRPr="001D36AC" w:rsidRDefault="00030EF2" w:rsidP="00FD0498">
      <w:pPr>
        <w:pStyle w:val="FootnoteText"/>
        <w:spacing w:line="259" w:lineRule="auto"/>
        <w:jc w:val="both"/>
        <w:rPr>
          <w:sz w:val="24"/>
          <w:szCs w:val="24"/>
        </w:rPr>
      </w:pPr>
      <w:r w:rsidRPr="001D36AC">
        <w:rPr>
          <w:sz w:val="24"/>
          <w:szCs w:val="24"/>
        </w:rPr>
        <w:t>EHRM 14 december 2022, 66828/16, ECLI:CE:ECHR:2021:1214DEC006682816 (</w:t>
      </w:r>
      <w:proofErr w:type="spellStart"/>
      <w:r w:rsidRPr="001D36AC">
        <w:rPr>
          <w:i/>
          <w:iCs/>
          <w:sz w:val="24"/>
          <w:szCs w:val="24"/>
        </w:rPr>
        <w:t>Bariş</w:t>
      </w:r>
      <w:proofErr w:type="spellEnd"/>
      <w:r w:rsidRPr="001D36AC">
        <w:rPr>
          <w:i/>
          <w:iCs/>
          <w:sz w:val="24"/>
          <w:szCs w:val="24"/>
        </w:rPr>
        <w:t>/Turkije</w:t>
      </w:r>
      <w:r w:rsidRPr="001D36AC">
        <w:rPr>
          <w:sz w:val="24"/>
          <w:szCs w:val="24"/>
        </w:rPr>
        <w:t>).</w:t>
      </w:r>
    </w:p>
    <w:p w14:paraId="74192C2D" w14:textId="77777777" w:rsidR="00F2266A" w:rsidRPr="001D36AC" w:rsidRDefault="00F2266A" w:rsidP="00FD0498">
      <w:pPr>
        <w:pStyle w:val="FootnoteText"/>
        <w:spacing w:line="259" w:lineRule="auto"/>
        <w:jc w:val="both"/>
        <w:rPr>
          <w:sz w:val="24"/>
          <w:szCs w:val="24"/>
        </w:rPr>
      </w:pPr>
    </w:p>
    <w:p w14:paraId="70EF82E6" w14:textId="44FD838A" w:rsidR="00F2266A" w:rsidRPr="001D36AC" w:rsidRDefault="00F2266A" w:rsidP="00FD0498">
      <w:pPr>
        <w:pStyle w:val="FootnoteText"/>
        <w:spacing w:line="259" w:lineRule="auto"/>
        <w:jc w:val="both"/>
        <w:rPr>
          <w:sz w:val="24"/>
          <w:szCs w:val="24"/>
        </w:rPr>
      </w:pPr>
      <w:r w:rsidRPr="001D36AC">
        <w:rPr>
          <w:sz w:val="24"/>
          <w:szCs w:val="24"/>
        </w:rPr>
        <w:t>EHRM 14 december 2023, 59433/18, 59477/18, 59481/18 en 59494/18, ECLI:CE:ECHR:2023:1214JUD005943318 (</w:t>
      </w:r>
      <w:r w:rsidRPr="001D36AC">
        <w:rPr>
          <w:i/>
          <w:iCs/>
          <w:sz w:val="24"/>
          <w:szCs w:val="24"/>
        </w:rPr>
        <w:t>Humpert/Duitsland</w:t>
      </w:r>
      <w:r w:rsidRPr="001D36AC">
        <w:rPr>
          <w:sz w:val="24"/>
          <w:szCs w:val="24"/>
        </w:rPr>
        <w:t>).</w:t>
      </w:r>
    </w:p>
    <w:p w14:paraId="0ED3AAFB" w14:textId="77777777" w:rsidR="00030EF2" w:rsidRPr="00121A6A" w:rsidRDefault="00030EF2" w:rsidP="00FD0498">
      <w:pPr>
        <w:pStyle w:val="FootnoteText"/>
        <w:spacing w:line="259" w:lineRule="auto"/>
        <w:jc w:val="both"/>
        <w:rPr>
          <w:b/>
          <w:bCs/>
          <w:sz w:val="24"/>
          <w:szCs w:val="24"/>
        </w:rPr>
      </w:pPr>
    </w:p>
    <w:p w14:paraId="3DE458B4" w14:textId="77777777" w:rsidR="000706E9" w:rsidRPr="00B252AD" w:rsidRDefault="00014696" w:rsidP="000706E9">
      <w:pPr>
        <w:pStyle w:val="FootnoteText"/>
        <w:spacing w:line="259" w:lineRule="auto"/>
        <w:jc w:val="both"/>
        <w:rPr>
          <w:b/>
          <w:bCs/>
          <w:i/>
          <w:iCs/>
          <w:sz w:val="24"/>
          <w:szCs w:val="24"/>
        </w:rPr>
      </w:pPr>
      <w:proofErr w:type="spellStart"/>
      <w:r w:rsidRPr="00B252AD">
        <w:rPr>
          <w:b/>
          <w:bCs/>
          <w:i/>
          <w:iCs/>
          <w:sz w:val="24"/>
          <w:szCs w:val="24"/>
        </w:rPr>
        <w:t>Concurring</w:t>
      </w:r>
      <w:proofErr w:type="spellEnd"/>
      <w:r w:rsidRPr="00B252AD">
        <w:rPr>
          <w:b/>
          <w:bCs/>
          <w:i/>
          <w:iCs/>
          <w:sz w:val="24"/>
          <w:szCs w:val="24"/>
        </w:rPr>
        <w:t xml:space="preserve"> </w:t>
      </w:r>
      <w:proofErr w:type="spellStart"/>
      <w:r w:rsidRPr="00B252AD">
        <w:rPr>
          <w:b/>
          <w:bCs/>
          <w:i/>
          <w:iCs/>
          <w:sz w:val="24"/>
          <w:szCs w:val="24"/>
        </w:rPr>
        <w:t>Opinions</w:t>
      </w:r>
      <w:proofErr w:type="spellEnd"/>
    </w:p>
    <w:p w14:paraId="5ABB7E02" w14:textId="3E96E538" w:rsidR="00030EF2" w:rsidRPr="00121A6A" w:rsidRDefault="00030EF2" w:rsidP="000706E9">
      <w:pPr>
        <w:pStyle w:val="FootnoteText"/>
        <w:spacing w:line="259" w:lineRule="auto"/>
        <w:jc w:val="both"/>
        <w:rPr>
          <w:b/>
          <w:bCs/>
          <w:i/>
          <w:iCs/>
          <w:sz w:val="24"/>
          <w:szCs w:val="24"/>
        </w:rPr>
      </w:pPr>
      <w:proofErr w:type="spellStart"/>
      <w:r w:rsidRPr="00B252AD">
        <w:rPr>
          <w:sz w:val="24"/>
          <w:szCs w:val="24"/>
        </w:rPr>
        <w:t>Concurring</w:t>
      </w:r>
      <w:proofErr w:type="spellEnd"/>
      <w:r w:rsidRPr="00B252AD">
        <w:rPr>
          <w:sz w:val="24"/>
          <w:szCs w:val="24"/>
        </w:rPr>
        <w:t xml:space="preserve"> Opinion</w:t>
      </w:r>
      <w:r w:rsidRPr="00121A6A">
        <w:rPr>
          <w:sz w:val="24"/>
          <w:szCs w:val="24"/>
        </w:rPr>
        <w:t xml:space="preserve"> </w:t>
      </w:r>
      <w:r w:rsidR="00BB157D" w:rsidRPr="00121A6A">
        <w:rPr>
          <w:sz w:val="24"/>
          <w:szCs w:val="24"/>
        </w:rPr>
        <w:t>rechter</w:t>
      </w:r>
      <w:r w:rsidRPr="00121A6A">
        <w:rPr>
          <w:sz w:val="24"/>
          <w:szCs w:val="24"/>
        </w:rPr>
        <w:t xml:space="preserve"> P</w:t>
      </w:r>
      <w:r w:rsidR="00944A46" w:rsidRPr="00121A6A">
        <w:rPr>
          <w:sz w:val="24"/>
          <w:szCs w:val="24"/>
        </w:rPr>
        <w:t>.</w:t>
      </w:r>
      <w:r w:rsidRPr="00121A6A">
        <w:rPr>
          <w:sz w:val="24"/>
          <w:szCs w:val="24"/>
        </w:rPr>
        <w:t xml:space="preserve"> de Albuquerque</w:t>
      </w:r>
      <w:r w:rsidR="00A71C41" w:rsidRPr="00121A6A">
        <w:rPr>
          <w:sz w:val="24"/>
          <w:szCs w:val="24"/>
        </w:rPr>
        <w:t xml:space="preserve"> bij</w:t>
      </w:r>
      <w:r w:rsidR="00E437EE" w:rsidRPr="00121A6A">
        <w:rPr>
          <w:sz w:val="24"/>
          <w:szCs w:val="24"/>
        </w:rPr>
        <w:t xml:space="preserve"> </w:t>
      </w:r>
      <w:r w:rsidRPr="00121A6A">
        <w:rPr>
          <w:sz w:val="24"/>
          <w:szCs w:val="24"/>
        </w:rPr>
        <w:t>EHRM 27 november 2014, 36701/09</w:t>
      </w:r>
      <w:r w:rsidR="00C25C8B" w:rsidRPr="00121A6A">
        <w:rPr>
          <w:sz w:val="24"/>
          <w:szCs w:val="24"/>
        </w:rPr>
        <w:t>, ECLI:CE:ECHR:2014:1127JUD003670109</w:t>
      </w:r>
      <w:r w:rsidRPr="00121A6A">
        <w:rPr>
          <w:sz w:val="24"/>
          <w:szCs w:val="24"/>
        </w:rPr>
        <w:t xml:space="preserve"> (</w:t>
      </w:r>
      <w:proofErr w:type="spellStart"/>
      <w:r w:rsidRPr="00121A6A">
        <w:rPr>
          <w:i/>
          <w:iCs/>
          <w:sz w:val="24"/>
          <w:szCs w:val="24"/>
        </w:rPr>
        <w:t>Hrvatski</w:t>
      </w:r>
      <w:proofErr w:type="spellEnd"/>
      <w:r w:rsidRPr="00121A6A">
        <w:rPr>
          <w:i/>
          <w:iCs/>
          <w:sz w:val="24"/>
          <w:szCs w:val="24"/>
        </w:rPr>
        <w:t>/Kroatië</w:t>
      </w:r>
      <w:r w:rsidRPr="00121A6A">
        <w:rPr>
          <w:sz w:val="24"/>
          <w:szCs w:val="24"/>
        </w:rPr>
        <w:t>).</w:t>
      </w:r>
    </w:p>
    <w:p w14:paraId="056DCCB2" w14:textId="77777777" w:rsidR="00A71C41" w:rsidRPr="00121A6A" w:rsidRDefault="00A71C41" w:rsidP="000706E9">
      <w:pPr>
        <w:pStyle w:val="FootnoteText"/>
        <w:spacing w:line="259" w:lineRule="auto"/>
        <w:jc w:val="both"/>
        <w:rPr>
          <w:sz w:val="24"/>
          <w:szCs w:val="24"/>
        </w:rPr>
      </w:pPr>
    </w:p>
    <w:p w14:paraId="594E6D48" w14:textId="744E800C" w:rsidR="00A71C41" w:rsidRPr="00B252AD" w:rsidRDefault="00A71C41" w:rsidP="000706E9">
      <w:pPr>
        <w:pStyle w:val="FootnoteText"/>
        <w:spacing w:line="259" w:lineRule="auto"/>
        <w:jc w:val="both"/>
        <w:rPr>
          <w:b/>
          <w:bCs/>
          <w:i/>
          <w:iCs/>
          <w:sz w:val="24"/>
          <w:szCs w:val="24"/>
        </w:rPr>
      </w:pPr>
      <w:proofErr w:type="spellStart"/>
      <w:r w:rsidRPr="00B252AD">
        <w:rPr>
          <w:b/>
          <w:bCs/>
          <w:i/>
          <w:iCs/>
          <w:sz w:val="24"/>
          <w:szCs w:val="24"/>
        </w:rPr>
        <w:t>Dissenting</w:t>
      </w:r>
      <w:proofErr w:type="spellEnd"/>
      <w:r w:rsidRPr="00B252AD">
        <w:rPr>
          <w:b/>
          <w:bCs/>
          <w:i/>
          <w:iCs/>
          <w:sz w:val="24"/>
          <w:szCs w:val="24"/>
        </w:rPr>
        <w:t xml:space="preserve"> </w:t>
      </w:r>
      <w:proofErr w:type="spellStart"/>
      <w:r w:rsidRPr="00B252AD">
        <w:rPr>
          <w:b/>
          <w:bCs/>
          <w:i/>
          <w:iCs/>
          <w:sz w:val="24"/>
          <w:szCs w:val="24"/>
        </w:rPr>
        <w:t>Opinions</w:t>
      </w:r>
      <w:proofErr w:type="spellEnd"/>
    </w:p>
    <w:p w14:paraId="6834DEC0" w14:textId="268A8C21" w:rsidR="00A71C41" w:rsidRPr="00121A6A" w:rsidRDefault="00A71C41" w:rsidP="000706E9">
      <w:pPr>
        <w:pStyle w:val="FootnoteText"/>
        <w:spacing w:line="259" w:lineRule="auto"/>
        <w:jc w:val="both"/>
        <w:rPr>
          <w:sz w:val="24"/>
          <w:szCs w:val="24"/>
        </w:rPr>
      </w:pPr>
      <w:proofErr w:type="spellStart"/>
      <w:r w:rsidRPr="00B252AD">
        <w:rPr>
          <w:sz w:val="24"/>
          <w:szCs w:val="24"/>
        </w:rPr>
        <w:t>Dissenting</w:t>
      </w:r>
      <w:proofErr w:type="spellEnd"/>
      <w:r w:rsidRPr="00B252AD">
        <w:rPr>
          <w:sz w:val="24"/>
          <w:szCs w:val="24"/>
        </w:rPr>
        <w:t xml:space="preserve"> Opinion </w:t>
      </w:r>
      <w:r w:rsidRPr="00121A6A">
        <w:rPr>
          <w:sz w:val="24"/>
          <w:szCs w:val="24"/>
        </w:rPr>
        <w:t xml:space="preserve">rechter G. </w:t>
      </w:r>
      <w:proofErr w:type="spellStart"/>
      <w:r w:rsidRPr="00121A6A">
        <w:rPr>
          <w:sz w:val="24"/>
          <w:szCs w:val="24"/>
        </w:rPr>
        <w:t>Serghides</w:t>
      </w:r>
      <w:proofErr w:type="spellEnd"/>
      <w:r w:rsidRPr="00121A6A">
        <w:rPr>
          <w:sz w:val="24"/>
          <w:szCs w:val="24"/>
        </w:rPr>
        <w:t xml:space="preserve"> bij EHRM 14 december 2023, 59433/18, 59477/18, 59481/18 en 59494/18, ECLI:CE:ECHR:2023:1214JUD005943318 (</w:t>
      </w:r>
      <w:r w:rsidRPr="00121A6A">
        <w:rPr>
          <w:i/>
          <w:iCs/>
          <w:sz w:val="24"/>
          <w:szCs w:val="24"/>
        </w:rPr>
        <w:t>Humpert/Duitsland</w:t>
      </w:r>
      <w:r w:rsidRPr="00121A6A">
        <w:rPr>
          <w:sz w:val="24"/>
          <w:szCs w:val="24"/>
        </w:rPr>
        <w:t>).</w:t>
      </w:r>
    </w:p>
    <w:p w14:paraId="4E4ED6AE" w14:textId="77777777" w:rsidR="00D21C83" w:rsidRPr="00121A6A" w:rsidRDefault="00D21C83" w:rsidP="00FD0498">
      <w:pPr>
        <w:pStyle w:val="FootnoteText"/>
        <w:spacing w:line="259" w:lineRule="auto"/>
        <w:jc w:val="both"/>
        <w:rPr>
          <w:sz w:val="24"/>
          <w:szCs w:val="24"/>
        </w:rPr>
      </w:pPr>
    </w:p>
    <w:p w14:paraId="3E3661E0" w14:textId="77777777" w:rsidR="00030EF2" w:rsidRPr="00121A6A" w:rsidRDefault="00030EF2" w:rsidP="00FD0498">
      <w:pPr>
        <w:pStyle w:val="FootnoteText"/>
        <w:spacing w:line="259" w:lineRule="auto"/>
        <w:jc w:val="both"/>
        <w:rPr>
          <w:sz w:val="24"/>
          <w:szCs w:val="24"/>
        </w:rPr>
      </w:pPr>
    </w:p>
    <w:p w14:paraId="343FB073" w14:textId="3319AD9A" w:rsidR="00C539CA" w:rsidRPr="00967A14" w:rsidRDefault="00C539CA" w:rsidP="000706E9">
      <w:pPr>
        <w:pStyle w:val="FootnoteText"/>
        <w:spacing w:line="259" w:lineRule="auto"/>
        <w:jc w:val="both"/>
        <w:rPr>
          <w:b/>
          <w:bCs/>
          <w:i/>
          <w:iCs/>
          <w:sz w:val="24"/>
          <w:szCs w:val="24"/>
          <w:lang w:val="en-US"/>
        </w:rPr>
      </w:pPr>
      <w:proofErr w:type="spellStart"/>
      <w:r w:rsidRPr="00967A14">
        <w:rPr>
          <w:b/>
          <w:bCs/>
          <w:i/>
          <w:iCs/>
          <w:sz w:val="24"/>
          <w:szCs w:val="24"/>
          <w:lang w:val="en-US"/>
        </w:rPr>
        <w:lastRenderedPageBreak/>
        <w:t>Europees</w:t>
      </w:r>
      <w:proofErr w:type="spellEnd"/>
      <w:r w:rsidRPr="00967A14">
        <w:rPr>
          <w:b/>
          <w:bCs/>
          <w:i/>
          <w:iCs/>
          <w:sz w:val="24"/>
          <w:szCs w:val="24"/>
          <w:lang w:val="en-US"/>
        </w:rPr>
        <w:t xml:space="preserve"> </w:t>
      </w:r>
      <w:proofErr w:type="spellStart"/>
      <w:r w:rsidRPr="00967A14">
        <w:rPr>
          <w:b/>
          <w:bCs/>
          <w:i/>
          <w:iCs/>
          <w:sz w:val="24"/>
          <w:szCs w:val="24"/>
          <w:lang w:val="en-US"/>
        </w:rPr>
        <w:t>Comité</w:t>
      </w:r>
      <w:proofErr w:type="spellEnd"/>
      <w:r w:rsidRPr="00967A14">
        <w:rPr>
          <w:b/>
          <w:bCs/>
          <w:i/>
          <w:iCs/>
          <w:sz w:val="24"/>
          <w:szCs w:val="24"/>
          <w:lang w:val="en-US"/>
        </w:rPr>
        <w:t xml:space="preserve"> </w:t>
      </w:r>
      <w:proofErr w:type="spellStart"/>
      <w:r w:rsidRPr="00967A14">
        <w:rPr>
          <w:b/>
          <w:bCs/>
          <w:i/>
          <w:iCs/>
          <w:sz w:val="24"/>
          <w:szCs w:val="24"/>
          <w:lang w:val="en-US"/>
        </w:rPr>
        <w:t>voor</w:t>
      </w:r>
      <w:proofErr w:type="spellEnd"/>
      <w:r w:rsidRPr="00967A14">
        <w:rPr>
          <w:b/>
          <w:bCs/>
          <w:i/>
          <w:iCs/>
          <w:sz w:val="24"/>
          <w:szCs w:val="24"/>
          <w:lang w:val="en-US"/>
        </w:rPr>
        <w:t xml:space="preserve"> </w:t>
      </w:r>
      <w:proofErr w:type="spellStart"/>
      <w:r w:rsidRPr="00967A14">
        <w:rPr>
          <w:b/>
          <w:bCs/>
          <w:i/>
          <w:iCs/>
          <w:sz w:val="24"/>
          <w:szCs w:val="24"/>
          <w:lang w:val="en-US"/>
        </w:rPr>
        <w:t>Sociale</w:t>
      </w:r>
      <w:proofErr w:type="spellEnd"/>
      <w:r w:rsidRPr="00967A14">
        <w:rPr>
          <w:b/>
          <w:bCs/>
          <w:i/>
          <w:iCs/>
          <w:sz w:val="24"/>
          <w:szCs w:val="24"/>
          <w:lang w:val="en-US"/>
        </w:rPr>
        <w:t xml:space="preserve"> </w:t>
      </w:r>
      <w:proofErr w:type="spellStart"/>
      <w:r w:rsidRPr="00967A14">
        <w:rPr>
          <w:b/>
          <w:bCs/>
          <w:i/>
          <w:iCs/>
          <w:sz w:val="24"/>
          <w:szCs w:val="24"/>
          <w:lang w:val="en-US"/>
        </w:rPr>
        <w:t>Rechten</w:t>
      </w:r>
      <w:proofErr w:type="spellEnd"/>
    </w:p>
    <w:p w14:paraId="7707E65B" w14:textId="2FC0E1AB" w:rsidR="00555080" w:rsidRPr="00121A6A" w:rsidRDefault="00F5414D" w:rsidP="00555080">
      <w:pPr>
        <w:pStyle w:val="FootnoteText"/>
        <w:spacing w:line="259" w:lineRule="auto"/>
        <w:jc w:val="both"/>
        <w:rPr>
          <w:sz w:val="24"/>
          <w:szCs w:val="24"/>
          <w:lang w:val="en-US"/>
        </w:rPr>
      </w:pPr>
      <w:r>
        <w:rPr>
          <w:sz w:val="24"/>
          <w:szCs w:val="24"/>
          <w:lang w:val="en-US"/>
        </w:rPr>
        <w:t>Council of Europe, ‘</w:t>
      </w:r>
      <w:r w:rsidR="00555080" w:rsidRPr="00121A6A">
        <w:rPr>
          <w:sz w:val="24"/>
          <w:szCs w:val="24"/>
          <w:lang w:val="en-US"/>
        </w:rPr>
        <w:t>Digest of the case law of the European Committee of Social Rights’</w:t>
      </w:r>
      <w:r>
        <w:rPr>
          <w:sz w:val="24"/>
          <w:szCs w:val="24"/>
          <w:lang w:val="en-US"/>
        </w:rPr>
        <w:t>, June</w:t>
      </w:r>
      <w:r w:rsidR="00555080" w:rsidRPr="00121A6A">
        <w:rPr>
          <w:sz w:val="24"/>
          <w:szCs w:val="24"/>
          <w:lang w:val="en-US"/>
        </w:rPr>
        <w:t xml:space="preserve"> 2022</w:t>
      </w:r>
      <w:r>
        <w:rPr>
          <w:sz w:val="24"/>
          <w:szCs w:val="24"/>
          <w:lang w:val="en-US"/>
        </w:rPr>
        <w:t xml:space="preserve"> (</w:t>
      </w:r>
      <w:hyperlink r:id="rId9" w:history="1">
        <w:r>
          <w:rPr>
            <w:rStyle w:val="Hyperlink"/>
            <w:sz w:val="24"/>
            <w:szCs w:val="24"/>
            <w:lang w:val="en-US"/>
          </w:rPr>
          <w:t>rm.coe.int</w:t>
        </w:r>
      </w:hyperlink>
      <w:r>
        <w:rPr>
          <w:sz w:val="24"/>
          <w:szCs w:val="24"/>
          <w:lang w:val="en-US"/>
        </w:rPr>
        <w:t>)</w:t>
      </w:r>
      <w:r w:rsidR="00555080" w:rsidRPr="00121A6A">
        <w:rPr>
          <w:sz w:val="24"/>
          <w:szCs w:val="24"/>
          <w:lang w:val="en-US"/>
        </w:rPr>
        <w:t>.</w:t>
      </w:r>
    </w:p>
    <w:p w14:paraId="4C5B497D" w14:textId="77777777" w:rsidR="00555080" w:rsidRPr="00555080" w:rsidRDefault="00555080" w:rsidP="000706E9">
      <w:pPr>
        <w:pStyle w:val="FootnoteText"/>
        <w:spacing w:line="259" w:lineRule="auto"/>
        <w:jc w:val="both"/>
        <w:rPr>
          <w:sz w:val="24"/>
          <w:szCs w:val="24"/>
          <w:lang w:val="en-US"/>
        </w:rPr>
      </w:pPr>
    </w:p>
    <w:p w14:paraId="5BB16AFF" w14:textId="2941620D" w:rsidR="00355F03" w:rsidRPr="007A3688" w:rsidRDefault="00355F03" w:rsidP="000706E9">
      <w:pPr>
        <w:pStyle w:val="FootnoteText"/>
        <w:spacing w:line="259" w:lineRule="auto"/>
        <w:jc w:val="both"/>
        <w:rPr>
          <w:sz w:val="24"/>
          <w:szCs w:val="24"/>
          <w:lang w:val="en-US"/>
        </w:rPr>
      </w:pPr>
      <w:r w:rsidRPr="007A3688">
        <w:rPr>
          <w:sz w:val="24"/>
          <w:szCs w:val="24"/>
          <w:lang w:val="en-US"/>
        </w:rPr>
        <w:t xml:space="preserve">ECSR 23 </w:t>
      </w:r>
      <w:proofErr w:type="spellStart"/>
      <w:r w:rsidRPr="007A3688">
        <w:rPr>
          <w:sz w:val="24"/>
          <w:szCs w:val="24"/>
          <w:lang w:val="en-US"/>
        </w:rPr>
        <w:t>juni</w:t>
      </w:r>
      <w:proofErr w:type="spellEnd"/>
      <w:r w:rsidRPr="007A3688">
        <w:rPr>
          <w:sz w:val="24"/>
          <w:szCs w:val="24"/>
          <w:lang w:val="en-US"/>
        </w:rPr>
        <w:t xml:space="preserve"> 2010, 55/2009 (</w:t>
      </w:r>
      <w:r w:rsidRPr="007A3688">
        <w:rPr>
          <w:i/>
          <w:iCs/>
          <w:sz w:val="24"/>
          <w:szCs w:val="24"/>
          <w:lang w:val="en-US"/>
        </w:rPr>
        <w:t>CGT</w:t>
      </w:r>
      <w:r w:rsidRPr="007A3688">
        <w:rPr>
          <w:sz w:val="24"/>
          <w:szCs w:val="24"/>
          <w:lang w:val="en-US"/>
        </w:rPr>
        <w:t>).</w:t>
      </w:r>
    </w:p>
    <w:p w14:paraId="248836BB" w14:textId="77777777" w:rsidR="00355F03" w:rsidRPr="007A3688" w:rsidRDefault="00355F03" w:rsidP="000706E9">
      <w:pPr>
        <w:pStyle w:val="FootnoteText"/>
        <w:spacing w:line="259" w:lineRule="auto"/>
        <w:jc w:val="both"/>
        <w:rPr>
          <w:sz w:val="24"/>
          <w:szCs w:val="24"/>
          <w:lang w:val="en-US"/>
        </w:rPr>
      </w:pPr>
    </w:p>
    <w:p w14:paraId="6C12E922" w14:textId="589D653B" w:rsidR="00030EF2" w:rsidRPr="007A3688" w:rsidRDefault="00030EF2" w:rsidP="000706E9">
      <w:pPr>
        <w:pStyle w:val="FootnoteText"/>
        <w:spacing w:line="259" w:lineRule="auto"/>
        <w:jc w:val="both"/>
        <w:rPr>
          <w:sz w:val="24"/>
          <w:szCs w:val="24"/>
          <w:lang w:val="en-US"/>
        </w:rPr>
      </w:pPr>
      <w:r w:rsidRPr="007A3688">
        <w:rPr>
          <w:sz w:val="24"/>
          <w:szCs w:val="24"/>
          <w:lang w:val="en-US"/>
        </w:rPr>
        <w:t xml:space="preserve">ECSR 3 </w:t>
      </w:r>
      <w:proofErr w:type="spellStart"/>
      <w:r w:rsidR="00CA6C6D" w:rsidRPr="007A3688">
        <w:rPr>
          <w:sz w:val="24"/>
          <w:szCs w:val="24"/>
          <w:lang w:val="en-US"/>
        </w:rPr>
        <w:t>juli</w:t>
      </w:r>
      <w:proofErr w:type="spellEnd"/>
      <w:r w:rsidR="00CA6C6D" w:rsidRPr="007A3688">
        <w:rPr>
          <w:sz w:val="24"/>
          <w:szCs w:val="24"/>
          <w:lang w:val="en-US"/>
        </w:rPr>
        <w:t xml:space="preserve"> </w:t>
      </w:r>
      <w:r w:rsidRPr="007A3688">
        <w:rPr>
          <w:sz w:val="24"/>
          <w:szCs w:val="24"/>
          <w:lang w:val="en-US"/>
        </w:rPr>
        <w:t>2013, 85/2012 (</w:t>
      </w:r>
      <w:r w:rsidR="00CA6C6D" w:rsidRPr="007A3688">
        <w:rPr>
          <w:i/>
          <w:iCs/>
          <w:sz w:val="24"/>
          <w:szCs w:val="24"/>
          <w:lang w:val="en-US"/>
        </w:rPr>
        <w:t xml:space="preserve">LO </w:t>
      </w:r>
      <w:proofErr w:type="spellStart"/>
      <w:r w:rsidR="00005021" w:rsidRPr="007A3688">
        <w:rPr>
          <w:i/>
          <w:iCs/>
          <w:sz w:val="24"/>
          <w:szCs w:val="24"/>
          <w:lang w:val="en-US"/>
        </w:rPr>
        <w:t>en</w:t>
      </w:r>
      <w:proofErr w:type="spellEnd"/>
      <w:r w:rsidR="00005021" w:rsidRPr="007A3688">
        <w:rPr>
          <w:i/>
          <w:iCs/>
          <w:sz w:val="24"/>
          <w:szCs w:val="24"/>
          <w:lang w:val="en-US"/>
        </w:rPr>
        <w:t xml:space="preserve"> T</w:t>
      </w:r>
      <w:r w:rsidR="00CA6C6D" w:rsidRPr="007A3688">
        <w:rPr>
          <w:i/>
          <w:iCs/>
          <w:sz w:val="24"/>
          <w:szCs w:val="24"/>
          <w:lang w:val="en-US"/>
        </w:rPr>
        <w:t>CO/</w:t>
      </w:r>
      <w:proofErr w:type="spellStart"/>
      <w:r w:rsidR="00CA6C6D" w:rsidRPr="007A3688">
        <w:rPr>
          <w:i/>
          <w:iCs/>
          <w:sz w:val="24"/>
          <w:szCs w:val="24"/>
          <w:lang w:val="en-US"/>
        </w:rPr>
        <w:t>Zweden</w:t>
      </w:r>
      <w:proofErr w:type="spellEnd"/>
      <w:r w:rsidRPr="007A3688">
        <w:rPr>
          <w:sz w:val="24"/>
          <w:szCs w:val="24"/>
          <w:lang w:val="en-US"/>
        </w:rPr>
        <w:t>).</w:t>
      </w:r>
    </w:p>
    <w:p w14:paraId="321265A6" w14:textId="77777777" w:rsidR="00D21C83" w:rsidRPr="00121A6A" w:rsidRDefault="00D21C83" w:rsidP="000706E9">
      <w:pPr>
        <w:pStyle w:val="FootnoteText"/>
        <w:spacing w:line="259" w:lineRule="auto"/>
        <w:jc w:val="both"/>
        <w:rPr>
          <w:b/>
          <w:bCs/>
          <w:sz w:val="24"/>
          <w:szCs w:val="24"/>
          <w:lang w:val="en-US"/>
        </w:rPr>
      </w:pPr>
    </w:p>
    <w:p w14:paraId="6FA670A4" w14:textId="7BD2E8C0" w:rsidR="00030EF2" w:rsidRPr="00121A6A" w:rsidRDefault="00030EF2" w:rsidP="000706E9">
      <w:pPr>
        <w:pStyle w:val="FootnoteText"/>
        <w:spacing w:line="259" w:lineRule="auto"/>
        <w:jc w:val="both"/>
        <w:rPr>
          <w:b/>
          <w:bCs/>
          <w:sz w:val="24"/>
          <w:szCs w:val="24"/>
          <w:lang w:val="en-US"/>
        </w:rPr>
      </w:pPr>
      <w:r w:rsidRPr="00121A6A">
        <w:rPr>
          <w:b/>
          <w:bCs/>
          <w:sz w:val="24"/>
          <w:szCs w:val="24"/>
          <w:lang w:val="en-US"/>
        </w:rPr>
        <w:t>ILO</w:t>
      </w:r>
    </w:p>
    <w:p w14:paraId="647128E4" w14:textId="6844F10E" w:rsidR="00C539CA" w:rsidRPr="00121A6A" w:rsidRDefault="00C539CA" w:rsidP="000706E9">
      <w:pPr>
        <w:pStyle w:val="FootnoteText"/>
        <w:spacing w:line="259" w:lineRule="auto"/>
        <w:jc w:val="both"/>
        <w:rPr>
          <w:b/>
          <w:bCs/>
          <w:i/>
          <w:iCs/>
          <w:sz w:val="24"/>
          <w:szCs w:val="24"/>
          <w:lang w:val="en-GB"/>
        </w:rPr>
      </w:pPr>
      <w:r w:rsidRPr="00121A6A">
        <w:rPr>
          <w:b/>
          <w:bCs/>
          <w:i/>
          <w:iCs/>
          <w:sz w:val="24"/>
          <w:szCs w:val="24"/>
          <w:lang w:val="en-GB"/>
        </w:rPr>
        <w:t>Committee of Experts</w:t>
      </w:r>
    </w:p>
    <w:p w14:paraId="605C6F5C" w14:textId="4AE9404B" w:rsidR="00507F66" w:rsidRPr="00121A6A" w:rsidRDefault="00507F66" w:rsidP="000706E9">
      <w:pPr>
        <w:pStyle w:val="FootnoteText"/>
        <w:spacing w:line="259" w:lineRule="auto"/>
        <w:jc w:val="both"/>
        <w:rPr>
          <w:i/>
          <w:iCs/>
          <w:sz w:val="24"/>
          <w:szCs w:val="24"/>
          <w:lang w:val="en-US"/>
        </w:rPr>
      </w:pPr>
      <w:proofErr w:type="spellStart"/>
      <w:r w:rsidRPr="00121A6A">
        <w:rPr>
          <w:i/>
          <w:iCs/>
          <w:sz w:val="24"/>
          <w:szCs w:val="24"/>
          <w:lang w:val="en-US"/>
        </w:rPr>
        <w:t>CoE</w:t>
      </w:r>
      <w:proofErr w:type="spellEnd"/>
      <w:r w:rsidRPr="00121A6A">
        <w:rPr>
          <w:i/>
          <w:iCs/>
          <w:sz w:val="24"/>
          <w:szCs w:val="24"/>
          <w:lang w:val="en-US"/>
        </w:rPr>
        <w:t>, Report III (Part 1A)</w:t>
      </w:r>
      <w:r w:rsidR="00A5322E" w:rsidRPr="00121A6A">
        <w:rPr>
          <w:i/>
          <w:iCs/>
          <w:sz w:val="24"/>
          <w:szCs w:val="24"/>
          <w:lang w:val="en-US"/>
        </w:rPr>
        <w:t xml:space="preserve"> </w:t>
      </w:r>
      <w:r w:rsidRPr="00121A6A">
        <w:rPr>
          <w:i/>
          <w:iCs/>
          <w:sz w:val="24"/>
          <w:szCs w:val="24"/>
          <w:lang w:val="en-US"/>
        </w:rPr>
        <w:t>2010</w:t>
      </w:r>
    </w:p>
    <w:p w14:paraId="5529156E" w14:textId="611B1188" w:rsidR="00507F66" w:rsidRPr="00121A6A" w:rsidRDefault="00507F66" w:rsidP="00030EF2">
      <w:pPr>
        <w:spacing w:after="0"/>
        <w:jc w:val="both"/>
        <w:rPr>
          <w:sz w:val="24"/>
          <w:szCs w:val="24"/>
          <w:lang w:val="en-GB"/>
        </w:rPr>
      </w:pPr>
      <w:r w:rsidRPr="00121A6A">
        <w:rPr>
          <w:sz w:val="24"/>
          <w:szCs w:val="24"/>
          <w:lang w:val="en-GB"/>
        </w:rPr>
        <w:t xml:space="preserve">International Labour Office, ‘Report of the Committee of Experts on the Application of Conventions and Recommendations’, </w:t>
      </w:r>
      <w:bookmarkStart w:id="103" w:name="_Hlk155956932"/>
      <w:r w:rsidR="00C75D0C">
        <w:rPr>
          <w:sz w:val="24"/>
          <w:szCs w:val="24"/>
          <w:lang w:val="en-GB"/>
        </w:rPr>
        <w:t>Gen</w:t>
      </w:r>
      <w:r w:rsidR="00670E6B">
        <w:rPr>
          <w:sz w:val="24"/>
          <w:szCs w:val="24"/>
          <w:lang w:val="en-GB"/>
        </w:rPr>
        <w:t>e</w:t>
      </w:r>
      <w:r w:rsidR="00C75D0C">
        <w:rPr>
          <w:sz w:val="24"/>
          <w:szCs w:val="24"/>
          <w:lang w:val="en-GB"/>
        </w:rPr>
        <w:t>v</w:t>
      </w:r>
      <w:r w:rsidR="00670E6B">
        <w:rPr>
          <w:sz w:val="24"/>
          <w:szCs w:val="24"/>
          <w:lang w:val="en-GB"/>
        </w:rPr>
        <w:t>a</w:t>
      </w:r>
      <w:r w:rsidRPr="00121A6A">
        <w:rPr>
          <w:sz w:val="24"/>
          <w:szCs w:val="24"/>
          <w:lang w:val="en-GB"/>
        </w:rPr>
        <w:t>: International Labour Conference</w:t>
      </w:r>
      <w:r w:rsidR="00546CAA" w:rsidRPr="00121A6A">
        <w:rPr>
          <w:sz w:val="24"/>
          <w:szCs w:val="24"/>
          <w:lang w:val="en-GB"/>
        </w:rPr>
        <w:t>,</w:t>
      </w:r>
      <w:r w:rsidRPr="00121A6A">
        <w:rPr>
          <w:sz w:val="24"/>
          <w:szCs w:val="24"/>
          <w:lang w:val="en-GB"/>
        </w:rPr>
        <w:t xml:space="preserve"> </w:t>
      </w:r>
      <w:r w:rsidR="00546AD5" w:rsidRPr="00121A6A">
        <w:rPr>
          <w:sz w:val="24"/>
          <w:szCs w:val="24"/>
          <w:lang w:val="en-GB"/>
        </w:rPr>
        <w:t>99</w:t>
      </w:r>
      <w:r w:rsidRPr="00121A6A">
        <w:rPr>
          <w:sz w:val="24"/>
          <w:szCs w:val="24"/>
          <w:vertAlign w:val="superscript"/>
          <w:lang w:val="en-GB"/>
        </w:rPr>
        <w:t>th</w:t>
      </w:r>
      <w:r w:rsidRPr="00121A6A">
        <w:rPr>
          <w:sz w:val="24"/>
          <w:szCs w:val="24"/>
          <w:lang w:val="en-GB"/>
        </w:rPr>
        <w:t xml:space="preserve"> session</w:t>
      </w:r>
      <w:r w:rsidR="00546CAA" w:rsidRPr="00121A6A">
        <w:rPr>
          <w:sz w:val="24"/>
          <w:szCs w:val="24"/>
          <w:lang w:val="en-GB"/>
        </w:rPr>
        <w:t>,</w:t>
      </w:r>
      <w:r w:rsidRPr="00121A6A">
        <w:rPr>
          <w:sz w:val="24"/>
          <w:szCs w:val="24"/>
          <w:lang w:val="en-GB"/>
        </w:rPr>
        <w:t xml:space="preserve"> 201</w:t>
      </w:r>
      <w:r w:rsidR="00546AD5" w:rsidRPr="00121A6A">
        <w:rPr>
          <w:sz w:val="24"/>
          <w:szCs w:val="24"/>
          <w:lang w:val="en-GB"/>
        </w:rPr>
        <w:t>0</w:t>
      </w:r>
      <w:bookmarkEnd w:id="103"/>
      <w:r w:rsidRPr="00121A6A">
        <w:rPr>
          <w:sz w:val="24"/>
          <w:szCs w:val="24"/>
          <w:lang w:val="en-GB"/>
        </w:rPr>
        <w:t>.</w:t>
      </w:r>
    </w:p>
    <w:p w14:paraId="77606764" w14:textId="77777777" w:rsidR="00294FE3" w:rsidRPr="00121A6A" w:rsidRDefault="00294FE3" w:rsidP="000706E9">
      <w:pPr>
        <w:spacing w:after="0"/>
        <w:jc w:val="both"/>
        <w:rPr>
          <w:sz w:val="24"/>
          <w:szCs w:val="24"/>
          <w:lang w:val="en-GB"/>
        </w:rPr>
      </w:pPr>
    </w:p>
    <w:p w14:paraId="584DA229" w14:textId="3552D729" w:rsidR="00294FE3" w:rsidRPr="00121A6A" w:rsidRDefault="00294FE3" w:rsidP="00030EF2">
      <w:pPr>
        <w:spacing w:after="0"/>
        <w:jc w:val="both"/>
        <w:rPr>
          <w:i/>
          <w:iCs/>
          <w:sz w:val="24"/>
          <w:szCs w:val="24"/>
          <w:lang w:val="en-US"/>
        </w:rPr>
      </w:pPr>
      <w:proofErr w:type="spellStart"/>
      <w:r w:rsidRPr="00121A6A">
        <w:rPr>
          <w:i/>
          <w:iCs/>
          <w:sz w:val="24"/>
          <w:szCs w:val="24"/>
          <w:lang w:val="en-US"/>
        </w:rPr>
        <w:t>CoE</w:t>
      </w:r>
      <w:proofErr w:type="spellEnd"/>
      <w:r w:rsidRPr="00121A6A">
        <w:rPr>
          <w:i/>
          <w:iCs/>
          <w:sz w:val="24"/>
          <w:szCs w:val="24"/>
          <w:lang w:val="en-US"/>
        </w:rPr>
        <w:t>, Report III (Part 1B) 2012</w:t>
      </w:r>
    </w:p>
    <w:p w14:paraId="3260D4C8" w14:textId="2DB2211B" w:rsidR="00294FE3" w:rsidRPr="00121A6A" w:rsidRDefault="00294FE3" w:rsidP="00030EF2">
      <w:pPr>
        <w:spacing w:after="0"/>
        <w:jc w:val="both"/>
        <w:rPr>
          <w:sz w:val="24"/>
          <w:szCs w:val="24"/>
          <w:lang w:val="en-GB"/>
        </w:rPr>
      </w:pPr>
      <w:r w:rsidRPr="00121A6A">
        <w:rPr>
          <w:sz w:val="24"/>
          <w:szCs w:val="24"/>
          <w:lang w:val="en-GB"/>
        </w:rPr>
        <w:t xml:space="preserve">International Labour Office, ‘Giving globalization a human face’, </w:t>
      </w:r>
      <w:r w:rsidR="00670E6B">
        <w:rPr>
          <w:sz w:val="24"/>
          <w:szCs w:val="24"/>
          <w:lang w:val="en-GB"/>
        </w:rPr>
        <w:t>Geneva</w:t>
      </w:r>
      <w:r w:rsidRPr="00121A6A">
        <w:rPr>
          <w:sz w:val="24"/>
          <w:szCs w:val="24"/>
          <w:lang w:val="en-GB"/>
        </w:rPr>
        <w:t>: International Labour Conference, 101</w:t>
      </w:r>
      <w:r w:rsidRPr="00121A6A">
        <w:rPr>
          <w:sz w:val="24"/>
          <w:szCs w:val="24"/>
          <w:vertAlign w:val="superscript"/>
          <w:lang w:val="en-GB"/>
        </w:rPr>
        <w:t>st</w:t>
      </w:r>
      <w:r w:rsidRPr="00121A6A">
        <w:rPr>
          <w:sz w:val="24"/>
          <w:szCs w:val="24"/>
          <w:lang w:val="en-GB"/>
        </w:rPr>
        <w:t xml:space="preserve"> session, 2012.</w:t>
      </w:r>
    </w:p>
    <w:p w14:paraId="365C6A62" w14:textId="77777777" w:rsidR="00546CAA" w:rsidRPr="00121A6A" w:rsidRDefault="00546CAA" w:rsidP="00030EF2">
      <w:pPr>
        <w:spacing w:after="0"/>
        <w:jc w:val="both"/>
        <w:rPr>
          <w:sz w:val="24"/>
          <w:szCs w:val="24"/>
          <w:lang w:val="en-GB"/>
        </w:rPr>
      </w:pPr>
    </w:p>
    <w:p w14:paraId="161E2FEA" w14:textId="1FC0D2A5" w:rsidR="00546CAA" w:rsidRPr="00121A6A" w:rsidRDefault="00546CAA" w:rsidP="00030EF2">
      <w:pPr>
        <w:spacing w:after="0"/>
        <w:jc w:val="both"/>
        <w:rPr>
          <w:i/>
          <w:iCs/>
          <w:sz w:val="24"/>
          <w:szCs w:val="24"/>
          <w:lang w:val="en-US"/>
        </w:rPr>
      </w:pPr>
      <w:proofErr w:type="spellStart"/>
      <w:r w:rsidRPr="00121A6A">
        <w:rPr>
          <w:i/>
          <w:iCs/>
          <w:sz w:val="24"/>
          <w:szCs w:val="24"/>
          <w:lang w:val="en-US"/>
        </w:rPr>
        <w:t>CoE</w:t>
      </w:r>
      <w:proofErr w:type="spellEnd"/>
      <w:r w:rsidRPr="00121A6A">
        <w:rPr>
          <w:i/>
          <w:iCs/>
          <w:sz w:val="24"/>
          <w:szCs w:val="24"/>
          <w:lang w:val="en-US"/>
        </w:rPr>
        <w:t>, Report III (Part 1A) 2013</w:t>
      </w:r>
    </w:p>
    <w:p w14:paraId="027C9A0F" w14:textId="706C5AEB" w:rsidR="00546CAA" w:rsidRPr="00121A6A" w:rsidRDefault="00546CAA" w:rsidP="00030EF2">
      <w:pPr>
        <w:spacing w:after="0"/>
        <w:jc w:val="both"/>
        <w:rPr>
          <w:sz w:val="24"/>
          <w:szCs w:val="24"/>
          <w:lang w:val="en-GB"/>
        </w:rPr>
      </w:pPr>
      <w:r w:rsidRPr="00121A6A">
        <w:rPr>
          <w:sz w:val="24"/>
          <w:szCs w:val="24"/>
          <w:lang w:val="en-GB"/>
        </w:rPr>
        <w:t xml:space="preserve">International Labour Office, ‘Report of the Committee of Experts on the Application of Conventions and Recommendations’, </w:t>
      </w:r>
      <w:r w:rsidR="00670E6B">
        <w:rPr>
          <w:sz w:val="24"/>
          <w:szCs w:val="24"/>
          <w:lang w:val="en-GB"/>
        </w:rPr>
        <w:t>Geneva</w:t>
      </w:r>
      <w:r w:rsidRPr="00121A6A">
        <w:rPr>
          <w:sz w:val="24"/>
          <w:szCs w:val="24"/>
          <w:lang w:val="en-GB"/>
        </w:rPr>
        <w:t>: International Labour Conference, 102</w:t>
      </w:r>
      <w:r w:rsidRPr="00121A6A">
        <w:rPr>
          <w:sz w:val="24"/>
          <w:szCs w:val="24"/>
          <w:vertAlign w:val="superscript"/>
          <w:lang w:val="en-GB"/>
        </w:rPr>
        <w:t>nd</w:t>
      </w:r>
      <w:r w:rsidRPr="00121A6A">
        <w:rPr>
          <w:sz w:val="24"/>
          <w:szCs w:val="24"/>
          <w:lang w:val="en-GB"/>
        </w:rPr>
        <w:t xml:space="preserve"> session, 2013.</w:t>
      </w:r>
    </w:p>
    <w:bookmarkEnd w:id="102"/>
    <w:p w14:paraId="5F704762" w14:textId="77777777" w:rsidR="003E1F4C" w:rsidRPr="00121A6A" w:rsidRDefault="003E1F4C" w:rsidP="00030EF2">
      <w:pPr>
        <w:spacing w:after="0"/>
        <w:jc w:val="both"/>
        <w:rPr>
          <w:sz w:val="24"/>
          <w:szCs w:val="24"/>
          <w:lang w:val="en-US"/>
        </w:rPr>
      </w:pPr>
    </w:p>
    <w:p w14:paraId="72D7E5CE" w14:textId="08D19436" w:rsidR="00C539CA" w:rsidRPr="00121A6A" w:rsidRDefault="00C539CA" w:rsidP="00030EF2">
      <w:pPr>
        <w:spacing w:after="0"/>
        <w:jc w:val="both"/>
        <w:rPr>
          <w:b/>
          <w:bCs/>
          <w:i/>
          <w:iCs/>
          <w:sz w:val="24"/>
          <w:szCs w:val="24"/>
          <w:lang w:val="en-US"/>
        </w:rPr>
      </w:pPr>
      <w:r w:rsidRPr="00121A6A">
        <w:rPr>
          <w:b/>
          <w:bCs/>
          <w:i/>
          <w:iCs/>
          <w:sz w:val="24"/>
          <w:szCs w:val="24"/>
          <w:lang w:val="en-US"/>
        </w:rPr>
        <w:t>Committee on Freedom of Association</w:t>
      </w:r>
    </w:p>
    <w:p w14:paraId="4C5B8261" w14:textId="444E9AF7" w:rsidR="00A5322E" w:rsidRPr="00121A6A" w:rsidRDefault="00A5322E" w:rsidP="00030EF2">
      <w:pPr>
        <w:spacing w:after="0"/>
        <w:jc w:val="both"/>
        <w:rPr>
          <w:i/>
          <w:iCs/>
          <w:sz w:val="24"/>
          <w:szCs w:val="24"/>
          <w:lang w:val="en-US"/>
        </w:rPr>
      </w:pPr>
      <w:r w:rsidRPr="00121A6A">
        <w:rPr>
          <w:i/>
          <w:iCs/>
          <w:sz w:val="24"/>
          <w:szCs w:val="24"/>
          <w:lang w:val="en-US"/>
        </w:rPr>
        <w:t>CFA</w:t>
      </w:r>
      <w:r w:rsidR="000B59ED" w:rsidRPr="00121A6A">
        <w:rPr>
          <w:i/>
          <w:iCs/>
          <w:sz w:val="24"/>
          <w:szCs w:val="24"/>
          <w:lang w:val="en-US"/>
        </w:rPr>
        <w:t>-decisions</w:t>
      </w:r>
      <w:r w:rsidRPr="00121A6A">
        <w:rPr>
          <w:i/>
          <w:iCs/>
          <w:sz w:val="24"/>
          <w:szCs w:val="24"/>
          <w:lang w:val="en-US"/>
        </w:rPr>
        <w:t xml:space="preserve"> 2018</w:t>
      </w:r>
    </w:p>
    <w:p w14:paraId="4FDC0E98" w14:textId="0D3B9F64" w:rsidR="003E1F4C" w:rsidRPr="00121A6A" w:rsidRDefault="00A5322E" w:rsidP="00030EF2">
      <w:pPr>
        <w:spacing w:after="0"/>
        <w:jc w:val="both"/>
        <w:rPr>
          <w:sz w:val="24"/>
          <w:szCs w:val="24"/>
          <w:lang w:val="en-GB"/>
        </w:rPr>
      </w:pPr>
      <w:r w:rsidRPr="00121A6A">
        <w:rPr>
          <w:sz w:val="24"/>
          <w:szCs w:val="24"/>
          <w:lang w:val="en-GB"/>
        </w:rPr>
        <w:t>International Labour Office, ‘</w:t>
      </w:r>
      <w:r w:rsidR="00382773" w:rsidRPr="00121A6A">
        <w:rPr>
          <w:sz w:val="24"/>
          <w:szCs w:val="24"/>
          <w:lang w:val="en-GB"/>
        </w:rPr>
        <w:t>Compilation of decisions of the Committee on Freedom of Association</w:t>
      </w:r>
      <w:r w:rsidRPr="00121A6A">
        <w:rPr>
          <w:sz w:val="24"/>
          <w:szCs w:val="24"/>
          <w:lang w:val="en-GB"/>
        </w:rPr>
        <w:t>’</w:t>
      </w:r>
      <w:r w:rsidR="00382773" w:rsidRPr="00121A6A">
        <w:rPr>
          <w:sz w:val="24"/>
          <w:szCs w:val="24"/>
          <w:lang w:val="en-GB"/>
        </w:rPr>
        <w:t>,</w:t>
      </w:r>
      <w:r w:rsidRPr="00121A6A">
        <w:rPr>
          <w:sz w:val="24"/>
          <w:szCs w:val="24"/>
          <w:lang w:val="en-GB"/>
        </w:rPr>
        <w:t xml:space="preserve"> </w:t>
      </w:r>
      <w:r w:rsidR="00670E6B">
        <w:rPr>
          <w:sz w:val="24"/>
          <w:szCs w:val="24"/>
          <w:lang w:val="en-GB"/>
        </w:rPr>
        <w:t>Geneva</w:t>
      </w:r>
      <w:r w:rsidRPr="00121A6A">
        <w:rPr>
          <w:sz w:val="24"/>
          <w:szCs w:val="24"/>
          <w:lang w:val="en-GB"/>
        </w:rPr>
        <w:t xml:space="preserve">: International Labour Organisation </w:t>
      </w:r>
      <w:r w:rsidR="00382773" w:rsidRPr="00121A6A">
        <w:rPr>
          <w:sz w:val="24"/>
          <w:szCs w:val="24"/>
          <w:lang w:val="en-GB"/>
        </w:rPr>
        <w:t>2018</w:t>
      </w:r>
      <w:r w:rsidRPr="00121A6A">
        <w:rPr>
          <w:sz w:val="24"/>
          <w:szCs w:val="24"/>
          <w:lang w:val="en-GB"/>
        </w:rPr>
        <w:t xml:space="preserve"> (</w:t>
      </w:r>
      <w:r w:rsidR="00C75D0C">
        <w:rPr>
          <w:sz w:val="24"/>
          <w:szCs w:val="24"/>
          <w:lang w:val="en-GB"/>
        </w:rPr>
        <w:t>sixth edition</w:t>
      </w:r>
      <w:r w:rsidRPr="00121A6A">
        <w:rPr>
          <w:sz w:val="24"/>
          <w:szCs w:val="24"/>
          <w:lang w:val="en-GB"/>
        </w:rPr>
        <w:t>).</w:t>
      </w:r>
    </w:p>
    <w:p w14:paraId="6C9B7362" w14:textId="77777777" w:rsidR="004F61CB" w:rsidRPr="00121A6A" w:rsidRDefault="004F61CB" w:rsidP="00030EF2">
      <w:pPr>
        <w:spacing w:after="0"/>
        <w:jc w:val="both"/>
        <w:rPr>
          <w:sz w:val="24"/>
          <w:szCs w:val="24"/>
          <w:lang w:val="en-GB"/>
        </w:rPr>
      </w:pPr>
    </w:p>
    <w:p w14:paraId="65346515" w14:textId="1B073817" w:rsidR="004F61CB" w:rsidRPr="00121A6A" w:rsidRDefault="004F61CB" w:rsidP="00030EF2">
      <w:pPr>
        <w:spacing w:after="0"/>
        <w:jc w:val="both"/>
        <w:rPr>
          <w:b/>
          <w:bCs/>
          <w:i/>
          <w:iCs/>
          <w:sz w:val="24"/>
          <w:szCs w:val="24"/>
          <w:lang w:val="en-GB"/>
        </w:rPr>
      </w:pPr>
      <w:r w:rsidRPr="00121A6A">
        <w:rPr>
          <w:b/>
          <w:bCs/>
          <w:i/>
          <w:iCs/>
          <w:sz w:val="24"/>
          <w:szCs w:val="24"/>
          <w:lang w:val="en-GB"/>
        </w:rPr>
        <w:t>Committee on Application of Standards</w:t>
      </w:r>
    </w:p>
    <w:p w14:paraId="28AAF4E9" w14:textId="77777777" w:rsidR="004F61CB" w:rsidRPr="00121A6A" w:rsidRDefault="004F61CB" w:rsidP="004F61CB">
      <w:pPr>
        <w:spacing w:after="0"/>
        <w:jc w:val="both"/>
        <w:rPr>
          <w:i/>
          <w:iCs/>
          <w:sz w:val="24"/>
          <w:szCs w:val="24"/>
          <w:lang w:val="en-US"/>
        </w:rPr>
      </w:pPr>
      <w:r w:rsidRPr="00121A6A">
        <w:rPr>
          <w:i/>
          <w:iCs/>
          <w:sz w:val="24"/>
          <w:szCs w:val="24"/>
          <w:lang w:val="en-US"/>
        </w:rPr>
        <w:t>CAS, General Report (Part I) 2010</w:t>
      </w:r>
    </w:p>
    <w:p w14:paraId="41825EF8" w14:textId="1B3BA56E" w:rsidR="004F61CB" w:rsidRPr="00121A6A" w:rsidRDefault="004F61CB" w:rsidP="004F61CB">
      <w:pPr>
        <w:spacing w:after="0"/>
        <w:jc w:val="both"/>
        <w:rPr>
          <w:sz w:val="24"/>
          <w:szCs w:val="24"/>
          <w:lang w:val="en-US"/>
        </w:rPr>
      </w:pPr>
      <w:r w:rsidRPr="00121A6A">
        <w:rPr>
          <w:sz w:val="24"/>
          <w:szCs w:val="24"/>
          <w:lang w:val="en-GB"/>
        </w:rPr>
        <w:t xml:space="preserve">International Labour Office, ‘Conference </w:t>
      </w:r>
      <w:r w:rsidRPr="00121A6A">
        <w:rPr>
          <w:sz w:val="24"/>
          <w:szCs w:val="24"/>
          <w:lang w:val="en-US"/>
        </w:rPr>
        <w:t xml:space="preserve">Committee on the Application of Standards. Extracts from the Record of Proceedings’, </w:t>
      </w:r>
      <w:r w:rsidR="00670E6B">
        <w:rPr>
          <w:sz w:val="24"/>
          <w:szCs w:val="24"/>
          <w:lang w:val="en-GB"/>
        </w:rPr>
        <w:t>Geneva</w:t>
      </w:r>
      <w:r w:rsidRPr="00121A6A">
        <w:rPr>
          <w:sz w:val="24"/>
          <w:szCs w:val="24"/>
          <w:lang w:val="en-US"/>
        </w:rPr>
        <w:t xml:space="preserve">: International </w:t>
      </w:r>
      <w:proofErr w:type="spellStart"/>
      <w:r w:rsidRPr="00121A6A">
        <w:rPr>
          <w:sz w:val="24"/>
          <w:szCs w:val="24"/>
          <w:lang w:val="en-US"/>
        </w:rPr>
        <w:t>Labour</w:t>
      </w:r>
      <w:proofErr w:type="spellEnd"/>
      <w:r w:rsidRPr="00121A6A">
        <w:rPr>
          <w:sz w:val="24"/>
          <w:szCs w:val="24"/>
          <w:lang w:val="en-US"/>
        </w:rPr>
        <w:t xml:space="preserve"> Conference, 99</w:t>
      </w:r>
      <w:r w:rsidRPr="00121A6A">
        <w:rPr>
          <w:sz w:val="24"/>
          <w:szCs w:val="24"/>
          <w:vertAlign w:val="superscript"/>
          <w:lang w:val="en-US"/>
        </w:rPr>
        <w:t>th</w:t>
      </w:r>
      <w:r w:rsidRPr="00121A6A">
        <w:rPr>
          <w:sz w:val="24"/>
          <w:szCs w:val="24"/>
          <w:lang w:val="en-US"/>
        </w:rPr>
        <w:t xml:space="preserve"> session, 2010.</w:t>
      </w:r>
    </w:p>
    <w:p w14:paraId="0F94A8BE" w14:textId="77777777" w:rsidR="004F61CB" w:rsidRPr="00121A6A" w:rsidRDefault="004F61CB" w:rsidP="004F61CB">
      <w:pPr>
        <w:spacing w:after="0"/>
        <w:jc w:val="both"/>
        <w:rPr>
          <w:sz w:val="24"/>
          <w:szCs w:val="24"/>
          <w:lang w:val="en-US"/>
        </w:rPr>
      </w:pPr>
    </w:p>
    <w:p w14:paraId="451E88D8" w14:textId="77777777" w:rsidR="004F61CB" w:rsidRPr="00121A6A" w:rsidRDefault="004F61CB" w:rsidP="004F61CB">
      <w:pPr>
        <w:spacing w:after="0"/>
        <w:jc w:val="both"/>
        <w:rPr>
          <w:i/>
          <w:iCs/>
          <w:sz w:val="24"/>
          <w:szCs w:val="24"/>
          <w:lang w:val="en-US"/>
        </w:rPr>
      </w:pPr>
      <w:r w:rsidRPr="00121A6A">
        <w:rPr>
          <w:i/>
          <w:iCs/>
          <w:sz w:val="24"/>
          <w:szCs w:val="24"/>
          <w:lang w:val="en-US"/>
        </w:rPr>
        <w:t>CAS, General Report (Part I) 2011</w:t>
      </w:r>
    </w:p>
    <w:p w14:paraId="6A3D1A15" w14:textId="52177AAC" w:rsidR="004F61CB" w:rsidRPr="00121A6A" w:rsidRDefault="004F61CB" w:rsidP="004F61CB">
      <w:pPr>
        <w:spacing w:after="0"/>
        <w:jc w:val="both"/>
        <w:rPr>
          <w:sz w:val="24"/>
          <w:szCs w:val="24"/>
          <w:lang w:val="en-US"/>
        </w:rPr>
      </w:pPr>
      <w:r w:rsidRPr="00121A6A">
        <w:rPr>
          <w:sz w:val="24"/>
          <w:szCs w:val="24"/>
          <w:lang w:val="en-GB"/>
        </w:rPr>
        <w:t xml:space="preserve">International Labour Office, ‘Conference </w:t>
      </w:r>
      <w:r w:rsidRPr="00121A6A">
        <w:rPr>
          <w:sz w:val="24"/>
          <w:szCs w:val="24"/>
          <w:lang w:val="en-US"/>
        </w:rPr>
        <w:t xml:space="preserve">Committee on the Application of Standards. Extracts from the Record of Proceedings’, </w:t>
      </w:r>
      <w:r w:rsidR="00670E6B">
        <w:rPr>
          <w:sz w:val="24"/>
          <w:szCs w:val="24"/>
          <w:lang w:val="en-GB"/>
        </w:rPr>
        <w:t>Geneva</w:t>
      </w:r>
      <w:r w:rsidRPr="00121A6A">
        <w:rPr>
          <w:sz w:val="24"/>
          <w:szCs w:val="24"/>
          <w:lang w:val="en-US"/>
        </w:rPr>
        <w:t xml:space="preserve">: International </w:t>
      </w:r>
      <w:proofErr w:type="spellStart"/>
      <w:r w:rsidRPr="00121A6A">
        <w:rPr>
          <w:sz w:val="24"/>
          <w:szCs w:val="24"/>
          <w:lang w:val="en-US"/>
        </w:rPr>
        <w:t>Labour</w:t>
      </w:r>
      <w:proofErr w:type="spellEnd"/>
      <w:r w:rsidRPr="00121A6A">
        <w:rPr>
          <w:sz w:val="24"/>
          <w:szCs w:val="24"/>
          <w:lang w:val="en-US"/>
        </w:rPr>
        <w:t xml:space="preserve"> Conference, 100</w:t>
      </w:r>
      <w:r w:rsidRPr="00121A6A">
        <w:rPr>
          <w:sz w:val="24"/>
          <w:szCs w:val="24"/>
          <w:vertAlign w:val="superscript"/>
          <w:lang w:val="en-US"/>
        </w:rPr>
        <w:t>th</w:t>
      </w:r>
      <w:r w:rsidRPr="00121A6A">
        <w:rPr>
          <w:sz w:val="24"/>
          <w:szCs w:val="24"/>
          <w:lang w:val="en-US"/>
        </w:rPr>
        <w:t xml:space="preserve"> session, 2011.</w:t>
      </w:r>
    </w:p>
    <w:p w14:paraId="52A67FAF" w14:textId="77777777" w:rsidR="00D46AF4" w:rsidRPr="00121A6A" w:rsidRDefault="00D46AF4" w:rsidP="004F61CB">
      <w:pPr>
        <w:spacing w:after="0"/>
        <w:jc w:val="both"/>
        <w:rPr>
          <w:sz w:val="24"/>
          <w:szCs w:val="24"/>
          <w:lang w:val="en-US"/>
        </w:rPr>
      </w:pPr>
    </w:p>
    <w:p w14:paraId="55ABDD0B" w14:textId="04EBB63F" w:rsidR="00D46AF4" w:rsidRPr="00121A6A" w:rsidRDefault="00D46AF4" w:rsidP="004F61CB">
      <w:pPr>
        <w:spacing w:after="0"/>
        <w:jc w:val="both"/>
        <w:rPr>
          <w:i/>
          <w:iCs/>
          <w:sz w:val="24"/>
          <w:szCs w:val="24"/>
          <w:lang w:val="en-US"/>
        </w:rPr>
      </w:pPr>
      <w:r w:rsidRPr="00121A6A">
        <w:rPr>
          <w:i/>
          <w:iCs/>
          <w:sz w:val="24"/>
          <w:szCs w:val="24"/>
          <w:lang w:val="en-US"/>
        </w:rPr>
        <w:t>CAS, General Report (Part I) 2012</w:t>
      </w:r>
    </w:p>
    <w:p w14:paraId="1D35F3E7" w14:textId="073C1F78" w:rsidR="00D46AF4" w:rsidRPr="00121A6A" w:rsidRDefault="00D46AF4" w:rsidP="004F61CB">
      <w:pPr>
        <w:spacing w:after="0"/>
        <w:jc w:val="both"/>
        <w:rPr>
          <w:sz w:val="24"/>
          <w:szCs w:val="24"/>
          <w:lang w:val="en-US"/>
        </w:rPr>
      </w:pPr>
      <w:r w:rsidRPr="00121A6A">
        <w:rPr>
          <w:sz w:val="24"/>
          <w:szCs w:val="24"/>
          <w:lang w:val="en-GB"/>
        </w:rPr>
        <w:t xml:space="preserve">International Labour Office, ‘Conference </w:t>
      </w:r>
      <w:r w:rsidRPr="00121A6A">
        <w:rPr>
          <w:sz w:val="24"/>
          <w:szCs w:val="24"/>
          <w:lang w:val="en-US"/>
        </w:rPr>
        <w:t xml:space="preserve">Committee on the Application of Standards. Extracts from the Record of Proceedings’, </w:t>
      </w:r>
      <w:r w:rsidR="00670E6B">
        <w:rPr>
          <w:sz w:val="24"/>
          <w:szCs w:val="24"/>
          <w:lang w:val="en-GB"/>
        </w:rPr>
        <w:t>Geneva</w:t>
      </w:r>
      <w:r w:rsidRPr="00121A6A">
        <w:rPr>
          <w:sz w:val="24"/>
          <w:szCs w:val="24"/>
          <w:lang w:val="en-US"/>
        </w:rPr>
        <w:t xml:space="preserve">: International </w:t>
      </w:r>
      <w:proofErr w:type="spellStart"/>
      <w:r w:rsidRPr="00121A6A">
        <w:rPr>
          <w:sz w:val="24"/>
          <w:szCs w:val="24"/>
          <w:lang w:val="en-US"/>
        </w:rPr>
        <w:t>Labour</w:t>
      </w:r>
      <w:proofErr w:type="spellEnd"/>
      <w:r w:rsidRPr="00121A6A">
        <w:rPr>
          <w:sz w:val="24"/>
          <w:szCs w:val="24"/>
          <w:lang w:val="en-US"/>
        </w:rPr>
        <w:t xml:space="preserve"> Conference, 101</w:t>
      </w:r>
      <w:r w:rsidRPr="00121A6A">
        <w:rPr>
          <w:sz w:val="24"/>
          <w:szCs w:val="24"/>
          <w:vertAlign w:val="superscript"/>
          <w:lang w:val="en-US"/>
        </w:rPr>
        <w:t>st</w:t>
      </w:r>
      <w:r w:rsidRPr="00121A6A">
        <w:rPr>
          <w:sz w:val="24"/>
          <w:szCs w:val="24"/>
          <w:lang w:val="en-US"/>
        </w:rPr>
        <w:t xml:space="preserve"> session, 2012.</w:t>
      </w:r>
    </w:p>
    <w:p w14:paraId="37F19A1F" w14:textId="77777777" w:rsidR="004F61CB" w:rsidRPr="00121A6A" w:rsidRDefault="004F61CB" w:rsidP="00030EF2">
      <w:pPr>
        <w:spacing w:after="0"/>
        <w:jc w:val="both"/>
        <w:rPr>
          <w:i/>
          <w:iCs/>
          <w:sz w:val="24"/>
          <w:szCs w:val="24"/>
          <w:lang w:val="en-US"/>
        </w:rPr>
      </w:pPr>
    </w:p>
    <w:p w14:paraId="1FEEAEF4" w14:textId="77777777" w:rsidR="00CD76EA" w:rsidRDefault="00CD76EA" w:rsidP="00030EF2">
      <w:pPr>
        <w:spacing w:after="0"/>
        <w:jc w:val="both"/>
        <w:rPr>
          <w:i/>
          <w:iCs/>
          <w:sz w:val="24"/>
          <w:szCs w:val="24"/>
          <w:lang w:val="en-US"/>
        </w:rPr>
      </w:pPr>
    </w:p>
    <w:p w14:paraId="49935487" w14:textId="743E9533" w:rsidR="004F61CB" w:rsidRPr="00121A6A" w:rsidRDefault="004F61CB" w:rsidP="00030EF2">
      <w:pPr>
        <w:spacing w:after="0"/>
        <w:jc w:val="both"/>
        <w:rPr>
          <w:i/>
          <w:iCs/>
          <w:sz w:val="24"/>
          <w:szCs w:val="24"/>
          <w:lang w:val="en-US"/>
        </w:rPr>
      </w:pPr>
      <w:r w:rsidRPr="00121A6A">
        <w:rPr>
          <w:i/>
          <w:iCs/>
          <w:sz w:val="24"/>
          <w:szCs w:val="24"/>
          <w:lang w:val="en-US"/>
        </w:rPr>
        <w:lastRenderedPageBreak/>
        <w:t>CAS, General Report (Part I) 2023</w:t>
      </w:r>
    </w:p>
    <w:p w14:paraId="0F6E3825" w14:textId="562212F8" w:rsidR="004F61CB" w:rsidRPr="00CD76EA" w:rsidRDefault="004F61CB" w:rsidP="00030EF2">
      <w:pPr>
        <w:spacing w:after="0"/>
        <w:jc w:val="both"/>
        <w:rPr>
          <w:sz w:val="24"/>
          <w:szCs w:val="24"/>
          <w:lang w:val="en-US"/>
        </w:rPr>
      </w:pPr>
      <w:r w:rsidRPr="00121A6A">
        <w:rPr>
          <w:sz w:val="24"/>
          <w:szCs w:val="24"/>
          <w:lang w:val="en-GB"/>
        </w:rPr>
        <w:t xml:space="preserve">International Labour Office, ‘Conference </w:t>
      </w:r>
      <w:r w:rsidRPr="00121A6A">
        <w:rPr>
          <w:sz w:val="24"/>
          <w:szCs w:val="24"/>
          <w:lang w:val="en-US"/>
        </w:rPr>
        <w:t xml:space="preserve">Committee on the Application of Standards. Record of Proceedings’, </w:t>
      </w:r>
      <w:r w:rsidR="00670E6B">
        <w:rPr>
          <w:sz w:val="24"/>
          <w:szCs w:val="24"/>
          <w:lang w:val="en-GB"/>
        </w:rPr>
        <w:t>Geneva</w:t>
      </w:r>
      <w:r w:rsidRPr="00121A6A">
        <w:rPr>
          <w:sz w:val="24"/>
          <w:szCs w:val="24"/>
          <w:lang w:val="en-US"/>
        </w:rPr>
        <w:t xml:space="preserve">: International </w:t>
      </w:r>
      <w:proofErr w:type="spellStart"/>
      <w:r w:rsidRPr="00121A6A">
        <w:rPr>
          <w:sz w:val="24"/>
          <w:szCs w:val="24"/>
          <w:lang w:val="en-US"/>
        </w:rPr>
        <w:t>Labour</w:t>
      </w:r>
      <w:proofErr w:type="spellEnd"/>
      <w:r w:rsidRPr="00121A6A">
        <w:rPr>
          <w:sz w:val="24"/>
          <w:szCs w:val="24"/>
          <w:lang w:val="en-US"/>
        </w:rPr>
        <w:t xml:space="preserve"> Conference, 111</w:t>
      </w:r>
      <w:r w:rsidRPr="00121A6A">
        <w:rPr>
          <w:sz w:val="24"/>
          <w:szCs w:val="24"/>
          <w:vertAlign w:val="superscript"/>
          <w:lang w:val="en-US"/>
        </w:rPr>
        <w:t>th</w:t>
      </w:r>
      <w:r w:rsidRPr="00121A6A">
        <w:rPr>
          <w:sz w:val="24"/>
          <w:szCs w:val="24"/>
          <w:lang w:val="en-US"/>
        </w:rPr>
        <w:t xml:space="preserve"> session, 2023.</w:t>
      </w:r>
    </w:p>
    <w:p w14:paraId="74BEA1F7" w14:textId="77777777" w:rsidR="00507F66" w:rsidRPr="00121A6A" w:rsidRDefault="00507F66" w:rsidP="00030EF2">
      <w:pPr>
        <w:pStyle w:val="FootnoteText"/>
        <w:jc w:val="both"/>
        <w:rPr>
          <w:sz w:val="24"/>
          <w:szCs w:val="24"/>
          <w:lang w:val="en-US"/>
        </w:rPr>
      </w:pPr>
    </w:p>
    <w:p w14:paraId="5B3A8B95" w14:textId="77777777" w:rsidR="00315F4F" w:rsidRPr="00121A6A" w:rsidRDefault="00315F4F" w:rsidP="00315F4F">
      <w:pPr>
        <w:spacing w:after="0"/>
        <w:jc w:val="both"/>
        <w:rPr>
          <w:b/>
          <w:bCs/>
          <w:sz w:val="24"/>
          <w:szCs w:val="24"/>
          <w:lang w:val="en-US"/>
        </w:rPr>
      </w:pPr>
      <w:r w:rsidRPr="00121A6A">
        <w:rPr>
          <w:b/>
          <w:bCs/>
          <w:sz w:val="24"/>
          <w:szCs w:val="24"/>
          <w:lang w:val="en-US"/>
        </w:rPr>
        <w:t>Nederland</w:t>
      </w:r>
    </w:p>
    <w:p w14:paraId="7009C385" w14:textId="77777777" w:rsidR="00315F4F" w:rsidRPr="00B252AD" w:rsidRDefault="00315F4F" w:rsidP="00315F4F">
      <w:pPr>
        <w:spacing w:after="0"/>
        <w:jc w:val="both"/>
        <w:rPr>
          <w:b/>
          <w:bCs/>
          <w:i/>
          <w:iCs/>
          <w:sz w:val="24"/>
          <w:szCs w:val="24"/>
          <w:lang w:val="en-US"/>
        </w:rPr>
      </w:pPr>
      <w:r w:rsidRPr="00B252AD">
        <w:rPr>
          <w:b/>
          <w:bCs/>
          <w:i/>
          <w:iCs/>
          <w:sz w:val="24"/>
          <w:szCs w:val="24"/>
          <w:lang w:val="en-US"/>
        </w:rPr>
        <w:t>Hoge Raad</w:t>
      </w:r>
    </w:p>
    <w:p w14:paraId="419EBC4E" w14:textId="78611587" w:rsidR="00315F4F" w:rsidRPr="007A3688" w:rsidRDefault="00315F4F" w:rsidP="00315F4F">
      <w:pPr>
        <w:spacing w:after="0"/>
        <w:jc w:val="both"/>
        <w:rPr>
          <w:sz w:val="24"/>
          <w:szCs w:val="24"/>
          <w:lang w:val="de-DE"/>
        </w:rPr>
      </w:pPr>
      <w:r w:rsidRPr="007A3688">
        <w:rPr>
          <w:sz w:val="24"/>
          <w:szCs w:val="24"/>
          <w:lang w:val="de-DE"/>
        </w:rPr>
        <w:t xml:space="preserve">HR 30 </w:t>
      </w:r>
      <w:proofErr w:type="spellStart"/>
      <w:r w:rsidRPr="007A3688">
        <w:rPr>
          <w:sz w:val="24"/>
          <w:szCs w:val="24"/>
          <w:lang w:val="de-DE"/>
        </w:rPr>
        <w:t>mei</w:t>
      </w:r>
      <w:proofErr w:type="spellEnd"/>
      <w:r w:rsidRPr="007A3688">
        <w:rPr>
          <w:sz w:val="24"/>
          <w:szCs w:val="24"/>
          <w:lang w:val="de-DE"/>
        </w:rPr>
        <w:t xml:space="preserve"> 1986, ECLI:NL:HR:1986:AC9402</w:t>
      </w:r>
      <w:r w:rsidR="0014156B" w:rsidRPr="007A3688">
        <w:rPr>
          <w:sz w:val="24"/>
          <w:szCs w:val="24"/>
          <w:lang w:val="de-DE"/>
        </w:rPr>
        <w:t xml:space="preserve">, </w:t>
      </w:r>
      <w:r w:rsidR="0014156B" w:rsidRPr="007A3688">
        <w:rPr>
          <w:i/>
          <w:iCs/>
          <w:sz w:val="24"/>
          <w:szCs w:val="24"/>
          <w:lang w:val="de-DE"/>
        </w:rPr>
        <w:t xml:space="preserve">NJ </w:t>
      </w:r>
      <w:r w:rsidR="0014156B" w:rsidRPr="007A3688">
        <w:rPr>
          <w:sz w:val="24"/>
          <w:szCs w:val="24"/>
          <w:lang w:val="de-DE"/>
        </w:rPr>
        <w:t>1986/68</w:t>
      </w:r>
      <w:r w:rsidR="00B769ED" w:rsidRPr="007A3688">
        <w:rPr>
          <w:sz w:val="24"/>
          <w:szCs w:val="24"/>
          <w:lang w:val="de-DE"/>
        </w:rPr>
        <w:t>8</w:t>
      </w:r>
      <w:r w:rsidRPr="007A3688">
        <w:rPr>
          <w:sz w:val="24"/>
          <w:szCs w:val="24"/>
          <w:lang w:val="de-DE"/>
        </w:rPr>
        <w:t xml:space="preserve"> (</w:t>
      </w:r>
      <w:r w:rsidRPr="007A3688">
        <w:rPr>
          <w:i/>
          <w:iCs/>
          <w:sz w:val="24"/>
          <w:szCs w:val="24"/>
          <w:lang w:val="de-DE"/>
        </w:rPr>
        <w:t>NS</w:t>
      </w:r>
      <w:r w:rsidRPr="007A3688">
        <w:rPr>
          <w:sz w:val="24"/>
          <w:szCs w:val="24"/>
          <w:lang w:val="de-DE"/>
        </w:rPr>
        <w:t>).</w:t>
      </w:r>
    </w:p>
    <w:p w14:paraId="27362883" w14:textId="77777777" w:rsidR="00730D13" w:rsidRPr="007A3688" w:rsidRDefault="00730D13" w:rsidP="00315F4F">
      <w:pPr>
        <w:spacing w:after="0"/>
        <w:jc w:val="both"/>
        <w:rPr>
          <w:sz w:val="24"/>
          <w:szCs w:val="24"/>
          <w:lang w:val="de-DE"/>
        </w:rPr>
      </w:pPr>
    </w:p>
    <w:p w14:paraId="642E10A8" w14:textId="62593025" w:rsidR="00730D13" w:rsidRPr="005D2F15" w:rsidRDefault="00730D13" w:rsidP="00315F4F">
      <w:pPr>
        <w:spacing w:after="0"/>
        <w:jc w:val="both"/>
        <w:rPr>
          <w:sz w:val="24"/>
          <w:szCs w:val="24"/>
        </w:rPr>
      </w:pPr>
      <w:r w:rsidRPr="005D2F15">
        <w:rPr>
          <w:sz w:val="24"/>
          <w:szCs w:val="24"/>
        </w:rPr>
        <w:t>HR 21 maart 1997, ECLI:NL:HR:1997:ZC2309,</w:t>
      </w:r>
      <w:r w:rsidRPr="005D2F15">
        <w:rPr>
          <w:i/>
          <w:iCs/>
          <w:sz w:val="24"/>
          <w:szCs w:val="24"/>
        </w:rPr>
        <w:t xml:space="preserve"> NJ</w:t>
      </w:r>
      <w:r w:rsidRPr="005D2F15">
        <w:rPr>
          <w:sz w:val="24"/>
          <w:szCs w:val="24"/>
        </w:rPr>
        <w:t xml:space="preserve"> 1997/437 (</w:t>
      </w:r>
      <w:r w:rsidRPr="005D2F15">
        <w:rPr>
          <w:i/>
          <w:iCs/>
          <w:sz w:val="24"/>
          <w:szCs w:val="24"/>
        </w:rPr>
        <w:t>Staking streekvervoer</w:t>
      </w:r>
      <w:r w:rsidRPr="005D2F15">
        <w:rPr>
          <w:sz w:val="24"/>
          <w:szCs w:val="24"/>
        </w:rPr>
        <w:t>).</w:t>
      </w:r>
    </w:p>
    <w:p w14:paraId="68DE15F9" w14:textId="77777777" w:rsidR="00037B7E" w:rsidRPr="005D2F15" w:rsidRDefault="00037B7E" w:rsidP="00315F4F">
      <w:pPr>
        <w:spacing w:after="0"/>
        <w:jc w:val="both"/>
        <w:rPr>
          <w:sz w:val="24"/>
          <w:szCs w:val="24"/>
        </w:rPr>
      </w:pPr>
    </w:p>
    <w:p w14:paraId="3FF8D0C1" w14:textId="1FDBBB74" w:rsidR="00037B7E" w:rsidRPr="005D2F15" w:rsidRDefault="00037B7E" w:rsidP="00315F4F">
      <w:pPr>
        <w:spacing w:after="0"/>
        <w:jc w:val="both"/>
        <w:rPr>
          <w:sz w:val="24"/>
          <w:szCs w:val="24"/>
        </w:rPr>
      </w:pPr>
      <w:r w:rsidRPr="005D2F15">
        <w:rPr>
          <w:sz w:val="24"/>
          <w:szCs w:val="24"/>
        </w:rPr>
        <w:t>HR 31 oktober 2014, ECLI:NL:HR:2014:3077</w:t>
      </w:r>
      <w:r w:rsidR="00B769ED" w:rsidRPr="005D2F15">
        <w:rPr>
          <w:sz w:val="24"/>
          <w:szCs w:val="24"/>
        </w:rPr>
        <w:t xml:space="preserve">, </w:t>
      </w:r>
      <w:r w:rsidR="00B769ED" w:rsidRPr="005D2F15">
        <w:rPr>
          <w:i/>
          <w:iCs/>
          <w:sz w:val="24"/>
          <w:szCs w:val="24"/>
        </w:rPr>
        <w:t>NJB</w:t>
      </w:r>
      <w:r w:rsidR="00B769ED" w:rsidRPr="005D2F15">
        <w:rPr>
          <w:sz w:val="24"/>
          <w:szCs w:val="24"/>
        </w:rPr>
        <w:t xml:space="preserve"> 2014/2013</w:t>
      </w:r>
      <w:r w:rsidRPr="005D2F15">
        <w:rPr>
          <w:sz w:val="24"/>
          <w:szCs w:val="24"/>
        </w:rPr>
        <w:t xml:space="preserve"> (</w:t>
      </w:r>
      <w:proofErr w:type="spellStart"/>
      <w:r w:rsidRPr="005D2F15">
        <w:rPr>
          <w:i/>
          <w:iCs/>
          <w:sz w:val="24"/>
          <w:szCs w:val="24"/>
        </w:rPr>
        <w:t>Enerco</w:t>
      </w:r>
      <w:proofErr w:type="spellEnd"/>
      <w:r w:rsidRPr="005D2F15">
        <w:rPr>
          <w:sz w:val="24"/>
          <w:szCs w:val="24"/>
        </w:rPr>
        <w:t>).</w:t>
      </w:r>
    </w:p>
    <w:p w14:paraId="45FAC0AB" w14:textId="77777777" w:rsidR="00037B7E" w:rsidRPr="005D2F15" w:rsidRDefault="00037B7E" w:rsidP="00315F4F">
      <w:pPr>
        <w:spacing w:after="0"/>
        <w:jc w:val="both"/>
        <w:rPr>
          <w:sz w:val="24"/>
          <w:szCs w:val="24"/>
        </w:rPr>
      </w:pPr>
    </w:p>
    <w:p w14:paraId="667B281F" w14:textId="11964B98" w:rsidR="00037B7E" w:rsidRPr="005D2F15" w:rsidRDefault="00037B7E" w:rsidP="00315F4F">
      <w:pPr>
        <w:spacing w:after="0"/>
        <w:jc w:val="both"/>
        <w:rPr>
          <w:sz w:val="24"/>
          <w:szCs w:val="24"/>
        </w:rPr>
      </w:pPr>
      <w:r w:rsidRPr="005D2F15">
        <w:rPr>
          <w:sz w:val="24"/>
          <w:szCs w:val="24"/>
        </w:rPr>
        <w:t>HR 19 juni 2015, ECLI:NL:HR:2015:1687</w:t>
      </w:r>
      <w:r w:rsidR="00B769ED" w:rsidRPr="005D2F15">
        <w:rPr>
          <w:sz w:val="24"/>
          <w:szCs w:val="24"/>
        </w:rPr>
        <w:t xml:space="preserve">, </w:t>
      </w:r>
      <w:r w:rsidR="00B769ED" w:rsidRPr="005D2F15">
        <w:rPr>
          <w:i/>
          <w:iCs/>
          <w:sz w:val="24"/>
          <w:szCs w:val="24"/>
        </w:rPr>
        <w:t xml:space="preserve">NJB </w:t>
      </w:r>
      <w:r w:rsidR="00B769ED" w:rsidRPr="005D2F15">
        <w:rPr>
          <w:sz w:val="24"/>
          <w:szCs w:val="24"/>
        </w:rPr>
        <w:t>2015/1260</w:t>
      </w:r>
      <w:r w:rsidRPr="005D2F15">
        <w:rPr>
          <w:sz w:val="24"/>
          <w:szCs w:val="24"/>
        </w:rPr>
        <w:t xml:space="preserve"> (</w:t>
      </w:r>
      <w:proofErr w:type="spellStart"/>
      <w:r w:rsidRPr="005D2F15">
        <w:rPr>
          <w:i/>
          <w:iCs/>
          <w:sz w:val="24"/>
          <w:szCs w:val="24"/>
        </w:rPr>
        <w:t>Amsta</w:t>
      </w:r>
      <w:proofErr w:type="spellEnd"/>
      <w:r w:rsidRPr="005D2F15">
        <w:rPr>
          <w:sz w:val="24"/>
          <w:szCs w:val="24"/>
        </w:rPr>
        <w:t>).</w:t>
      </w:r>
    </w:p>
    <w:p w14:paraId="0BE33956" w14:textId="77777777" w:rsidR="009801D2" w:rsidRPr="005D2F15" w:rsidRDefault="009801D2" w:rsidP="00315F4F">
      <w:pPr>
        <w:spacing w:after="0"/>
        <w:jc w:val="both"/>
        <w:rPr>
          <w:sz w:val="24"/>
          <w:szCs w:val="24"/>
        </w:rPr>
      </w:pPr>
    </w:p>
    <w:p w14:paraId="24BAF295" w14:textId="699AD44A" w:rsidR="009801D2" w:rsidRPr="005D2F15" w:rsidRDefault="009801D2" w:rsidP="00315F4F">
      <w:pPr>
        <w:spacing w:after="0"/>
        <w:jc w:val="both"/>
        <w:rPr>
          <w:b/>
          <w:bCs/>
          <w:i/>
          <w:iCs/>
          <w:sz w:val="24"/>
          <w:szCs w:val="24"/>
        </w:rPr>
      </w:pPr>
      <w:r w:rsidRPr="005D2F15">
        <w:rPr>
          <w:b/>
          <w:bCs/>
          <w:i/>
          <w:iCs/>
          <w:sz w:val="24"/>
          <w:szCs w:val="24"/>
        </w:rPr>
        <w:t>Rechtbanken</w:t>
      </w:r>
    </w:p>
    <w:p w14:paraId="6BA528C8" w14:textId="2B4FF056" w:rsidR="009801D2" w:rsidRPr="005D2F15" w:rsidRDefault="009801D2" w:rsidP="00315F4F">
      <w:pPr>
        <w:spacing w:after="0"/>
        <w:jc w:val="both"/>
        <w:rPr>
          <w:sz w:val="24"/>
          <w:szCs w:val="24"/>
        </w:rPr>
      </w:pPr>
      <w:r w:rsidRPr="005D2F15">
        <w:rPr>
          <w:sz w:val="24"/>
          <w:szCs w:val="24"/>
        </w:rPr>
        <w:t>Rb. Midden-Nederland (</w:t>
      </w:r>
      <w:proofErr w:type="spellStart"/>
      <w:r w:rsidRPr="005D2F15">
        <w:rPr>
          <w:sz w:val="24"/>
          <w:szCs w:val="24"/>
        </w:rPr>
        <w:t>vzr</w:t>
      </w:r>
      <w:proofErr w:type="spellEnd"/>
      <w:r w:rsidRPr="005D2F15">
        <w:rPr>
          <w:sz w:val="24"/>
          <w:szCs w:val="24"/>
        </w:rPr>
        <w:t xml:space="preserve">.) 26 april 2018, </w:t>
      </w:r>
      <w:r w:rsidR="00005021" w:rsidRPr="005D2F15">
        <w:rPr>
          <w:sz w:val="24"/>
          <w:szCs w:val="24"/>
        </w:rPr>
        <w:t xml:space="preserve">ECLI:NL:RBMNE:2018:1786, </w:t>
      </w:r>
      <w:r w:rsidRPr="005D2F15">
        <w:rPr>
          <w:i/>
          <w:iCs/>
          <w:sz w:val="24"/>
          <w:szCs w:val="24"/>
        </w:rPr>
        <w:t>RAR</w:t>
      </w:r>
      <w:r w:rsidRPr="005D2F15">
        <w:rPr>
          <w:sz w:val="24"/>
          <w:szCs w:val="24"/>
        </w:rPr>
        <w:t xml:space="preserve"> 2018/115.</w:t>
      </w:r>
    </w:p>
    <w:p w14:paraId="2467AD00" w14:textId="77777777" w:rsidR="00507F66" w:rsidRPr="005D2F15" w:rsidRDefault="00507F66" w:rsidP="000706E9">
      <w:pPr>
        <w:pStyle w:val="FootnoteText"/>
        <w:spacing w:line="259" w:lineRule="auto"/>
        <w:jc w:val="both"/>
        <w:rPr>
          <w:sz w:val="24"/>
          <w:szCs w:val="24"/>
        </w:rPr>
      </w:pPr>
    </w:p>
    <w:p w14:paraId="3D2BB384" w14:textId="3DDF01F7" w:rsidR="005A715E" w:rsidRPr="005D2F15" w:rsidRDefault="005A715E" w:rsidP="000706E9">
      <w:pPr>
        <w:pStyle w:val="FootnoteText"/>
        <w:spacing w:line="259" w:lineRule="auto"/>
        <w:jc w:val="both"/>
        <w:rPr>
          <w:b/>
          <w:bCs/>
          <w:i/>
          <w:iCs/>
          <w:sz w:val="24"/>
          <w:szCs w:val="24"/>
        </w:rPr>
      </w:pPr>
      <w:r w:rsidRPr="005D2F15">
        <w:rPr>
          <w:b/>
          <w:bCs/>
          <w:i/>
          <w:iCs/>
          <w:sz w:val="24"/>
          <w:szCs w:val="24"/>
        </w:rPr>
        <w:t>Conclusies van de Advocaat-Generaal</w:t>
      </w:r>
    </w:p>
    <w:p w14:paraId="73D40DFE" w14:textId="7A9040C5" w:rsidR="00382773" w:rsidRPr="005D2F15" w:rsidRDefault="005A715E" w:rsidP="00030EF2">
      <w:pPr>
        <w:spacing w:after="0"/>
        <w:jc w:val="both"/>
        <w:rPr>
          <w:sz w:val="24"/>
          <w:szCs w:val="24"/>
        </w:rPr>
      </w:pPr>
      <w:proofErr w:type="spellStart"/>
      <w:r w:rsidRPr="005D2F15">
        <w:rPr>
          <w:sz w:val="24"/>
          <w:szCs w:val="24"/>
        </w:rPr>
        <w:t>Concl</w:t>
      </w:r>
      <w:proofErr w:type="spellEnd"/>
      <w:r w:rsidRPr="005D2F15">
        <w:rPr>
          <w:sz w:val="24"/>
          <w:szCs w:val="24"/>
        </w:rPr>
        <w:t xml:space="preserve">. A-G </w:t>
      </w:r>
      <w:proofErr w:type="spellStart"/>
      <w:r w:rsidRPr="005D2F15">
        <w:rPr>
          <w:sz w:val="24"/>
          <w:szCs w:val="24"/>
        </w:rPr>
        <w:t>Widdershoven</w:t>
      </w:r>
      <w:proofErr w:type="spellEnd"/>
      <w:r w:rsidRPr="005D2F15">
        <w:rPr>
          <w:sz w:val="24"/>
          <w:szCs w:val="24"/>
        </w:rPr>
        <w:t xml:space="preserve"> 18 mei 2022, ECLI:NL:RVS:2022:1440, </w:t>
      </w:r>
      <w:r w:rsidRPr="005D2F15">
        <w:rPr>
          <w:i/>
          <w:iCs/>
          <w:sz w:val="24"/>
          <w:szCs w:val="24"/>
        </w:rPr>
        <w:t>JOM</w:t>
      </w:r>
      <w:r w:rsidRPr="005D2F15">
        <w:rPr>
          <w:sz w:val="24"/>
          <w:szCs w:val="24"/>
        </w:rPr>
        <w:t xml:space="preserve"> 2022/234.</w:t>
      </w:r>
    </w:p>
    <w:p w14:paraId="477E6CDE" w14:textId="56BBB59D" w:rsidR="00DE7D3F" w:rsidRPr="00121A6A" w:rsidRDefault="00DE7D3F" w:rsidP="00030EF2">
      <w:pPr>
        <w:jc w:val="both"/>
        <w:rPr>
          <w:sz w:val="24"/>
          <w:szCs w:val="24"/>
        </w:rPr>
      </w:pPr>
    </w:p>
    <w:sectPr w:rsidR="00DE7D3F" w:rsidRPr="00121A6A" w:rsidSect="004A4707">
      <w:headerReference w:type="default" r:id="rId10"/>
      <w:footerReference w:type="defaul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8BCE21" w14:textId="77777777" w:rsidR="002E0FC4" w:rsidRDefault="002E0FC4" w:rsidP="00DD2DBF">
      <w:pPr>
        <w:spacing w:after="0" w:line="240" w:lineRule="auto"/>
      </w:pPr>
      <w:r>
        <w:separator/>
      </w:r>
    </w:p>
  </w:endnote>
  <w:endnote w:type="continuationSeparator" w:id="0">
    <w:p w14:paraId="29E5931E" w14:textId="77777777" w:rsidR="002E0FC4" w:rsidRDefault="002E0FC4" w:rsidP="00DD2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6518246"/>
      <w:docPartObj>
        <w:docPartGallery w:val="Page Numbers (Bottom of Page)"/>
        <w:docPartUnique/>
      </w:docPartObj>
    </w:sdtPr>
    <w:sdtContent>
      <w:p w14:paraId="5FCCBABC" w14:textId="3DCE4355" w:rsidR="001E4F75" w:rsidRDefault="001E4F75">
        <w:pPr>
          <w:pStyle w:val="Footer"/>
          <w:jc w:val="right"/>
        </w:pPr>
        <w:r>
          <w:fldChar w:fldCharType="begin"/>
        </w:r>
        <w:r>
          <w:instrText>PAGE   \* MERGEFORMAT</w:instrText>
        </w:r>
        <w:r>
          <w:fldChar w:fldCharType="separate"/>
        </w:r>
        <w:r>
          <w:t>2</w:t>
        </w:r>
        <w:r>
          <w:fldChar w:fldCharType="end"/>
        </w:r>
      </w:p>
    </w:sdtContent>
  </w:sdt>
  <w:p w14:paraId="338D9921" w14:textId="77777777" w:rsidR="001E4F75" w:rsidRDefault="001E4F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9EFFD" w14:textId="77777777" w:rsidR="002E0FC4" w:rsidRDefault="002E0FC4" w:rsidP="00DD2DBF">
      <w:pPr>
        <w:spacing w:after="0" w:line="240" w:lineRule="auto"/>
      </w:pPr>
      <w:r>
        <w:separator/>
      </w:r>
    </w:p>
  </w:footnote>
  <w:footnote w:type="continuationSeparator" w:id="0">
    <w:p w14:paraId="57272314" w14:textId="77777777" w:rsidR="002E0FC4" w:rsidRDefault="002E0FC4" w:rsidP="00DD2DBF">
      <w:pPr>
        <w:spacing w:after="0" w:line="240" w:lineRule="auto"/>
      </w:pPr>
      <w:r>
        <w:continuationSeparator/>
      </w:r>
    </w:p>
  </w:footnote>
  <w:footnote w:id="1">
    <w:p w14:paraId="1FB0C92F" w14:textId="01D105F1" w:rsidR="002D3227" w:rsidRPr="007C528B" w:rsidRDefault="002D3227" w:rsidP="003820BE">
      <w:pPr>
        <w:pStyle w:val="FootnoteText"/>
        <w:jc w:val="both"/>
      </w:pPr>
      <w:r w:rsidRPr="007C528B">
        <w:rPr>
          <w:rStyle w:val="FootnoteReference"/>
        </w:rPr>
        <w:footnoteRef/>
      </w:r>
      <w:r w:rsidRPr="007C528B">
        <w:t xml:space="preserve"> ‘Tot nu toe 4 keer zoveel stakingen als in gemiddeld jaar’</w:t>
      </w:r>
      <w:r w:rsidR="00D43898">
        <w:t xml:space="preserve">, </w:t>
      </w:r>
      <w:hyperlink r:id="rId1" w:history="1">
        <w:r w:rsidR="004C1183">
          <w:rPr>
            <w:rStyle w:val="Hyperlink"/>
          </w:rPr>
          <w:t>fnv.nl</w:t>
        </w:r>
      </w:hyperlink>
      <w:r w:rsidR="004C1183">
        <w:t>; ‘</w:t>
      </w:r>
      <w:r w:rsidR="004C1183" w:rsidRPr="004C1183">
        <w:t>In 2023 meeste stakingen in meer dan halve eeuw</w:t>
      </w:r>
      <w:r w:rsidR="004C1183">
        <w:t xml:space="preserve">’, </w:t>
      </w:r>
      <w:hyperlink r:id="rId2" w:anchor=":~:text=Het%20CBS%20houdt%20ook%20bij,391%20duizend%20werkdagen%20verloren" w:history="1">
        <w:r w:rsidR="004C1183">
          <w:rPr>
            <w:rStyle w:val="Hyperlink"/>
          </w:rPr>
          <w:t>cbs.nl</w:t>
        </w:r>
      </w:hyperlink>
      <w:r w:rsidR="004C1183" w:rsidRPr="004C1183">
        <w:t>.</w:t>
      </w:r>
    </w:p>
  </w:footnote>
  <w:footnote w:id="2">
    <w:p w14:paraId="1F558EFE" w14:textId="5F00FF8C" w:rsidR="00EF597F" w:rsidRPr="00EF597F" w:rsidRDefault="00EF597F" w:rsidP="003820BE">
      <w:pPr>
        <w:pStyle w:val="FootnoteText"/>
        <w:jc w:val="both"/>
      </w:pPr>
      <w:r>
        <w:rPr>
          <w:rStyle w:val="FootnoteReference"/>
        </w:rPr>
        <w:footnoteRef/>
      </w:r>
      <w:r>
        <w:t xml:space="preserve"> Barentsen 2020, p. 415.</w:t>
      </w:r>
    </w:p>
  </w:footnote>
  <w:footnote w:id="3">
    <w:p w14:paraId="2F2FE3F9" w14:textId="575BAE42" w:rsidR="002D3227" w:rsidRPr="007C528B" w:rsidRDefault="002D3227" w:rsidP="003820BE">
      <w:pPr>
        <w:pStyle w:val="FootnoteText"/>
        <w:jc w:val="both"/>
      </w:pPr>
      <w:r w:rsidRPr="007C528B">
        <w:rPr>
          <w:rStyle w:val="FootnoteReference"/>
        </w:rPr>
        <w:footnoteRef/>
      </w:r>
      <w:r w:rsidRPr="007C528B">
        <w:t xml:space="preserve"> Het ESH uit 1961 is in 1996 herzien. Het recht op collectieve actie is echter ongewijzigd gebleven.</w:t>
      </w:r>
      <w:r w:rsidR="00321B24" w:rsidRPr="007C528B">
        <w:t xml:space="preserve"> </w:t>
      </w:r>
      <w:r w:rsidRPr="007C528B">
        <w:t xml:space="preserve">Om die reden </w:t>
      </w:r>
      <w:r w:rsidR="00BB157D" w:rsidRPr="007C528B">
        <w:t>blijft</w:t>
      </w:r>
      <w:r w:rsidRPr="007C528B">
        <w:t xml:space="preserve"> hierna de toevoeging ‘herzien’ achterwege.</w:t>
      </w:r>
    </w:p>
  </w:footnote>
  <w:footnote w:id="4">
    <w:p w14:paraId="7C59576A" w14:textId="4138DCBC" w:rsidR="00593412" w:rsidRPr="00093565" w:rsidRDefault="00593412" w:rsidP="003820BE">
      <w:pPr>
        <w:pStyle w:val="FootnoteText"/>
        <w:jc w:val="both"/>
      </w:pPr>
      <w:r w:rsidRPr="007C528B">
        <w:rPr>
          <w:rStyle w:val="FootnoteReference"/>
        </w:rPr>
        <w:footnoteRef/>
      </w:r>
      <w:r w:rsidRPr="0080665C">
        <w:t xml:space="preserve"> </w:t>
      </w:r>
      <w:r w:rsidR="00103CF8" w:rsidRPr="00093565">
        <w:t>HvJ EU 21 december 2016, C-201/15 (</w:t>
      </w:r>
      <w:r w:rsidR="00103CF8" w:rsidRPr="00093565">
        <w:rPr>
          <w:i/>
          <w:iCs/>
        </w:rPr>
        <w:t>AGET Iraklis</w:t>
      </w:r>
      <w:r w:rsidR="00103CF8" w:rsidRPr="00093565">
        <w:t>), m.nt. Laagland</w:t>
      </w:r>
      <w:r w:rsidR="00103CF8" w:rsidRPr="0080665C">
        <w:t xml:space="preserve">, </w:t>
      </w:r>
      <w:r w:rsidR="00103CF8" w:rsidRPr="0080665C">
        <w:rPr>
          <w:i/>
          <w:iCs/>
        </w:rPr>
        <w:t>AR Updates</w:t>
      </w:r>
      <w:r w:rsidR="00103CF8" w:rsidRPr="0080665C">
        <w:t xml:space="preserve"> 2017</w:t>
      </w:r>
      <w:r w:rsidR="00EF27AD" w:rsidRPr="0080665C">
        <w:t>.</w:t>
      </w:r>
      <w:r w:rsidR="00093565" w:rsidRPr="0080665C">
        <w:t xml:space="preserve"> </w:t>
      </w:r>
      <w:r w:rsidR="00093565" w:rsidRPr="00093565">
        <w:t xml:space="preserve">Zie nader </w:t>
      </w:r>
      <w:r w:rsidR="00093565">
        <w:t>par. 4.4.</w:t>
      </w:r>
    </w:p>
  </w:footnote>
  <w:footnote w:id="5">
    <w:p w14:paraId="6843658D" w14:textId="4B1DB7A0" w:rsidR="000C696E" w:rsidRPr="007C528B" w:rsidRDefault="000C696E" w:rsidP="003820BE">
      <w:pPr>
        <w:pStyle w:val="FootnoteText"/>
        <w:jc w:val="both"/>
      </w:pPr>
      <w:r w:rsidRPr="007C528B">
        <w:rPr>
          <w:rStyle w:val="FootnoteReference"/>
        </w:rPr>
        <w:footnoteRef/>
      </w:r>
      <w:r w:rsidRPr="007C528B">
        <w:t xml:space="preserve"> </w:t>
      </w:r>
      <w:r w:rsidR="00A034FA">
        <w:t>Een belangrijk verschil is dat h</w:t>
      </w:r>
      <w:r w:rsidR="00353901">
        <w:t xml:space="preserve">et ESH en ILO-Verdrag 87 gericht </w:t>
      </w:r>
      <w:r w:rsidR="00A034FA">
        <w:t xml:space="preserve">zijn </w:t>
      </w:r>
      <w:r w:rsidR="00353901">
        <w:t>op</w:t>
      </w:r>
      <w:r w:rsidR="00460E85">
        <w:t xml:space="preserve"> het</w:t>
      </w:r>
      <w:r w:rsidR="00353901">
        <w:t xml:space="preserve"> bescherm</w:t>
      </w:r>
      <w:r w:rsidR="00460E85">
        <w:t>en</w:t>
      </w:r>
      <w:r w:rsidR="00353901">
        <w:t xml:space="preserve"> van (collectieve) sociale grondrechten en fundamentele arbeidsnormen</w:t>
      </w:r>
      <w:r w:rsidR="00896E13">
        <w:t xml:space="preserve">, terwijl het </w:t>
      </w:r>
      <w:r w:rsidR="00353901" w:rsidRPr="007C528B">
        <w:t xml:space="preserve">EVRM primair een instrument </w:t>
      </w:r>
      <w:r w:rsidR="00896E13">
        <w:t xml:space="preserve">is </w:t>
      </w:r>
      <w:r w:rsidR="00353901" w:rsidRPr="007C528B">
        <w:t xml:space="preserve">voor </w:t>
      </w:r>
      <w:r w:rsidR="00460E85">
        <w:t xml:space="preserve">het </w:t>
      </w:r>
      <w:r w:rsidR="00353901" w:rsidRPr="007C528B">
        <w:t>bescherm</w:t>
      </w:r>
      <w:r w:rsidR="00460E85">
        <w:t>en</w:t>
      </w:r>
      <w:r w:rsidR="00353901" w:rsidRPr="007C528B">
        <w:t xml:space="preserve"> van klassieke grondrechten</w:t>
      </w:r>
      <w:r w:rsidR="00896E13">
        <w:t>.</w:t>
      </w:r>
      <w:r w:rsidR="00353901" w:rsidRPr="007C528B">
        <w:t xml:space="preserve"> </w:t>
      </w:r>
      <w:r w:rsidR="00896E13">
        <w:t xml:space="preserve">Het EVRM heeft echter </w:t>
      </w:r>
      <w:r w:rsidR="00EB2B78">
        <w:t xml:space="preserve">in de loop van de tijd </w:t>
      </w:r>
      <w:r w:rsidR="00A034FA">
        <w:t>tevens</w:t>
      </w:r>
      <w:r w:rsidR="00353901">
        <w:t xml:space="preserve"> </w:t>
      </w:r>
      <w:r w:rsidR="00353901" w:rsidRPr="007C528B">
        <w:t xml:space="preserve">een sociale dimensie </w:t>
      </w:r>
      <w:r w:rsidR="008C46D7">
        <w:t>gekregen</w:t>
      </w:r>
      <w:r w:rsidR="00A034FA">
        <w:t>.</w:t>
      </w:r>
    </w:p>
  </w:footnote>
  <w:footnote w:id="6">
    <w:p w14:paraId="6BB5BE08" w14:textId="7C0BC835" w:rsidR="004113DA" w:rsidRPr="007C528B" w:rsidRDefault="004113DA" w:rsidP="003820BE">
      <w:pPr>
        <w:pStyle w:val="FootnoteText"/>
        <w:jc w:val="both"/>
      </w:pPr>
      <w:r w:rsidRPr="007C528B">
        <w:rPr>
          <w:rStyle w:val="FootnoteReference"/>
        </w:rPr>
        <w:footnoteRef/>
      </w:r>
      <w:r w:rsidRPr="007C528B">
        <w:t xml:space="preserve"> De Vries, </w:t>
      </w:r>
      <w:r w:rsidRPr="007C528B">
        <w:rPr>
          <w:i/>
          <w:iCs/>
        </w:rPr>
        <w:t>N</w:t>
      </w:r>
      <w:r w:rsidR="00577940" w:rsidRPr="007C528B">
        <w:rPr>
          <w:i/>
          <w:iCs/>
        </w:rPr>
        <w:t>t</w:t>
      </w:r>
      <w:r w:rsidRPr="007C528B">
        <w:rPr>
          <w:i/>
          <w:iCs/>
        </w:rPr>
        <w:t>E</w:t>
      </w:r>
      <w:r w:rsidR="00721D64">
        <w:rPr>
          <w:i/>
          <w:iCs/>
        </w:rPr>
        <w:t>r</w:t>
      </w:r>
      <w:r w:rsidRPr="007C528B">
        <w:rPr>
          <w:i/>
          <w:iCs/>
        </w:rPr>
        <w:t xml:space="preserve"> </w:t>
      </w:r>
      <w:r w:rsidRPr="007C528B">
        <w:t>2013, p. 128-129.</w:t>
      </w:r>
    </w:p>
  </w:footnote>
  <w:footnote w:id="7">
    <w:p w14:paraId="0A7F04B7" w14:textId="68AF46BB" w:rsidR="00E72D1B" w:rsidRPr="007C528B" w:rsidRDefault="00E72D1B" w:rsidP="003820BE">
      <w:pPr>
        <w:pStyle w:val="FootnoteText"/>
        <w:jc w:val="both"/>
      </w:pPr>
      <w:r w:rsidRPr="007C528B">
        <w:rPr>
          <w:rStyle w:val="FootnoteReference"/>
        </w:rPr>
        <w:footnoteRef/>
      </w:r>
      <w:r w:rsidRPr="007C528B">
        <w:t xml:space="preserve"> </w:t>
      </w:r>
      <w:r w:rsidR="009774F9">
        <w:t>Zie</w:t>
      </w:r>
      <w:r w:rsidR="00FA1033" w:rsidRPr="007C528B">
        <w:t xml:space="preserve"> respectievelijk</w:t>
      </w:r>
      <w:r w:rsidRPr="007C528B">
        <w:t xml:space="preserve"> </w:t>
      </w:r>
      <w:r w:rsidR="009774F9">
        <w:t xml:space="preserve">de artikelen </w:t>
      </w:r>
      <w:r w:rsidRPr="007C528B">
        <w:t>28</w:t>
      </w:r>
      <w:r w:rsidR="009774F9">
        <w:t xml:space="preserve">, </w:t>
      </w:r>
      <w:r w:rsidRPr="007C528B">
        <w:t>45</w:t>
      </w:r>
      <w:r w:rsidR="009774F9">
        <w:t xml:space="preserve"> &amp;</w:t>
      </w:r>
      <w:r w:rsidRPr="007C528B">
        <w:t xml:space="preserve"> 49</w:t>
      </w:r>
      <w:r w:rsidR="009774F9">
        <w:t>,</w:t>
      </w:r>
      <w:r w:rsidRPr="007C528B">
        <w:t xml:space="preserve"> 56</w:t>
      </w:r>
      <w:r w:rsidR="009774F9">
        <w:t xml:space="preserve"> en</w:t>
      </w:r>
      <w:r w:rsidRPr="007C528B">
        <w:t xml:space="preserve"> 63 VwEU.</w:t>
      </w:r>
    </w:p>
  </w:footnote>
  <w:footnote w:id="8">
    <w:p w14:paraId="79991B57" w14:textId="2908A5BE" w:rsidR="004D4DAA" w:rsidRPr="007C528B" w:rsidRDefault="004D4DAA" w:rsidP="003820BE">
      <w:pPr>
        <w:pStyle w:val="FootnoteText"/>
        <w:jc w:val="both"/>
      </w:pPr>
      <w:r w:rsidRPr="007C528B">
        <w:rPr>
          <w:rStyle w:val="FootnoteReference"/>
        </w:rPr>
        <w:footnoteRef/>
      </w:r>
      <w:r w:rsidRPr="007C528B">
        <w:t xml:space="preserve"> </w:t>
      </w:r>
      <w:r w:rsidR="003F6201" w:rsidRPr="007C528B">
        <w:t xml:space="preserve">Zie </w:t>
      </w:r>
      <w:r w:rsidR="00FD2451" w:rsidRPr="007C528B">
        <w:t>hierover uitgebreid</w:t>
      </w:r>
      <w:r w:rsidR="003A6285" w:rsidRPr="007C528B">
        <w:t xml:space="preserve"> </w:t>
      </w:r>
      <w:r w:rsidR="003F6201" w:rsidRPr="007C528B">
        <w:t>Pennings &amp; Peters</w:t>
      </w:r>
      <w:r w:rsidR="006E4AE5" w:rsidRPr="007C528B">
        <w:t xml:space="preserve"> </w:t>
      </w:r>
      <w:r w:rsidR="003F6201" w:rsidRPr="007C528B">
        <w:t>2021</w:t>
      </w:r>
      <w:r w:rsidR="006E4AE5" w:rsidRPr="007C528B">
        <w:t xml:space="preserve">, par. </w:t>
      </w:r>
      <w:r w:rsidR="003F6201" w:rsidRPr="007C528B">
        <w:t>1.3</w:t>
      </w:r>
      <w:r w:rsidR="00FD2451" w:rsidRPr="007C528B">
        <w:t>.</w:t>
      </w:r>
    </w:p>
  </w:footnote>
  <w:footnote w:id="9">
    <w:p w14:paraId="60B5CBD4" w14:textId="3AC438F2" w:rsidR="00BD63DD" w:rsidRPr="00A56FB8" w:rsidRDefault="00BD63DD" w:rsidP="003820BE">
      <w:pPr>
        <w:pStyle w:val="FootnoteText"/>
        <w:jc w:val="both"/>
        <w:rPr>
          <w:lang w:val="fr-BE"/>
        </w:rPr>
      </w:pPr>
      <w:r w:rsidRPr="007C528B">
        <w:rPr>
          <w:rStyle w:val="FootnoteReference"/>
        </w:rPr>
        <w:footnoteRef/>
      </w:r>
      <w:r w:rsidRPr="00C76D59">
        <w:rPr>
          <w:lang w:val="fr-BE"/>
        </w:rPr>
        <w:t xml:space="preserve"> </w:t>
      </w:r>
      <w:r w:rsidR="00C405AF" w:rsidRPr="00C76D59">
        <w:rPr>
          <w:lang w:val="fr-BE"/>
        </w:rPr>
        <w:t xml:space="preserve">De Vries, </w:t>
      </w:r>
      <w:r w:rsidR="007B3338" w:rsidRPr="00C76D59">
        <w:rPr>
          <w:i/>
          <w:iCs/>
          <w:lang w:val="fr-BE"/>
        </w:rPr>
        <w:t>ULR</w:t>
      </w:r>
      <w:r w:rsidR="00C405AF" w:rsidRPr="00C76D59">
        <w:rPr>
          <w:i/>
          <w:iCs/>
          <w:lang w:val="fr-BE"/>
        </w:rPr>
        <w:t xml:space="preserve"> </w:t>
      </w:r>
      <w:r w:rsidR="00C405AF" w:rsidRPr="00C76D59">
        <w:rPr>
          <w:lang w:val="fr-BE"/>
        </w:rPr>
        <w:t>2013, p. 175-</w:t>
      </w:r>
      <w:r w:rsidR="00351731" w:rsidRPr="00C76D59">
        <w:rPr>
          <w:lang w:val="fr-BE"/>
        </w:rPr>
        <w:t>176</w:t>
      </w:r>
      <w:r w:rsidR="00A56FB8" w:rsidRPr="00C76D59">
        <w:rPr>
          <w:lang w:val="fr-BE"/>
        </w:rPr>
        <w:t xml:space="preserve"> &amp; par. 3.</w:t>
      </w:r>
    </w:p>
  </w:footnote>
  <w:footnote w:id="10">
    <w:p w14:paraId="428B38F5" w14:textId="77777777" w:rsidR="00FD5C42" w:rsidRDefault="00FD5C42" w:rsidP="003820BE">
      <w:pPr>
        <w:pStyle w:val="FootnoteText"/>
        <w:jc w:val="both"/>
      </w:pPr>
      <w:r>
        <w:rPr>
          <w:rStyle w:val="FootnoteReference"/>
        </w:rPr>
        <w:footnoteRef/>
      </w:r>
      <w:r>
        <w:t xml:space="preserve"> Waar verordeningen rechtstreeks doorwerken in de nationale rechtsorde, moeten richtlijnen worden omgezet in nationaal recht. Het Handvest is van toepassing op nationaal recht dat een Unierichtlijn (onjuist) implementeert.</w:t>
      </w:r>
    </w:p>
  </w:footnote>
  <w:footnote w:id="11">
    <w:p w14:paraId="5C984D35" w14:textId="63DB19D0" w:rsidR="0041154A" w:rsidRPr="007C528B" w:rsidRDefault="0041154A" w:rsidP="003820BE">
      <w:pPr>
        <w:pStyle w:val="FootnoteText"/>
        <w:jc w:val="both"/>
      </w:pPr>
      <w:r w:rsidRPr="007C528B">
        <w:rPr>
          <w:rStyle w:val="FootnoteReference"/>
        </w:rPr>
        <w:footnoteRef/>
      </w:r>
      <w:r w:rsidRPr="007C528B">
        <w:t xml:space="preserve"> </w:t>
      </w:r>
      <w:r w:rsidR="00BC08B1">
        <w:t>De</w:t>
      </w:r>
      <w:r w:rsidRPr="007C528B">
        <w:t xml:space="preserve"> Europese wetgever </w:t>
      </w:r>
      <w:r w:rsidR="00BC08B1">
        <w:t xml:space="preserve">mag </w:t>
      </w:r>
      <w:r w:rsidRPr="007C528B">
        <w:t xml:space="preserve">het stakingsrecht </w:t>
      </w:r>
      <w:r w:rsidR="006F06AA" w:rsidRPr="007C528B">
        <w:t xml:space="preserve">niet </w:t>
      </w:r>
      <w:r w:rsidRPr="007C528B">
        <w:t>reguleren middels richtlijnen vastgesteld op basis van de gewone wetgevingsprocedure</w:t>
      </w:r>
      <w:r w:rsidR="00BC08B1">
        <w:t>.</w:t>
      </w:r>
      <w:r w:rsidRPr="007C528B">
        <w:t xml:space="preserve"> </w:t>
      </w:r>
      <w:r w:rsidR="008472C3">
        <w:t xml:space="preserve">Volgens </w:t>
      </w:r>
      <w:r w:rsidR="00460E85">
        <w:t>c</w:t>
      </w:r>
      <w:r w:rsidR="008472C3">
        <w:t>oncl.</w:t>
      </w:r>
      <w:r w:rsidR="008472C3" w:rsidRPr="007C528B">
        <w:t xml:space="preserve"> A-G Mengozzi 23 mei 2007, C-341/05, par. 57 (</w:t>
      </w:r>
      <w:r w:rsidR="008472C3" w:rsidRPr="007C528B">
        <w:rPr>
          <w:i/>
          <w:iCs/>
        </w:rPr>
        <w:t>Laval</w:t>
      </w:r>
      <w:r w:rsidR="008472C3" w:rsidRPr="007C528B">
        <w:t>)</w:t>
      </w:r>
      <w:r w:rsidR="008472C3">
        <w:t>, mag evenmin</w:t>
      </w:r>
      <w:r w:rsidR="00BC08B1">
        <w:t xml:space="preserve"> </w:t>
      </w:r>
      <w:r w:rsidR="00A633D0" w:rsidRPr="007C528B">
        <w:t>op basis van</w:t>
      </w:r>
      <w:r w:rsidR="00BC08B1">
        <w:t xml:space="preserve"> </w:t>
      </w:r>
      <w:r w:rsidR="00F8511E">
        <w:t xml:space="preserve">een andere </w:t>
      </w:r>
      <w:r w:rsidR="001029D8">
        <w:t xml:space="preserve">juridische </w:t>
      </w:r>
      <w:r w:rsidR="00F8511E">
        <w:t>grondslag</w:t>
      </w:r>
      <w:r w:rsidR="001029D8">
        <w:t>, zoals artikel 352 VwEU,</w:t>
      </w:r>
      <w:r w:rsidR="00F8511E">
        <w:t xml:space="preserve"> stakings</w:t>
      </w:r>
      <w:r w:rsidR="006F06AA" w:rsidRPr="007C528B">
        <w:t>wetgeving worden aangenomen</w:t>
      </w:r>
      <w:r w:rsidR="00BC08B1">
        <w:t>.</w:t>
      </w:r>
    </w:p>
  </w:footnote>
  <w:footnote w:id="12">
    <w:p w14:paraId="2D8FCBC6" w14:textId="23D1764C" w:rsidR="00E5661F" w:rsidRPr="00616743" w:rsidRDefault="00E5661F" w:rsidP="003820BE">
      <w:pPr>
        <w:pStyle w:val="FootnoteText"/>
        <w:jc w:val="both"/>
      </w:pPr>
      <w:r w:rsidRPr="007C528B">
        <w:rPr>
          <w:rStyle w:val="FootnoteReference"/>
        </w:rPr>
        <w:footnoteRef/>
      </w:r>
      <w:r w:rsidRPr="007C528B">
        <w:t xml:space="preserve"> </w:t>
      </w:r>
      <w:r w:rsidR="001029D8" w:rsidRPr="007C528B">
        <w:t>Strikt genomen bevindt het</w:t>
      </w:r>
      <w:r w:rsidR="001029D8">
        <w:t xml:space="preserve"> </w:t>
      </w:r>
      <w:r w:rsidR="001029D8" w:rsidRPr="007C528B">
        <w:rPr>
          <w:i/>
          <w:iCs/>
        </w:rPr>
        <w:t>Laval</w:t>
      </w:r>
      <w:r w:rsidR="001029D8" w:rsidRPr="007C528B">
        <w:t xml:space="preserve">-arrest </w:t>
      </w:r>
      <w:r w:rsidR="001029D8">
        <w:t xml:space="preserve">(hierna) </w:t>
      </w:r>
      <w:r w:rsidR="001029D8" w:rsidRPr="007C528B">
        <w:t>zich tussen</w:t>
      </w:r>
      <w:r w:rsidR="001029D8">
        <w:t xml:space="preserve"> de </w:t>
      </w:r>
      <w:r w:rsidR="001029D8">
        <w:rPr>
          <w:i/>
          <w:iCs/>
        </w:rPr>
        <w:t>ERT</w:t>
      </w:r>
      <w:r w:rsidR="001029D8">
        <w:t xml:space="preserve">-doctrine </w:t>
      </w:r>
      <w:r w:rsidR="00EF237A">
        <w:t xml:space="preserve">en </w:t>
      </w:r>
      <w:r w:rsidR="00EF237A">
        <w:rPr>
          <w:i/>
          <w:iCs/>
        </w:rPr>
        <w:t>Wachauf</w:t>
      </w:r>
      <w:r w:rsidR="00EF237A">
        <w:t>-uitvoering</w:t>
      </w:r>
      <w:r w:rsidR="00EF237A" w:rsidRPr="007C528B">
        <w:t xml:space="preserve"> </w:t>
      </w:r>
      <w:r w:rsidR="001029D8">
        <w:t>in</w:t>
      </w:r>
      <w:r w:rsidR="001029D8" w:rsidRPr="007C528B">
        <w:t xml:space="preserve">: </w:t>
      </w:r>
      <w:r w:rsidR="00EF237A">
        <w:t xml:space="preserve">enerzijds </w:t>
      </w:r>
      <w:r w:rsidR="00F94D03">
        <w:t>bestaat een</w:t>
      </w:r>
      <w:r w:rsidR="001029D8" w:rsidRPr="007C528B">
        <w:t xml:space="preserve"> link met Unierecht </w:t>
      </w:r>
      <w:r w:rsidR="00F94D03">
        <w:t>vanwege</w:t>
      </w:r>
      <w:r w:rsidR="001029D8" w:rsidRPr="007C528B">
        <w:t xml:space="preserve"> een beperking van het vrije dienstenverkeer</w:t>
      </w:r>
      <w:r w:rsidR="00F94D03">
        <w:t xml:space="preserve">; </w:t>
      </w:r>
      <w:r w:rsidR="00EF237A">
        <w:t>anderzijds</w:t>
      </w:r>
      <w:r w:rsidR="001029D8" w:rsidRPr="007C528B">
        <w:t xml:space="preserve"> </w:t>
      </w:r>
      <w:r w:rsidR="007F7D32">
        <w:t>wordt</w:t>
      </w:r>
      <w:r w:rsidR="00E01059">
        <w:t xml:space="preserve"> tevens</w:t>
      </w:r>
      <w:r w:rsidR="001029D8" w:rsidRPr="007C528B">
        <w:t xml:space="preserve"> </w:t>
      </w:r>
      <w:r w:rsidR="00BA1E9C">
        <w:t xml:space="preserve">uitleg gegeven aan </w:t>
      </w:r>
      <w:r w:rsidR="001029D8" w:rsidRPr="007C528B">
        <w:t>de Detacheringsrichtlijn.</w:t>
      </w:r>
      <w:r w:rsidR="001029D8">
        <w:t xml:space="preserve"> Hetzelfde geldt voor een staking die het vrije goederenverkeer belemmert: in zo’n geval </w:t>
      </w:r>
      <w:r w:rsidR="007F7D32">
        <w:t>is</w:t>
      </w:r>
      <w:r w:rsidR="00F94D03">
        <w:t xml:space="preserve"> tevens </w:t>
      </w:r>
      <w:r w:rsidR="001029D8">
        <w:t>de Monti I-verordening (par. 2.3)</w:t>
      </w:r>
      <w:r w:rsidR="007F7D32">
        <w:t xml:space="preserve"> van toepassing</w:t>
      </w:r>
      <w:r w:rsidR="00326B61">
        <w:t>.</w:t>
      </w:r>
      <w:r w:rsidR="00062530">
        <w:t xml:space="preserve"> </w:t>
      </w:r>
      <w:r w:rsidR="003B38A1">
        <w:t>A</w:t>
      </w:r>
      <w:r w:rsidR="00062530">
        <w:t xml:space="preserve">angezien beide wetgevingsinstrumenten een interne marktbasis hebben, </w:t>
      </w:r>
      <w:r w:rsidR="007C0476">
        <w:t xml:space="preserve">draait het </w:t>
      </w:r>
      <w:r w:rsidR="00811630">
        <w:t xml:space="preserve">mijns inziens </w:t>
      </w:r>
      <w:r w:rsidR="00F94D03">
        <w:t xml:space="preserve">evenwel </w:t>
      </w:r>
      <w:r w:rsidR="007C0476">
        <w:t xml:space="preserve">primair om de </w:t>
      </w:r>
      <w:r w:rsidR="007C0476">
        <w:rPr>
          <w:i/>
          <w:iCs/>
        </w:rPr>
        <w:t>ERT</w:t>
      </w:r>
      <w:r w:rsidR="007C0476">
        <w:t>-doctrine.</w:t>
      </w:r>
    </w:p>
  </w:footnote>
  <w:footnote w:id="13">
    <w:p w14:paraId="7A16D1AB" w14:textId="100CD740" w:rsidR="00BC6330" w:rsidRPr="007C528B" w:rsidRDefault="00BC6330" w:rsidP="003820BE">
      <w:pPr>
        <w:pStyle w:val="FootnoteText"/>
        <w:jc w:val="both"/>
      </w:pPr>
      <w:r w:rsidRPr="007C528B">
        <w:rPr>
          <w:rStyle w:val="FootnoteReference"/>
        </w:rPr>
        <w:footnoteRef/>
      </w:r>
      <w:r w:rsidRPr="007C528B">
        <w:t xml:space="preserve"> </w:t>
      </w:r>
      <w:r w:rsidR="005B5057">
        <w:t xml:space="preserve">Zie </w:t>
      </w:r>
      <w:r w:rsidR="00C56AA2">
        <w:t>onder andere</w:t>
      </w:r>
      <w:r w:rsidR="00A6173C">
        <w:t>:</w:t>
      </w:r>
      <w:r w:rsidRPr="007C528B">
        <w:t xml:space="preserve"> </w:t>
      </w:r>
      <w:r w:rsidR="003F462F">
        <w:t xml:space="preserve">Bercusson, </w:t>
      </w:r>
      <w:r w:rsidR="003F462F">
        <w:rPr>
          <w:i/>
          <w:iCs/>
        </w:rPr>
        <w:t xml:space="preserve">ELJ </w:t>
      </w:r>
      <w:r w:rsidR="003F462F">
        <w:t xml:space="preserve">2007, p. 289, 293-294 &amp; </w:t>
      </w:r>
      <w:r w:rsidR="005973F9">
        <w:t>303-308;</w:t>
      </w:r>
      <w:r w:rsidR="003F462F">
        <w:t xml:space="preserve"> </w:t>
      </w:r>
      <w:r w:rsidR="005B5057" w:rsidRPr="007C528B">
        <w:t xml:space="preserve">Jaspers, </w:t>
      </w:r>
      <w:r w:rsidR="005B5057" w:rsidRPr="007C528B">
        <w:rPr>
          <w:i/>
          <w:iCs/>
        </w:rPr>
        <w:t>TRA</w:t>
      </w:r>
      <w:r w:rsidR="00287799">
        <w:rPr>
          <w:i/>
          <w:iCs/>
        </w:rPr>
        <w:t xml:space="preserve"> (archief SR)</w:t>
      </w:r>
      <w:r w:rsidR="005B5057" w:rsidRPr="007C528B">
        <w:rPr>
          <w:i/>
          <w:iCs/>
        </w:rPr>
        <w:t xml:space="preserve"> </w:t>
      </w:r>
      <w:r w:rsidR="005B5057" w:rsidRPr="007C528B">
        <w:t>2008/12</w:t>
      </w:r>
      <w:r w:rsidR="005B5057">
        <w:t xml:space="preserve">; </w:t>
      </w:r>
      <w:r w:rsidRPr="007C528B">
        <w:t xml:space="preserve">Hös, </w:t>
      </w:r>
      <w:r w:rsidRPr="007C528B">
        <w:rPr>
          <w:i/>
          <w:iCs/>
        </w:rPr>
        <w:t xml:space="preserve">ELLJ </w:t>
      </w:r>
      <w:r w:rsidRPr="007C528B">
        <w:t xml:space="preserve">2010, par. 1 &amp; 4; </w:t>
      </w:r>
      <w:bookmarkStart w:id="5" w:name="_Hlk147929577"/>
      <w:r w:rsidRPr="007C528B">
        <w:t xml:space="preserve">Barnard, </w:t>
      </w:r>
      <w:r w:rsidRPr="007C528B">
        <w:rPr>
          <w:i/>
          <w:iCs/>
        </w:rPr>
        <w:t xml:space="preserve">CLP </w:t>
      </w:r>
      <w:r w:rsidRPr="007C528B">
        <w:t>2014, p.</w:t>
      </w:r>
      <w:bookmarkEnd w:id="5"/>
      <w:r w:rsidRPr="007C528B">
        <w:t xml:space="preserve"> 205-206 &amp; </w:t>
      </w:r>
      <w:r w:rsidR="00626DB8" w:rsidRPr="007C528B">
        <w:t>218-</w:t>
      </w:r>
      <w:r w:rsidRPr="007C528B">
        <w:t xml:space="preserve">219; </w:t>
      </w:r>
      <w:bookmarkStart w:id="6" w:name="_Hlk147925474"/>
      <w:r w:rsidRPr="007C528B">
        <w:t xml:space="preserve">Giubboni, </w:t>
      </w:r>
      <w:r w:rsidRPr="007C528B">
        <w:rPr>
          <w:i/>
          <w:iCs/>
        </w:rPr>
        <w:t>ELJ</w:t>
      </w:r>
      <w:r w:rsidRPr="007C528B">
        <w:t xml:space="preserve"> 2018, p. 12</w:t>
      </w:r>
      <w:bookmarkEnd w:id="6"/>
      <w:r w:rsidRPr="007C528B">
        <w:t>-13</w:t>
      </w:r>
      <w:r w:rsidR="00BD64DA" w:rsidRPr="007C528B">
        <w:t xml:space="preserve">; </w:t>
      </w:r>
      <w:r w:rsidR="00F739E0">
        <w:t xml:space="preserve">Voogsgeerd, </w:t>
      </w:r>
      <w:r w:rsidR="00F739E0">
        <w:rPr>
          <w:i/>
          <w:iCs/>
        </w:rPr>
        <w:t xml:space="preserve">SEW </w:t>
      </w:r>
      <w:r w:rsidR="00F739E0">
        <w:t>2024, par. 2.</w:t>
      </w:r>
      <w:r w:rsidRPr="007C528B">
        <w:t xml:space="preserve"> Anders: </w:t>
      </w:r>
      <w:bookmarkStart w:id="7" w:name="_Hlk149293553"/>
      <w:r w:rsidRPr="007C528B">
        <w:t>Leczykiewicz 2014</w:t>
      </w:r>
      <w:bookmarkEnd w:id="7"/>
      <w:r w:rsidRPr="007C528B">
        <w:t>, p. 307-322.</w:t>
      </w:r>
    </w:p>
  </w:footnote>
  <w:footnote w:id="14">
    <w:p w14:paraId="6D1A658F" w14:textId="5B80FBAB" w:rsidR="00EC2351" w:rsidRPr="007C528B" w:rsidRDefault="00EC2351" w:rsidP="003820BE">
      <w:pPr>
        <w:pStyle w:val="FootnoteText"/>
        <w:jc w:val="both"/>
      </w:pPr>
      <w:r w:rsidRPr="007C528B">
        <w:rPr>
          <w:rStyle w:val="FootnoteReference"/>
        </w:rPr>
        <w:footnoteRef/>
      </w:r>
      <w:r w:rsidRPr="007C528B">
        <w:t xml:space="preserve"> </w:t>
      </w:r>
      <w:r w:rsidR="00D77474">
        <w:t>Officieel</w:t>
      </w:r>
      <w:r w:rsidRPr="007C528B">
        <w:t xml:space="preserve"> kunnen alleen de arresten van het HvJ en het EHRM als ‘rechtspraak’ of ‘jurisprudentie’ worden beschouwd</w:t>
      </w:r>
      <w:r w:rsidR="00AC358D">
        <w:t>.</w:t>
      </w:r>
      <w:r w:rsidRPr="007C528B">
        <w:t xml:space="preserve"> </w:t>
      </w:r>
      <w:r w:rsidR="00AC358D">
        <w:t>I</w:t>
      </w:r>
      <w:r w:rsidRPr="007C528B">
        <w:t>nterpretaties van de CoE/CFA en het ECSR zijn juridisch niet-</w:t>
      </w:r>
      <w:r w:rsidR="009E7259" w:rsidRPr="007C528B">
        <w:t>bindende</w:t>
      </w:r>
      <w:r w:rsidRPr="007C528B">
        <w:t xml:space="preserve"> (maar wel gezaghebbende) ‘conclusies’ en ‘beslissingen’</w:t>
      </w:r>
      <w:r w:rsidR="00AE6FBD">
        <w:t xml:space="preserve"> (par. 3.2)</w:t>
      </w:r>
      <w:r w:rsidRPr="007C528B">
        <w:t xml:space="preserve">. </w:t>
      </w:r>
      <w:r w:rsidR="00AE6FBD">
        <w:t>Kortheidshalve</w:t>
      </w:r>
      <w:r w:rsidRPr="007C528B">
        <w:t xml:space="preserve"> worden de verschillende termen </w:t>
      </w:r>
      <w:r w:rsidR="00AE6FBD">
        <w:t xml:space="preserve">hierna </w:t>
      </w:r>
      <w:r w:rsidRPr="007C528B">
        <w:t>door elkaar gebruikt.</w:t>
      </w:r>
    </w:p>
  </w:footnote>
  <w:footnote w:id="15">
    <w:p w14:paraId="638688F2" w14:textId="705351EF" w:rsidR="00DB2A8B" w:rsidRPr="007C528B" w:rsidRDefault="00DB2A8B" w:rsidP="003820BE">
      <w:pPr>
        <w:pStyle w:val="FootnoteText"/>
        <w:jc w:val="both"/>
      </w:pPr>
      <w:r w:rsidRPr="007C528B">
        <w:rPr>
          <w:rStyle w:val="FootnoteReference"/>
        </w:rPr>
        <w:footnoteRef/>
      </w:r>
      <w:r w:rsidRPr="007C528B">
        <w:t xml:space="preserve"> Dorssemont, </w:t>
      </w:r>
      <w:r w:rsidRPr="007C528B">
        <w:rPr>
          <w:i/>
          <w:iCs/>
        </w:rPr>
        <w:t>ArA</w:t>
      </w:r>
      <w:r w:rsidRPr="007C528B">
        <w:t xml:space="preserve"> 2021, p. 43</w:t>
      </w:r>
      <w:r>
        <w:t xml:space="preserve">; </w:t>
      </w:r>
      <w:r w:rsidRPr="007C528B">
        <w:t xml:space="preserve">Ellingsen, </w:t>
      </w:r>
      <w:r w:rsidRPr="007C528B">
        <w:rPr>
          <w:i/>
          <w:iCs/>
        </w:rPr>
        <w:t>CMLR</w:t>
      </w:r>
      <w:r w:rsidRPr="007C528B">
        <w:t xml:space="preserve"> 2022, p. 584 &amp; 601-602</w:t>
      </w:r>
      <w:r>
        <w:t>.</w:t>
      </w:r>
    </w:p>
  </w:footnote>
  <w:footnote w:id="16">
    <w:p w14:paraId="79371FD1" w14:textId="67624538" w:rsidR="00343B0A" w:rsidRDefault="00343B0A" w:rsidP="003820BE">
      <w:pPr>
        <w:pStyle w:val="FootnoteText"/>
        <w:jc w:val="both"/>
      </w:pPr>
      <w:r>
        <w:rPr>
          <w:rStyle w:val="FootnoteReference"/>
        </w:rPr>
        <w:footnoteRef/>
      </w:r>
      <w:r>
        <w:t xml:space="preserve"> </w:t>
      </w:r>
      <w:r w:rsidR="009928AA">
        <w:t xml:space="preserve">Ten opzichte van </w:t>
      </w:r>
      <w:r w:rsidRPr="007C528B">
        <w:t xml:space="preserve">het ESH en ILO-Verdrag 87 zal </w:t>
      </w:r>
      <w:r>
        <w:t xml:space="preserve">volgens Laagland, </w:t>
      </w:r>
      <w:r>
        <w:rPr>
          <w:i/>
          <w:iCs/>
        </w:rPr>
        <w:t xml:space="preserve">AR Updates </w:t>
      </w:r>
      <w:r>
        <w:t xml:space="preserve">2017, par. 3, het </w:t>
      </w:r>
      <w:r w:rsidR="009928AA">
        <w:t>Unie</w:t>
      </w:r>
      <w:r>
        <w:t xml:space="preserve">recht </w:t>
      </w:r>
      <w:r w:rsidRPr="007C528B">
        <w:t xml:space="preserve">prevaleren. Bij strijd tussen het EVRM en </w:t>
      </w:r>
      <w:r w:rsidR="009928AA">
        <w:t xml:space="preserve">het </w:t>
      </w:r>
      <w:r w:rsidRPr="007C528B">
        <w:t>Unierecht ligt dit genuanceerder</w:t>
      </w:r>
      <w:r>
        <w:t xml:space="preserve">, maar volgens </w:t>
      </w:r>
      <w:r w:rsidR="00460E85">
        <w:t>c</w:t>
      </w:r>
      <w:r>
        <w:t>oncl.</w:t>
      </w:r>
      <w:r w:rsidRPr="007C528B">
        <w:t xml:space="preserve"> A-G Widdershoven 18 mei 2022, </w:t>
      </w:r>
      <w:r w:rsidRPr="008132AB">
        <w:rPr>
          <w:i/>
          <w:iCs/>
        </w:rPr>
        <w:t>JOM</w:t>
      </w:r>
      <w:r w:rsidRPr="008132AB">
        <w:t xml:space="preserve"> 2022/234</w:t>
      </w:r>
      <w:r>
        <w:t xml:space="preserve">, </w:t>
      </w:r>
      <w:r w:rsidRPr="007C528B">
        <w:t>par. 5.4</w:t>
      </w:r>
      <w:r>
        <w:t xml:space="preserve">, </w:t>
      </w:r>
      <w:r w:rsidR="00AC358D">
        <w:t>zal</w:t>
      </w:r>
      <w:r>
        <w:t xml:space="preserve"> ook hier het EU-recht</w:t>
      </w:r>
      <w:r w:rsidR="00AC358D">
        <w:t xml:space="preserve"> uiteindelijk primeren</w:t>
      </w:r>
      <w:r>
        <w:t>.</w:t>
      </w:r>
    </w:p>
  </w:footnote>
  <w:footnote w:id="17">
    <w:p w14:paraId="46D0F9E2" w14:textId="1EE0DD15" w:rsidR="00171EDC" w:rsidRPr="0031639C" w:rsidRDefault="00171EDC" w:rsidP="003820BE">
      <w:pPr>
        <w:pStyle w:val="FootnoteText"/>
        <w:jc w:val="both"/>
      </w:pPr>
      <w:r>
        <w:rPr>
          <w:rStyle w:val="FootnoteReference"/>
        </w:rPr>
        <w:footnoteRef/>
      </w:r>
      <w:r>
        <w:t xml:space="preserve"> </w:t>
      </w:r>
      <w:r w:rsidR="00DB3351" w:rsidRPr="007C528B">
        <w:rPr>
          <w:bCs/>
        </w:rPr>
        <w:t xml:space="preserve">Reich, </w:t>
      </w:r>
      <w:r w:rsidR="00DB3351" w:rsidRPr="007C528B">
        <w:rPr>
          <w:bCs/>
          <w:i/>
          <w:iCs/>
        </w:rPr>
        <w:t>GLJ</w:t>
      </w:r>
      <w:r w:rsidR="00DB3351" w:rsidRPr="007C528B">
        <w:rPr>
          <w:bCs/>
        </w:rPr>
        <w:t xml:space="preserve"> 2008, p. 159</w:t>
      </w:r>
      <w:r w:rsidR="00DB3351">
        <w:rPr>
          <w:bCs/>
        </w:rPr>
        <w:t xml:space="preserve">-160; </w:t>
      </w:r>
      <w:r w:rsidR="0031639C">
        <w:t xml:space="preserve">Barnard, </w:t>
      </w:r>
      <w:r w:rsidR="0031639C">
        <w:rPr>
          <w:i/>
          <w:iCs/>
        </w:rPr>
        <w:t>CLJ</w:t>
      </w:r>
      <w:r w:rsidR="0031639C">
        <w:t xml:space="preserve"> 2008, p. 264; Picard, </w:t>
      </w:r>
      <w:r w:rsidR="0031639C">
        <w:rPr>
          <w:i/>
          <w:iCs/>
        </w:rPr>
        <w:t>ERLR</w:t>
      </w:r>
      <w:r w:rsidR="0031639C">
        <w:t xml:space="preserve"> 2008, p. 164-165.</w:t>
      </w:r>
    </w:p>
  </w:footnote>
  <w:footnote w:id="18">
    <w:p w14:paraId="304D25AB" w14:textId="10869F3F" w:rsidR="00171EDC" w:rsidRPr="00AC270D" w:rsidRDefault="00171EDC" w:rsidP="003820BE">
      <w:pPr>
        <w:pStyle w:val="FootnoteText"/>
        <w:jc w:val="both"/>
      </w:pPr>
      <w:r>
        <w:rPr>
          <w:rStyle w:val="FootnoteReference"/>
        </w:rPr>
        <w:footnoteRef/>
      </w:r>
      <w:r>
        <w:t xml:space="preserve"> Reynolds, </w:t>
      </w:r>
      <w:r>
        <w:rPr>
          <w:i/>
          <w:iCs/>
        </w:rPr>
        <w:t>CMLR</w:t>
      </w:r>
      <w:r>
        <w:t xml:space="preserve"> 2016, par. 1-5.</w:t>
      </w:r>
    </w:p>
  </w:footnote>
  <w:footnote w:id="19">
    <w:p w14:paraId="36620171" w14:textId="74DB29E8" w:rsidR="002670A7" w:rsidRDefault="002670A7" w:rsidP="003820BE">
      <w:pPr>
        <w:pStyle w:val="FootnoteText"/>
        <w:jc w:val="both"/>
      </w:pPr>
      <w:r>
        <w:rPr>
          <w:rStyle w:val="FootnoteReference"/>
        </w:rPr>
        <w:footnoteRef/>
      </w:r>
      <w:r>
        <w:t xml:space="preserve"> Relevante handboeken in dit verband zijn Dorssemont &amp; Rocca 2019, </w:t>
      </w:r>
      <w:r w:rsidRPr="00DC38DA">
        <w:t>p. 465-504</w:t>
      </w:r>
      <w:r>
        <w:t>; Barnard 2021, p. 805-826.</w:t>
      </w:r>
    </w:p>
  </w:footnote>
  <w:footnote w:id="20">
    <w:p w14:paraId="11BE408E" w14:textId="4A7DC35F" w:rsidR="009B3721" w:rsidRPr="007C528B" w:rsidRDefault="009B3721" w:rsidP="003820BE">
      <w:pPr>
        <w:pStyle w:val="FootnoteText"/>
        <w:jc w:val="both"/>
      </w:pPr>
      <w:r w:rsidRPr="007C528B">
        <w:rPr>
          <w:rStyle w:val="FootnoteReference"/>
        </w:rPr>
        <w:footnoteRef/>
      </w:r>
      <w:r w:rsidRPr="007C528B">
        <w:t xml:space="preserve"> </w:t>
      </w:r>
      <w:r>
        <w:t>H</w:t>
      </w:r>
      <w:r w:rsidRPr="007C528B">
        <w:t xml:space="preserve">et </w:t>
      </w:r>
      <w:r>
        <w:t>begrip ‘staking’</w:t>
      </w:r>
      <w:r w:rsidRPr="007C528B">
        <w:t xml:space="preserve"> </w:t>
      </w:r>
      <w:r>
        <w:t xml:space="preserve">valt </w:t>
      </w:r>
      <w:r w:rsidR="000E2245">
        <w:t xml:space="preserve">strikt genomen </w:t>
      </w:r>
      <w:r w:rsidRPr="007C528B">
        <w:t xml:space="preserve">onder het bredere concept ‘collectieve actie’, welk concept </w:t>
      </w:r>
      <w:r>
        <w:t xml:space="preserve">velerlei soorten acties </w:t>
      </w:r>
      <w:r w:rsidRPr="007C528B">
        <w:t xml:space="preserve">omvat. </w:t>
      </w:r>
      <w:r>
        <w:t>Het gaat dan niet alleen om werkonderbrekingen, maar bijvoorbeeld ook om blokkades en boycots. In het navolgende</w:t>
      </w:r>
      <w:r w:rsidRPr="007C528B">
        <w:t xml:space="preserve"> worden beide begrippen</w:t>
      </w:r>
      <w:r w:rsidR="000E2245">
        <w:t xml:space="preserve"> evenwel</w:t>
      </w:r>
      <w:r w:rsidRPr="007C528B">
        <w:t xml:space="preserve"> door elkaar gebruikt.</w:t>
      </w:r>
    </w:p>
  </w:footnote>
  <w:footnote w:id="21">
    <w:p w14:paraId="0E8C5D20" w14:textId="4CF78474" w:rsidR="00917841" w:rsidRPr="001732FB" w:rsidRDefault="00917841" w:rsidP="003820BE">
      <w:pPr>
        <w:pStyle w:val="FootnoteText"/>
        <w:jc w:val="both"/>
        <w:rPr>
          <w:lang w:val="en-US"/>
        </w:rPr>
      </w:pPr>
      <w:r>
        <w:rPr>
          <w:rStyle w:val="FootnoteReference"/>
        </w:rPr>
        <w:footnoteRef/>
      </w:r>
      <w:r w:rsidRPr="001732FB">
        <w:rPr>
          <w:lang w:val="en-US"/>
        </w:rPr>
        <w:t xml:space="preserve"> CFA-decisions 2018, nrs. 758-759 &amp; 766-767</w:t>
      </w:r>
      <w:r w:rsidR="000E2245">
        <w:rPr>
          <w:lang w:val="en-US"/>
        </w:rPr>
        <w:t xml:space="preserve">; </w:t>
      </w:r>
      <w:r w:rsidR="000E2245" w:rsidRPr="001732FB">
        <w:rPr>
          <w:lang w:val="en-US"/>
        </w:rPr>
        <w:t>Digest of the ECSR case law 2022, p. 89-91</w:t>
      </w:r>
      <w:r w:rsidR="000E2245">
        <w:rPr>
          <w:lang w:val="en-US"/>
        </w:rPr>
        <w:t>.</w:t>
      </w:r>
    </w:p>
  </w:footnote>
  <w:footnote w:id="22">
    <w:p w14:paraId="381CE8AA" w14:textId="66F12A7A" w:rsidR="00C708B9" w:rsidRPr="001732FB" w:rsidRDefault="00C708B9" w:rsidP="003820BE">
      <w:pPr>
        <w:pStyle w:val="FootnoteText"/>
        <w:jc w:val="both"/>
        <w:rPr>
          <w:lang w:val="en-US"/>
        </w:rPr>
      </w:pPr>
      <w:r w:rsidRPr="007C528B">
        <w:rPr>
          <w:rStyle w:val="FootnoteReference"/>
          <w:lang w:val="en-GB"/>
        </w:rPr>
        <w:footnoteRef/>
      </w:r>
      <w:r w:rsidRPr="001732FB">
        <w:rPr>
          <w:lang w:val="en-US"/>
        </w:rPr>
        <w:t xml:space="preserve"> </w:t>
      </w:r>
      <w:r w:rsidR="000B59ED" w:rsidRPr="001732FB">
        <w:rPr>
          <w:lang w:val="en-US"/>
        </w:rPr>
        <w:t xml:space="preserve">CFA-decisions </w:t>
      </w:r>
      <w:r w:rsidRPr="001732FB">
        <w:rPr>
          <w:lang w:val="en-US"/>
        </w:rPr>
        <w:t>2018, nrs. 760-763</w:t>
      </w:r>
      <w:r w:rsidR="0034284E" w:rsidRPr="001732FB">
        <w:rPr>
          <w:lang w:val="en-US"/>
        </w:rPr>
        <w:t xml:space="preserve"> &amp; 779</w:t>
      </w:r>
      <w:r w:rsidR="00A679DE" w:rsidRPr="001732FB">
        <w:rPr>
          <w:lang w:val="en-US"/>
        </w:rPr>
        <w:t>-780</w:t>
      </w:r>
      <w:r w:rsidR="000E2245">
        <w:rPr>
          <w:lang w:val="en-US"/>
        </w:rPr>
        <w:t xml:space="preserve">; </w:t>
      </w:r>
      <w:r w:rsidR="000E2245" w:rsidRPr="00917841">
        <w:rPr>
          <w:lang w:val="en-US"/>
        </w:rPr>
        <w:t>Digest of the ECSR case law 2022, p. 91</w:t>
      </w:r>
      <w:r w:rsidR="000E2245">
        <w:rPr>
          <w:lang w:val="en-US"/>
        </w:rPr>
        <w:t>.</w:t>
      </w:r>
    </w:p>
  </w:footnote>
  <w:footnote w:id="23">
    <w:p w14:paraId="364874B8" w14:textId="7D0ACE6C" w:rsidR="00060768" w:rsidRPr="0080665C" w:rsidRDefault="00060768" w:rsidP="003820BE">
      <w:pPr>
        <w:pStyle w:val="FootnoteText"/>
        <w:jc w:val="both"/>
        <w:rPr>
          <w:lang w:val="en-US"/>
        </w:rPr>
      </w:pPr>
      <w:r w:rsidRPr="00606F29">
        <w:rPr>
          <w:rStyle w:val="FootnoteReference"/>
        </w:rPr>
        <w:footnoteRef/>
      </w:r>
      <w:r w:rsidRPr="0080665C">
        <w:rPr>
          <w:lang w:val="en-US"/>
        </w:rPr>
        <w:t xml:space="preserve"> </w:t>
      </w:r>
      <w:r w:rsidRPr="0093435B">
        <w:rPr>
          <w:lang w:val="en-GB"/>
        </w:rPr>
        <w:t>CFA-decisions 2018</w:t>
      </w:r>
      <w:r w:rsidRPr="0080665C">
        <w:rPr>
          <w:lang w:val="en-US"/>
        </w:rPr>
        <w:t>, nr. 756</w:t>
      </w:r>
      <w:r w:rsidR="004C4C8B" w:rsidRPr="0080665C">
        <w:rPr>
          <w:lang w:val="en-US"/>
        </w:rPr>
        <w:t xml:space="preserve"> </w:t>
      </w:r>
      <w:r w:rsidR="004C4C8B" w:rsidRPr="00907FAE">
        <w:rPr>
          <w:lang w:val="en-US"/>
        </w:rPr>
        <w:t>(</w:t>
      </w:r>
      <w:r w:rsidR="004C4C8B" w:rsidRPr="0080665C">
        <w:rPr>
          <w:lang w:val="en-US"/>
        </w:rPr>
        <w:t>anders:</w:t>
      </w:r>
      <w:r w:rsidR="004C4C8B" w:rsidRPr="00907FAE">
        <w:rPr>
          <w:lang w:val="en-US"/>
        </w:rPr>
        <w:t xml:space="preserve"> nr. 784</w:t>
      </w:r>
      <w:r w:rsidR="004C4C8B" w:rsidRPr="0093435B">
        <w:rPr>
          <w:lang w:val="en-GB"/>
        </w:rPr>
        <w:t>)</w:t>
      </w:r>
      <w:r w:rsidR="00386955" w:rsidRPr="0093435B">
        <w:rPr>
          <w:lang w:val="en-GB"/>
        </w:rPr>
        <w:t>; Digest of the ECSR case law 2022</w:t>
      </w:r>
      <w:r w:rsidR="00386955" w:rsidRPr="0080665C">
        <w:rPr>
          <w:lang w:val="en-US"/>
        </w:rPr>
        <w:t>, p. 90; EHRM 14 december 2022, 66828/16 (</w:t>
      </w:r>
      <w:r w:rsidR="00386955" w:rsidRPr="0080665C">
        <w:rPr>
          <w:i/>
          <w:iCs/>
          <w:lang w:val="en-US"/>
        </w:rPr>
        <w:t>Bariş</w:t>
      </w:r>
      <w:r w:rsidR="00386955" w:rsidRPr="0080665C">
        <w:rPr>
          <w:lang w:val="en-US"/>
        </w:rPr>
        <w:t xml:space="preserve">), m.nt. Dorssemont, </w:t>
      </w:r>
      <w:r w:rsidR="00386955" w:rsidRPr="0080665C">
        <w:rPr>
          <w:i/>
          <w:iCs/>
          <w:lang w:val="en-US"/>
        </w:rPr>
        <w:t xml:space="preserve">EHRC Updates </w:t>
      </w:r>
      <w:r w:rsidR="00386955" w:rsidRPr="0080665C">
        <w:rPr>
          <w:lang w:val="en-US"/>
        </w:rPr>
        <w:t>2022.</w:t>
      </w:r>
    </w:p>
  </w:footnote>
  <w:footnote w:id="24">
    <w:p w14:paraId="0CE288EE" w14:textId="709ED3D8" w:rsidR="002F4985" w:rsidRPr="007150DF" w:rsidRDefault="002F4985" w:rsidP="003820BE">
      <w:pPr>
        <w:pStyle w:val="FootnoteText"/>
        <w:jc w:val="both"/>
        <w:rPr>
          <w:b/>
          <w:bCs/>
        </w:rPr>
      </w:pPr>
      <w:r w:rsidRPr="00606F29">
        <w:rPr>
          <w:rStyle w:val="FootnoteReference"/>
        </w:rPr>
        <w:footnoteRef/>
      </w:r>
      <w:r w:rsidR="003E6D6D" w:rsidRPr="00606F29">
        <w:t xml:space="preserve"> </w:t>
      </w:r>
      <w:r w:rsidR="00D8099C">
        <w:t xml:space="preserve">HvJ EU </w:t>
      </w:r>
      <w:r w:rsidR="00D8099C" w:rsidRPr="00D8099C">
        <w:t>11 december 2007, C-438/05 (</w:t>
      </w:r>
      <w:r w:rsidR="00D8099C" w:rsidRPr="00D8099C">
        <w:rPr>
          <w:i/>
          <w:iCs/>
        </w:rPr>
        <w:t>Viking</w:t>
      </w:r>
      <w:r w:rsidR="00D8099C" w:rsidRPr="00D8099C">
        <w:t>)</w:t>
      </w:r>
      <w:r w:rsidR="00907FAE" w:rsidRPr="00606F29">
        <w:t>;</w:t>
      </w:r>
      <w:r w:rsidRPr="00606F29">
        <w:t xml:space="preserve"> EHRM 8 april 2014, 31045/10</w:t>
      </w:r>
      <w:r w:rsidR="000B59ED" w:rsidRPr="00606F29">
        <w:t xml:space="preserve"> </w:t>
      </w:r>
      <w:r w:rsidRPr="00606F29">
        <w:t>(</w:t>
      </w:r>
      <w:r w:rsidRPr="00606F29">
        <w:rPr>
          <w:i/>
          <w:iCs/>
        </w:rPr>
        <w:t>RMT</w:t>
      </w:r>
      <w:r w:rsidRPr="00606F29">
        <w:t>)</w:t>
      </w:r>
      <w:r w:rsidR="00BC4FD6" w:rsidRPr="00606F29">
        <w:t>;</w:t>
      </w:r>
      <w:r w:rsidR="00386955" w:rsidRPr="0080665C">
        <w:t xml:space="preserve"> </w:t>
      </w:r>
      <w:r w:rsidR="00A5322E" w:rsidRPr="0080665C">
        <w:t>CFA</w:t>
      </w:r>
      <w:r w:rsidR="000B59ED" w:rsidRPr="0080665C">
        <w:t>-</w:t>
      </w:r>
      <w:r w:rsidR="004F2322" w:rsidRPr="0080665C">
        <w:t xml:space="preserve">decisions </w:t>
      </w:r>
      <w:r w:rsidRPr="0080665C">
        <w:t>2018</w:t>
      </w:r>
      <w:r w:rsidRPr="00606F29">
        <w:t>, nr</w:t>
      </w:r>
      <w:r w:rsidR="00F91BF2">
        <w:t>s</w:t>
      </w:r>
      <w:r w:rsidRPr="00606F29">
        <w:t>. 770-</w:t>
      </w:r>
      <w:r w:rsidRPr="0080665C">
        <w:t>771</w:t>
      </w:r>
      <w:r w:rsidR="008604DF" w:rsidRPr="0080665C">
        <w:t>.</w:t>
      </w:r>
      <w:r w:rsidR="007150DF" w:rsidRPr="0080665C">
        <w:t xml:space="preserve"> </w:t>
      </w:r>
      <w:r w:rsidR="00466834">
        <w:t xml:space="preserve">Voor wat betreft </w:t>
      </w:r>
      <w:r w:rsidR="007150DF">
        <w:t>het</w:t>
      </w:r>
      <w:r w:rsidR="007150DF" w:rsidRPr="007150DF">
        <w:t xml:space="preserve"> ESH</w:t>
      </w:r>
      <w:r w:rsidR="00466834">
        <w:t xml:space="preserve"> bestaat hierover discussie</w:t>
      </w:r>
      <w:r w:rsidR="007150DF">
        <w:t xml:space="preserve">, zie </w:t>
      </w:r>
      <w:r w:rsidR="007150DF" w:rsidRPr="007150DF">
        <w:t xml:space="preserve">Dorssemont, </w:t>
      </w:r>
      <w:r w:rsidR="007150DF" w:rsidRPr="007150DF">
        <w:rPr>
          <w:i/>
          <w:iCs/>
        </w:rPr>
        <w:t xml:space="preserve">ArA </w:t>
      </w:r>
      <w:r w:rsidR="007150DF" w:rsidRPr="007150DF">
        <w:t>2015, par. 3.1, 4 &amp; 5; Dorssemont 2017, p. 273-274</w:t>
      </w:r>
      <w:r w:rsidR="007150DF">
        <w:t>.</w:t>
      </w:r>
    </w:p>
  </w:footnote>
  <w:footnote w:id="25">
    <w:p w14:paraId="1E6EBA2F" w14:textId="638127FC" w:rsidR="00C938B2" w:rsidRPr="00606F29" w:rsidRDefault="00C938B2" w:rsidP="003820BE">
      <w:pPr>
        <w:pStyle w:val="FootnoteText"/>
        <w:jc w:val="both"/>
      </w:pPr>
      <w:r w:rsidRPr="00606F29">
        <w:rPr>
          <w:rStyle w:val="FootnoteReference"/>
        </w:rPr>
        <w:footnoteRef/>
      </w:r>
      <w:r w:rsidRPr="007150DF">
        <w:t xml:space="preserve"> Deze rechtspraak is te vinden in de volgende databases:</w:t>
      </w:r>
      <w:r w:rsidR="00257DA0" w:rsidRPr="007150DF">
        <w:t xml:space="preserve"> </w:t>
      </w:r>
      <w:hyperlink r:id="rId3" w:history="1">
        <w:r w:rsidR="00295DE8">
          <w:rPr>
            <w:rStyle w:val="Hyperlink"/>
          </w:rPr>
          <w:t>eur-lex.europa.eu</w:t>
        </w:r>
      </w:hyperlink>
      <w:r w:rsidR="00295DE8">
        <w:t xml:space="preserve"> </w:t>
      </w:r>
      <w:r w:rsidR="00257DA0" w:rsidRPr="007150DF">
        <w:t>(HvJ);</w:t>
      </w:r>
      <w:r w:rsidRPr="007150DF">
        <w:t xml:space="preserve"> </w:t>
      </w:r>
      <w:hyperlink r:id="rId4" w:anchor="{%22documentcollectionid2%22:[%22CHAMBER%22]}" w:history="1">
        <w:r w:rsidR="00606F29" w:rsidRPr="007150DF">
          <w:rPr>
            <w:rStyle w:val="Hyperlink"/>
          </w:rPr>
          <w:t>hudoc.echr.coe.int</w:t>
        </w:r>
      </w:hyperlink>
      <w:r w:rsidRPr="007150DF">
        <w:t xml:space="preserve"> (EHRM); </w:t>
      </w:r>
      <w:hyperlink r:id="rId5" w:anchor="{%22sort%22:[%22escpublicationdate%20descending%22],%22escdctype%22:[%22CON%22]}" w:history="1">
        <w:r w:rsidR="00606F29" w:rsidRPr="007150DF">
          <w:rPr>
            <w:rStyle w:val="Hyperlink"/>
          </w:rPr>
          <w:t>hudoc.esc.coe.int</w:t>
        </w:r>
      </w:hyperlink>
      <w:r w:rsidRPr="007150DF">
        <w:t xml:space="preserve"> (ECSR); </w:t>
      </w:r>
      <w:hyperlink r:id="rId6" w:history="1">
        <w:r w:rsidR="00606F29" w:rsidRPr="007150DF">
          <w:rPr>
            <w:rStyle w:val="Hyperlink"/>
          </w:rPr>
          <w:t>ilo.org</w:t>
        </w:r>
      </w:hyperlink>
      <w:r w:rsidR="00257DA0" w:rsidRPr="007150DF">
        <w:t xml:space="preserve"> (</w:t>
      </w:r>
      <w:r w:rsidR="00606F29" w:rsidRPr="007150DF">
        <w:t>Normlex</w:t>
      </w:r>
      <w:r w:rsidR="00257DA0" w:rsidRPr="007150DF">
        <w:t xml:space="preserve">). </w:t>
      </w:r>
      <w:r w:rsidR="00BA448E" w:rsidRPr="00606F29">
        <w:t xml:space="preserve">In </w:t>
      </w:r>
      <w:r w:rsidR="00606F29">
        <w:t>E</w:t>
      </w:r>
      <w:r w:rsidR="00BA448E" w:rsidRPr="00606F29">
        <w:t>ur-lex is via ‘Uitgebreid zoeken’</w:t>
      </w:r>
      <w:r w:rsidR="0083183F" w:rsidRPr="00606F29">
        <w:t xml:space="preserve"> </w:t>
      </w:r>
      <w:r w:rsidR="00BA448E" w:rsidRPr="00606F29">
        <w:t xml:space="preserve">gezocht </w:t>
      </w:r>
      <w:r w:rsidR="00D713F1" w:rsidRPr="00606F29">
        <w:t xml:space="preserve">naar alle rechtspraak inzake artikel 28 Hv. </w:t>
      </w:r>
      <w:r w:rsidR="0083183F" w:rsidRPr="00606F29">
        <w:t>Daarbij zijn de volgende z</w:t>
      </w:r>
      <w:r w:rsidR="00D713F1" w:rsidRPr="00606F29">
        <w:t>oekcriteria</w:t>
      </w:r>
      <w:r w:rsidR="0083183F" w:rsidRPr="00606F29">
        <w:t xml:space="preserve"> gehanteerd: (1) Collectie = ‘Jurisprudentie’; (2) Verband met andere rechtshandelingen; Celex-nummer rechtshandeling = ‘12007P028’;</w:t>
      </w:r>
      <w:r w:rsidR="00295DE8">
        <w:t xml:space="preserve"> </w:t>
      </w:r>
      <w:r w:rsidR="0083183F" w:rsidRPr="00606F29">
        <w:t xml:space="preserve">Soort verband = </w:t>
      </w:r>
      <w:r w:rsidR="00A83F82">
        <w:t>‘</w:t>
      </w:r>
      <w:r w:rsidR="0083183F" w:rsidRPr="00606F29">
        <w:t>Citeert</w:t>
      </w:r>
      <w:r w:rsidR="00A83F82">
        <w:t>’</w:t>
      </w:r>
      <w:r w:rsidR="0083183F" w:rsidRPr="00606F29">
        <w:t xml:space="preserve">. </w:t>
      </w:r>
      <w:r w:rsidR="00D713F1" w:rsidRPr="00606F29">
        <w:t>Aantal hits: 6</w:t>
      </w:r>
      <w:r w:rsidR="00604DF6" w:rsidRPr="00606F29">
        <w:t>3</w:t>
      </w:r>
      <w:r w:rsidR="00D713F1" w:rsidRPr="00606F29">
        <w:t>.</w:t>
      </w:r>
      <w:r w:rsidR="00784DA9" w:rsidRPr="00606F29">
        <w:t xml:space="preserve"> Naar r</w:t>
      </w:r>
      <w:r w:rsidR="00D713F1" w:rsidRPr="00606F29">
        <w:t>elevante rechtspraak van het EHRM</w:t>
      </w:r>
      <w:r w:rsidR="00784DA9" w:rsidRPr="00606F29">
        <w:t xml:space="preserve"> is gezocht met behulp van de </w:t>
      </w:r>
      <w:r w:rsidR="00295DE8">
        <w:t>volgende</w:t>
      </w:r>
      <w:r w:rsidR="00784DA9" w:rsidRPr="00606F29">
        <w:t xml:space="preserve"> zoekcriteria: </w:t>
      </w:r>
      <w:r w:rsidR="00D80023" w:rsidRPr="00606F29">
        <w:t xml:space="preserve">(1) </w:t>
      </w:r>
      <w:r w:rsidR="00784DA9" w:rsidRPr="0080665C">
        <w:t>Judgments</w:t>
      </w:r>
      <w:r w:rsidR="00784DA9" w:rsidRPr="00606F29">
        <w:t xml:space="preserve"> = </w:t>
      </w:r>
      <w:r w:rsidR="00760A45" w:rsidRPr="00606F29">
        <w:t>‘</w:t>
      </w:r>
      <w:r w:rsidR="00784DA9" w:rsidRPr="0080665C">
        <w:t>Grand Chamber</w:t>
      </w:r>
      <w:r w:rsidR="00760A45" w:rsidRPr="0080665C">
        <w:t>’ &amp; ‘Chamber’</w:t>
      </w:r>
      <w:r w:rsidR="00784DA9" w:rsidRPr="00606F29">
        <w:t xml:space="preserve">; </w:t>
      </w:r>
      <w:r w:rsidR="00D80023" w:rsidRPr="00606F29">
        <w:t xml:space="preserve">(2) </w:t>
      </w:r>
      <w:r w:rsidR="00784DA9" w:rsidRPr="00606F29">
        <w:t xml:space="preserve">Language = </w:t>
      </w:r>
      <w:r w:rsidR="00760A45" w:rsidRPr="00606F29">
        <w:t>‘</w:t>
      </w:r>
      <w:r w:rsidR="00784DA9" w:rsidRPr="00606F29">
        <w:t>English</w:t>
      </w:r>
      <w:r w:rsidR="00760A45" w:rsidRPr="00606F29">
        <w:t>’</w:t>
      </w:r>
      <w:r w:rsidR="00784DA9" w:rsidRPr="00606F29">
        <w:t xml:space="preserve">; </w:t>
      </w:r>
      <w:r w:rsidR="00397675" w:rsidRPr="00606F29">
        <w:t xml:space="preserve">(3) </w:t>
      </w:r>
      <w:r w:rsidR="00784DA9" w:rsidRPr="0080665C">
        <w:t>Article</w:t>
      </w:r>
      <w:r w:rsidR="00784DA9" w:rsidRPr="00606F29">
        <w:t xml:space="preserve"> = </w:t>
      </w:r>
      <w:r w:rsidR="00760A45" w:rsidRPr="00606F29">
        <w:t>‘</w:t>
      </w:r>
      <w:r w:rsidR="00784DA9" w:rsidRPr="00606F29">
        <w:t>11</w:t>
      </w:r>
      <w:r w:rsidR="00760A45" w:rsidRPr="00606F29">
        <w:t>’</w:t>
      </w:r>
      <w:r w:rsidR="00784DA9" w:rsidRPr="00606F29">
        <w:t xml:space="preserve">. </w:t>
      </w:r>
      <w:r w:rsidR="00760A45" w:rsidRPr="00606F29">
        <w:t>Omdat het aantal</w:t>
      </w:r>
      <w:r w:rsidR="00784DA9" w:rsidRPr="00606F29">
        <w:t xml:space="preserve"> hits</w:t>
      </w:r>
      <w:r w:rsidR="00760A45" w:rsidRPr="00606F29">
        <w:t xml:space="preserve"> uitkwam op</w:t>
      </w:r>
      <w:r w:rsidR="00784DA9" w:rsidRPr="00606F29">
        <w:t xml:space="preserve"> </w:t>
      </w:r>
      <w:r w:rsidR="00760A45" w:rsidRPr="00606F29">
        <w:t xml:space="preserve">402, is vervolgens gefilterd op Date = ‘01/01/2022 </w:t>
      </w:r>
      <w:r w:rsidR="00760A45" w:rsidRPr="0080665C">
        <w:t xml:space="preserve">to </w:t>
      </w:r>
      <w:r w:rsidR="00760A45" w:rsidRPr="00606F29">
        <w:t>01/04/2024’</w:t>
      </w:r>
      <w:r w:rsidR="00744CDF" w:rsidRPr="00606F29">
        <w:t>, aangezien</w:t>
      </w:r>
      <w:r w:rsidR="00760A45" w:rsidRPr="00606F29">
        <w:t xml:space="preserve"> Dorssemont, </w:t>
      </w:r>
      <w:r w:rsidR="00760A45" w:rsidRPr="00606F29">
        <w:rPr>
          <w:i/>
          <w:iCs/>
        </w:rPr>
        <w:t>EHRC Updates</w:t>
      </w:r>
      <w:r w:rsidR="00760A45" w:rsidRPr="00606F29">
        <w:t xml:space="preserve"> 2022, par. </w:t>
      </w:r>
      <w:r w:rsidR="00744CDF" w:rsidRPr="00606F29">
        <w:t>4-9,</w:t>
      </w:r>
      <w:r w:rsidR="00760A45" w:rsidRPr="00606F29">
        <w:t xml:space="preserve"> de</w:t>
      </w:r>
      <w:r w:rsidR="00744CDF" w:rsidRPr="00606F29">
        <w:t xml:space="preserve"> belangrijkste ontwikkelingen </w:t>
      </w:r>
      <w:r w:rsidR="00760A45" w:rsidRPr="00606F29">
        <w:t xml:space="preserve">tot </w:t>
      </w:r>
      <w:r w:rsidR="00744CDF" w:rsidRPr="00606F29">
        <w:t>d</w:t>
      </w:r>
      <w:r w:rsidR="00397675" w:rsidRPr="00606F29">
        <w:t>i</w:t>
      </w:r>
      <w:r w:rsidR="00744CDF" w:rsidRPr="00606F29">
        <w:t xml:space="preserve">e datum reeds </w:t>
      </w:r>
      <w:r w:rsidR="00760A45" w:rsidRPr="00606F29">
        <w:t xml:space="preserve">overzichtelijk </w:t>
      </w:r>
      <w:r w:rsidR="00744CDF" w:rsidRPr="00606F29">
        <w:t xml:space="preserve">heeft </w:t>
      </w:r>
      <w:r w:rsidR="00760A45" w:rsidRPr="00606F29">
        <w:t>weergegeven.</w:t>
      </w:r>
    </w:p>
  </w:footnote>
  <w:footnote w:id="26">
    <w:p w14:paraId="4EA071C1" w14:textId="2DD1CA85" w:rsidR="00513AF6" w:rsidRPr="007C528B" w:rsidRDefault="00513AF6" w:rsidP="003820BE">
      <w:pPr>
        <w:pStyle w:val="FootnoteText"/>
        <w:jc w:val="both"/>
      </w:pPr>
      <w:r w:rsidRPr="007C528B">
        <w:rPr>
          <w:rStyle w:val="FootnoteReference"/>
        </w:rPr>
        <w:footnoteRef/>
      </w:r>
      <w:r w:rsidRPr="007C528B">
        <w:t xml:space="preserve"> </w:t>
      </w:r>
      <w:r>
        <w:t xml:space="preserve">Artikel 8 IVESCR </w:t>
      </w:r>
      <w:r w:rsidRPr="007C528B">
        <w:t>is vergeleken met artikel 6 lid 4 ESH minder sterk geformuleerd</w:t>
      </w:r>
      <w:r>
        <w:t xml:space="preserve"> en </w:t>
      </w:r>
      <w:r w:rsidRPr="007C528B">
        <w:t>verwijst voor de mate van bescherming naar ILO-Verdrag 87.</w:t>
      </w:r>
      <w:r>
        <w:t xml:space="preserve"> De toegevoegde waarde van deze bepaling is derhalve beperkt.</w:t>
      </w:r>
    </w:p>
  </w:footnote>
  <w:footnote w:id="27">
    <w:p w14:paraId="1D60206F" w14:textId="1C34622E" w:rsidR="0048687B" w:rsidRPr="007C528B" w:rsidRDefault="0048687B" w:rsidP="003820BE">
      <w:pPr>
        <w:pStyle w:val="FootnoteText"/>
        <w:jc w:val="both"/>
      </w:pPr>
      <w:r w:rsidRPr="007C528B">
        <w:rPr>
          <w:rStyle w:val="FootnoteReference"/>
        </w:rPr>
        <w:footnoteRef/>
      </w:r>
      <w:r w:rsidRPr="007C528B">
        <w:t xml:space="preserve"> </w:t>
      </w:r>
      <w:r w:rsidR="00607B36">
        <w:t>Weliswaar is tevens</w:t>
      </w:r>
      <w:r w:rsidRPr="007C528B">
        <w:t xml:space="preserve"> aandacht </w:t>
      </w:r>
      <w:r w:rsidR="00886BAD" w:rsidRPr="007C528B">
        <w:t>voor</w:t>
      </w:r>
      <w:r w:rsidRPr="007C528B">
        <w:t xml:space="preserve"> stakingen op EU</w:t>
      </w:r>
      <w:r w:rsidR="00886BAD" w:rsidRPr="007C528B">
        <w:t>-niveau</w:t>
      </w:r>
      <w:r w:rsidR="00607B36">
        <w:t xml:space="preserve"> (par. 2.4)</w:t>
      </w:r>
      <w:r w:rsidR="00397675">
        <w:t>, maar dergelijke stakingszaken worden besproken</w:t>
      </w:r>
      <w:r w:rsidR="00D64E3B">
        <w:t xml:space="preserve"> met het oog op hun relevantie</w:t>
      </w:r>
      <w:r w:rsidR="00397675">
        <w:t xml:space="preserve"> </w:t>
      </w:r>
      <w:r w:rsidRPr="007C528B">
        <w:t>voor de inhoud en reikwijdte van artikel 28 Hv in nationale geschillen</w:t>
      </w:r>
      <w:r w:rsidR="00607B36">
        <w:t>.</w:t>
      </w:r>
    </w:p>
  </w:footnote>
  <w:footnote w:id="28">
    <w:p w14:paraId="2556E775" w14:textId="42C66BC8" w:rsidR="00936C56" w:rsidRPr="007C528B" w:rsidRDefault="00936C56" w:rsidP="003820BE">
      <w:pPr>
        <w:pStyle w:val="FootnoteText"/>
        <w:jc w:val="both"/>
      </w:pPr>
      <w:r w:rsidRPr="007C528B">
        <w:rPr>
          <w:rStyle w:val="FootnoteReference"/>
        </w:rPr>
        <w:footnoteRef/>
      </w:r>
      <w:r w:rsidRPr="007C528B">
        <w:t xml:space="preserve"> </w:t>
      </w:r>
      <w:r w:rsidR="00616540" w:rsidRPr="007C528B">
        <w:t>Blijkens</w:t>
      </w:r>
      <w:r w:rsidRPr="007C528B">
        <w:t xml:space="preserve"> EHRM 25 april 1996, C-15573/89</w:t>
      </w:r>
      <w:r w:rsidR="00D81E28" w:rsidRPr="007C528B">
        <w:t xml:space="preserve"> </w:t>
      </w:r>
      <w:r w:rsidRPr="007C528B">
        <w:t>(</w:t>
      </w:r>
      <w:r w:rsidRPr="007C528B">
        <w:rPr>
          <w:i/>
          <w:iCs/>
        </w:rPr>
        <w:t>Gustafsson</w:t>
      </w:r>
      <w:r w:rsidRPr="007C528B">
        <w:t>)</w:t>
      </w:r>
      <w:r w:rsidR="00543B8D">
        <w:t xml:space="preserve">, </w:t>
      </w:r>
      <w:r w:rsidR="00200783">
        <w:t>waarover nader</w:t>
      </w:r>
      <w:r w:rsidR="00543B8D">
        <w:t xml:space="preserve"> </w:t>
      </w:r>
      <w:r w:rsidR="00543B8D" w:rsidRPr="007C528B">
        <w:t>Van Hiel 2013, par. 2.2.1</w:t>
      </w:r>
      <w:r w:rsidR="00543B8D">
        <w:t>,</w:t>
      </w:r>
      <w:r w:rsidRPr="007C528B">
        <w:t xml:space="preserve"> is een beroep op artikel 11 EVRM vanuit werkgeverszijde onder</w:t>
      </w:r>
      <w:r w:rsidR="00A75C71" w:rsidRPr="007C528B">
        <w:t xml:space="preserve"> </w:t>
      </w:r>
      <w:r w:rsidR="009A51A7" w:rsidRPr="007C528B">
        <w:t xml:space="preserve">(beperkte) </w:t>
      </w:r>
      <w:r w:rsidRPr="007C528B">
        <w:t xml:space="preserve">omstandigheden </w:t>
      </w:r>
      <w:r w:rsidR="005071B3" w:rsidRPr="007C528B">
        <w:t>mogelijk</w:t>
      </w:r>
      <w:r w:rsidR="009A51A7" w:rsidRPr="007C528B">
        <w:t>.</w:t>
      </w:r>
      <w:r w:rsidRPr="007C528B">
        <w:t xml:space="preserve"> In dat geval </w:t>
      </w:r>
      <w:r w:rsidR="002D46EE" w:rsidRPr="007C528B">
        <w:t xml:space="preserve">is het toetsingskader precies andersom en </w:t>
      </w:r>
      <w:r w:rsidRPr="007C528B">
        <w:t>moeten vakbondsacties kunnen worden gerechtvaardigd overeenkomstig de beperkingsclausule van artikel 11 lid 2 EVRM</w:t>
      </w:r>
      <w:r w:rsidR="009D7011">
        <w:t xml:space="preserve">. </w:t>
      </w:r>
      <w:r w:rsidR="00B66030">
        <w:t>A</w:t>
      </w:r>
      <w:r w:rsidRPr="007C528B">
        <w:t xml:space="preserve">an lidstaten </w:t>
      </w:r>
      <w:r w:rsidR="00B66030">
        <w:t xml:space="preserve">komt daarbij </w:t>
      </w:r>
      <w:r w:rsidRPr="007C528B">
        <w:t>een ruime beoordelingsmarge toe.</w:t>
      </w:r>
    </w:p>
  </w:footnote>
  <w:footnote w:id="29">
    <w:p w14:paraId="64B89DB7" w14:textId="7A425270" w:rsidR="00752244" w:rsidRPr="007C528B" w:rsidRDefault="00752244" w:rsidP="003820BE">
      <w:pPr>
        <w:pStyle w:val="FootnoteText"/>
        <w:jc w:val="both"/>
      </w:pPr>
      <w:r w:rsidRPr="007C528B">
        <w:rPr>
          <w:rStyle w:val="FootnoteReference"/>
        </w:rPr>
        <w:footnoteRef/>
      </w:r>
      <w:r w:rsidRPr="007C528B">
        <w:t xml:space="preserve"> Dorssemont, </w:t>
      </w:r>
      <w:r w:rsidRPr="007C528B">
        <w:rPr>
          <w:i/>
          <w:iCs/>
        </w:rPr>
        <w:t>ArA</w:t>
      </w:r>
      <w:r w:rsidRPr="007C528B">
        <w:t xml:space="preserve"> 2021, p. 46, </w:t>
      </w:r>
      <w:r w:rsidR="00BE5B48" w:rsidRPr="007C528B">
        <w:t>merkt terecht op dat</w:t>
      </w:r>
      <w:r w:rsidRPr="007C528B">
        <w:t xml:space="preserve"> </w:t>
      </w:r>
      <w:r w:rsidR="00EE78B4">
        <w:t xml:space="preserve">het </w:t>
      </w:r>
      <w:r w:rsidRPr="007C528B">
        <w:rPr>
          <w:i/>
          <w:iCs/>
        </w:rPr>
        <w:t>Laval</w:t>
      </w:r>
      <w:r w:rsidR="00EE78B4">
        <w:t>-arrest</w:t>
      </w:r>
      <w:r w:rsidRPr="007C528B">
        <w:t xml:space="preserve"> </w:t>
      </w:r>
      <w:r w:rsidR="00E22E23">
        <w:t>tevens</w:t>
      </w:r>
      <w:r w:rsidRPr="007C528B">
        <w:t xml:space="preserve"> een spanning bloot</w:t>
      </w:r>
      <w:r w:rsidR="00BE5B48" w:rsidRPr="007C528B">
        <w:t>legt</w:t>
      </w:r>
      <w:r w:rsidRPr="007C528B">
        <w:t xml:space="preserve"> tussen </w:t>
      </w:r>
      <w:r w:rsidR="00BF4358">
        <w:t>marktvrijheden</w:t>
      </w:r>
      <w:r w:rsidR="00EE78B4">
        <w:t xml:space="preserve"> en de</w:t>
      </w:r>
      <w:r w:rsidR="0026797A" w:rsidRPr="007C528B">
        <w:t xml:space="preserve"> </w:t>
      </w:r>
      <w:r w:rsidRPr="007C528B">
        <w:t>vrijheid van collectief onderhandelen</w:t>
      </w:r>
      <w:r w:rsidR="00E22E23">
        <w:t xml:space="preserve"> </w:t>
      </w:r>
      <w:r w:rsidR="00BF4358">
        <w:t>van</w:t>
      </w:r>
      <w:r w:rsidR="00E22E23">
        <w:t xml:space="preserve"> artikel 28 Hv</w:t>
      </w:r>
      <w:r w:rsidRPr="007C528B">
        <w:t xml:space="preserve">. </w:t>
      </w:r>
      <w:r w:rsidR="00BE5B48" w:rsidRPr="007C528B">
        <w:t>In</w:t>
      </w:r>
      <w:r w:rsidRPr="007C528B">
        <w:t xml:space="preserve"> </w:t>
      </w:r>
      <w:r w:rsidRPr="007C528B">
        <w:rPr>
          <w:i/>
          <w:iCs/>
        </w:rPr>
        <w:t>Viking</w:t>
      </w:r>
      <w:r w:rsidR="00BE5B48" w:rsidRPr="007C528B">
        <w:t xml:space="preserve"> ligt dit genuanceerder</w:t>
      </w:r>
      <w:r w:rsidR="0026797A" w:rsidRPr="007C528B">
        <w:t>:</w:t>
      </w:r>
      <w:r w:rsidR="00BE5B48" w:rsidRPr="007C528B">
        <w:t xml:space="preserve"> </w:t>
      </w:r>
      <w:r w:rsidR="00E22F4C">
        <w:t>het Hof beperkte</w:t>
      </w:r>
      <w:r w:rsidR="0026797A" w:rsidRPr="007C528B">
        <w:t xml:space="preserve"> </w:t>
      </w:r>
      <w:r w:rsidR="00BE5B48" w:rsidRPr="007C528B">
        <w:t xml:space="preserve">weliswaar </w:t>
      </w:r>
      <w:r w:rsidR="00DB43EF" w:rsidRPr="007C528B">
        <w:t xml:space="preserve">de </w:t>
      </w:r>
      <w:r w:rsidR="00BE5B48" w:rsidRPr="007C528B">
        <w:t xml:space="preserve">collectieve onderhandelingsvrijheid van </w:t>
      </w:r>
      <w:r w:rsidR="00524419" w:rsidRPr="007C528B">
        <w:t xml:space="preserve">de </w:t>
      </w:r>
      <w:r w:rsidR="00BE5B48" w:rsidRPr="007C528B">
        <w:t xml:space="preserve">vakbond, maar </w:t>
      </w:r>
      <w:r w:rsidR="006423BC">
        <w:t>tegelijkertijd</w:t>
      </w:r>
      <w:r w:rsidR="0026797A" w:rsidRPr="007C528B">
        <w:t xml:space="preserve"> werd de</w:t>
      </w:r>
      <w:r w:rsidR="00BE5B48" w:rsidRPr="007C528B">
        <w:t xml:space="preserve"> collectieve onderhandelingsvrijheid van de werkgever </w:t>
      </w:r>
      <w:r w:rsidR="0026797A" w:rsidRPr="007C528B">
        <w:t>gefaciliteerd</w:t>
      </w:r>
      <w:r w:rsidRPr="007C528B">
        <w:t>.</w:t>
      </w:r>
      <w:r w:rsidR="00E22E23">
        <w:t xml:space="preserve"> Hierna wordt enkel ingegaan op het stakingsrecht</w:t>
      </w:r>
      <w:r w:rsidR="00BF4358">
        <w:t xml:space="preserve">; </w:t>
      </w:r>
      <w:r w:rsidR="000E6557">
        <w:t>de collectieve onderhandelingsvrijheid</w:t>
      </w:r>
      <w:r w:rsidR="00BF4358">
        <w:t xml:space="preserve"> blijft verder</w:t>
      </w:r>
      <w:r w:rsidR="000E6557">
        <w:t xml:space="preserve"> buiten beschouwing</w:t>
      </w:r>
      <w:r w:rsidR="00E22E23">
        <w:t>.</w:t>
      </w:r>
    </w:p>
  </w:footnote>
  <w:footnote w:id="30">
    <w:p w14:paraId="32091E4B" w14:textId="5F237D67" w:rsidR="00697791" w:rsidRPr="004D7551" w:rsidRDefault="00697791" w:rsidP="003820BE">
      <w:pPr>
        <w:pStyle w:val="FootnoteText"/>
        <w:jc w:val="both"/>
      </w:pPr>
      <w:r w:rsidRPr="007C528B">
        <w:rPr>
          <w:rStyle w:val="FootnoteReference"/>
        </w:rPr>
        <w:footnoteRef/>
      </w:r>
      <w:r w:rsidRPr="004D7551">
        <w:t xml:space="preserve"> </w:t>
      </w:r>
      <w:r w:rsidR="00F90099" w:rsidRPr="004D7551">
        <w:t>HvJ EU 11 december 2007, C-438/05</w:t>
      </w:r>
      <w:r w:rsidR="001C381C" w:rsidRPr="004D7551">
        <w:t xml:space="preserve"> </w:t>
      </w:r>
      <w:r w:rsidR="00F90099" w:rsidRPr="004D7551">
        <w:t>(</w:t>
      </w:r>
      <w:r w:rsidR="00F90099" w:rsidRPr="004D7551">
        <w:rPr>
          <w:i/>
          <w:iCs/>
        </w:rPr>
        <w:t>Viking</w:t>
      </w:r>
      <w:r w:rsidR="00F90099" w:rsidRPr="004D7551">
        <w:t>).</w:t>
      </w:r>
    </w:p>
  </w:footnote>
  <w:footnote w:id="31">
    <w:p w14:paraId="2AA55C61" w14:textId="69974FB1" w:rsidR="000E2745" w:rsidRPr="007C528B" w:rsidRDefault="000E2745" w:rsidP="003820BE">
      <w:pPr>
        <w:pStyle w:val="FootnoteText"/>
        <w:jc w:val="both"/>
      </w:pPr>
      <w:r w:rsidRPr="007C528B">
        <w:rPr>
          <w:rStyle w:val="FootnoteReference"/>
        </w:rPr>
        <w:footnoteRef/>
      </w:r>
      <w:r w:rsidRPr="007C528B">
        <w:t xml:space="preserve"> </w:t>
      </w:r>
      <w:r w:rsidR="00942E32" w:rsidRPr="007C528B">
        <w:t xml:space="preserve">Daar </w:t>
      </w:r>
      <w:r w:rsidR="00603908" w:rsidRPr="007C528B">
        <w:t>kwam bij dat</w:t>
      </w:r>
      <w:r w:rsidR="00942E32" w:rsidRPr="007C528B">
        <w:t xml:space="preserve"> d</w:t>
      </w:r>
      <w:r w:rsidRPr="007C528B">
        <w:t xml:space="preserve">e actie van </w:t>
      </w:r>
      <w:r w:rsidR="00942E32" w:rsidRPr="007C528B">
        <w:t>de Finse vakbond</w:t>
      </w:r>
      <w:r w:rsidRPr="007C528B">
        <w:t xml:space="preserve"> werd </w:t>
      </w:r>
      <w:r w:rsidR="00942E32" w:rsidRPr="007C528B">
        <w:t xml:space="preserve">gesteund door de Internationale Federatie van Vervoersbonden (ITF), die aangesloten Estse bonden opriep om </w:t>
      </w:r>
      <w:r w:rsidR="00C802CC" w:rsidRPr="007C528B">
        <w:t xml:space="preserve">uit solidariteit </w:t>
      </w:r>
      <w:r w:rsidR="00942E32" w:rsidRPr="007C528B">
        <w:t xml:space="preserve">niet met </w:t>
      </w:r>
      <w:r w:rsidR="00942E32" w:rsidRPr="007C528B">
        <w:rPr>
          <w:i/>
          <w:iCs/>
        </w:rPr>
        <w:t xml:space="preserve">Viking </w:t>
      </w:r>
      <w:r w:rsidR="00942E32" w:rsidRPr="007C528B">
        <w:t>in collectieve onderhandelingen te treden. Deze oproep belet</w:t>
      </w:r>
      <w:r w:rsidR="009D330E" w:rsidRPr="007C528B">
        <w:t>te</w:t>
      </w:r>
      <w:r w:rsidR="00942E32" w:rsidRPr="007C528B">
        <w:t xml:space="preserve"> </w:t>
      </w:r>
      <w:r w:rsidR="00942E32" w:rsidRPr="007C528B">
        <w:rPr>
          <w:i/>
          <w:iCs/>
        </w:rPr>
        <w:t>Viking</w:t>
      </w:r>
      <w:r w:rsidR="00942E32" w:rsidRPr="007C528B">
        <w:t xml:space="preserve"> </w:t>
      </w:r>
      <w:r w:rsidR="00EE78B4">
        <w:t xml:space="preserve">om </w:t>
      </w:r>
      <w:r w:rsidR="00942E32" w:rsidRPr="007C528B">
        <w:t xml:space="preserve">in de </w:t>
      </w:r>
      <w:r w:rsidR="00294EB6" w:rsidRPr="007C528B">
        <w:t>ontvangststaat</w:t>
      </w:r>
      <w:r w:rsidR="00942E32" w:rsidRPr="007C528B">
        <w:t xml:space="preserve"> aanspraak te maken op dezelfde behandeling als andere in deze lidstaat gevestigde marktdeelnemers</w:t>
      </w:r>
      <w:r w:rsidR="009D330E" w:rsidRPr="007C528B">
        <w:t xml:space="preserve">, wat eveneens </w:t>
      </w:r>
      <w:r w:rsidR="00942E32" w:rsidRPr="007C528B">
        <w:t>een beperking van de vestigingsvrijheid</w:t>
      </w:r>
      <w:r w:rsidR="009D330E" w:rsidRPr="007C528B">
        <w:t xml:space="preserve"> oplever</w:t>
      </w:r>
      <w:r w:rsidR="00FA3C20" w:rsidRPr="007C528B">
        <w:t>de</w:t>
      </w:r>
      <w:r w:rsidR="009D330E" w:rsidRPr="007C528B">
        <w:t>.</w:t>
      </w:r>
      <w:r w:rsidR="00F33929" w:rsidRPr="007C528B">
        <w:t xml:space="preserve"> </w:t>
      </w:r>
      <w:r w:rsidR="00603908" w:rsidRPr="007C528B">
        <w:t>De</w:t>
      </w:r>
      <w:r w:rsidR="00D82B97" w:rsidRPr="007C528B">
        <w:t xml:space="preserve"> (on)rechtmatigheid van deze</w:t>
      </w:r>
      <w:r w:rsidR="00603908" w:rsidRPr="007C528B">
        <w:t xml:space="preserve"> solidariteitsactie</w:t>
      </w:r>
      <w:r w:rsidR="00F33929" w:rsidRPr="007C528B">
        <w:t xml:space="preserve"> </w:t>
      </w:r>
      <w:r w:rsidR="00FA3C20" w:rsidRPr="007C528B">
        <w:t>blijft</w:t>
      </w:r>
      <w:r w:rsidR="00F33929" w:rsidRPr="007C528B">
        <w:t xml:space="preserve"> verder buiten beschouwing.</w:t>
      </w:r>
    </w:p>
  </w:footnote>
  <w:footnote w:id="32">
    <w:p w14:paraId="7C33ACA9" w14:textId="5F54CB1D" w:rsidR="00F90099" w:rsidRPr="007C528B" w:rsidRDefault="00F90099" w:rsidP="003820BE">
      <w:pPr>
        <w:pStyle w:val="FootnoteText"/>
        <w:jc w:val="both"/>
      </w:pPr>
      <w:r w:rsidRPr="007C528B">
        <w:rPr>
          <w:rStyle w:val="FootnoteReference"/>
        </w:rPr>
        <w:footnoteRef/>
      </w:r>
      <w:r w:rsidRPr="007C528B">
        <w:t xml:space="preserve"> </w:t>
      </w:r>
      <w:r w:rsidR="00C10A16">
        <w:t>Daar</w:t>
      </w:r>
      <w:r w:rsidRPr="007C528B">
        <w:t xml:space="preserve">bij </w:t>
      </w:r>
      <w:r w:rsidR="002D59FB" w:rsidRPr="007C528B">
        <w:t>verwees</w:t>
      </w:r>
      <w:r w:rsidRPr="007C528B">
        <w:t xml:space="preserve"> het Hof naar verschillende internationale rechtsinstrumenten, zoals het ESH en ILO-Verdrag 87</w:t>
      </w:r>
      <w:r w:rsidR="00D25AD1" w:rsidRPr="007C528B">
        <w:t>.</w:t>
      </w:r>
    </w:p>
  </w:footnote>
  <w:footnote w:id="33">
    <w:p w14:paraId="74EACC76" w14:textId="171CCAA0" w:rsidR="002A0655" w:rsidRPr="007C528B" w:rsidRDefault="002A0655" w:rsidP="003820BE">
      <w:pPr>
        <w:pStyle w:val="FootnoteText"/>
        <w:jc w:val="both"/>
      </w:pPr>
      <w:r w:rsidRPr="007C528B">
        <w:rPr>
          <w:rStyle w:val="FootnoteReference"/>
        </w:rPr>
        <w:footnoteRef/>
      </w:r>
      <w:r w:rsidRPr="007C528B">
        <w:t xml:space="preserve"> </w:t>
      </w:r>
      <w:r w:rsidR="002D59FB" w:rsidRPr="007C528B">
        <w:t xml:space="preserve">In </w:t>
      </w:r>
      <w:r w:rsidRPr="007C528B">
        <w:t>HvJ EU 21 september 1999, C-67/96</w:t>
      </w:r>
      <w:r w:rsidR="001C381C">
        <w:t xml:space="preserve"> </w:t>
      </w:r>
      <w:r w:rsidRPr="007C528B">
        <w:t>(</w:t>
      </w:r>
      <w:r w:rsidRPr="007C528B">
        <w:rPr>
          <w:i/>
          <w:iCs/>
        </w:rPr>
        <w:t>Albany</w:t>
      </w:r>
      <w:r w:rsidRPr="007C528B">
        <w:t>)</w:t>
      </w:r>
      <w:r w:rsidR="002D59FB" w:rsidRPr="007C528B">
        <w:t xml:space="preserve"> overwoog </w:t>
      </w:r>
      <w:r w:rsidRPr="007C528B">
        <w:t xml:space="preserve">het Hof dat </w:t>
      </w:r>
      <w:r w:rsidR="00673FAA" w:rsidRPr="007C528B">
        <w:t>cao</w:t>
      </w:r>
      <w:r w:rsidR="0015103E">
        <w:t>’</w:t>
      </w:r>
      <w:r w:rsidR="00673FAA" w:rsidRPr="007C528B">
        <w:t>s</w:t>
      </w:r>
      <w:r w:rsidR="0015103E">
        <w:t xml:space="preserve"> naar hun aard</w:t>
      </w:r>
      <w:r w:rsidRPr="007C528B">
        <w:t xml:space="preserve"> </w:t>
      </w:r>
      <w:r w:rsidR="0015103E">
        <w:t xml:space="preserve">en doel </w:t>
      </w:r>
      <w:r w:rsidRPr="007C528B">
        <w:t xml:space="preserve">buiten de werkingssfeer van het mededingingsrecht </w:t>
      </w:r>
      <w:r w:rsidR="00513CF1" w:rsidRPr="007C528B">
        <w:t xml:space="preserve">(het kartelverbod van artikel 101 VwEU) </w:t>
      </w:r>
      <w:r w:rsidRPr="007C528B">
        <w:t>vallen</w:t>
      </w:r>
      <w:r w:rsidR="0015103E">
        <w:t>.</w:t>
      </w:r>
    </w:p>
  </w:footnote>
  <w:footnote w:id="34">
    <w:p w14:paraId="7255CDCD" w14:textId="3CC6E79A" w:rsidR="002611D0" w:rsidRPr="008460E3" w:rsidRDefault="002611D0" w:rsidP="003820BE">
      <w:pPr>
        <w:pStyle w:val="FootnoteText"/>
        <w:jc w:val="both"/>
      </w:pPr>
      <w:r w:rsidRPr="007C528B">
        <w:rPr>
          <w:rStyle w:val="FootnoteReference"/>
        </w:rPr>
        <w:footnoteRef/>
      </w:r>
      <w:r w:rsidRPr="007C528B">
        <w:t xml:space="preserve"> </w:t>
      </w:r>
      <w:r w:rsidR="00C01114" w:rsidRPr="007C528B">
        <w:t xml:space="preserve">De </w:t>
      </w:r>
      <w:r w:rsidRPr="007C528B">
        <w:t xml:space="preserve">Vries, </w:t>
      </w:r>
      <w:r w:rsidRPr="007C528B">
        <w:rPr>
          <w:i/>
          <w:iCs/>
        </w:rPr>
        <w:t>N</w:t>
      </w:r>
      <w:r w:rsidR="00577940" w:rsidRPr="007C528B">
        <w:rPr>
          <w:i/>
          <w:iCs/>
        </w:rPr>
        <w:t>t</w:t>
      </w:r>
      <w:r w:rsidRPr="007C528B">
        <w:rPr>
          <w:i/>
          <w:iCs/>
        </w:rPr>
        <w:t>E</w:t>
      </w:r>
      <w:r w:rsidR="00721D64">
        <w:rPr>
          <w:i/>
          <w:iCs/>
        </w:rPr>
        <w:t>r</w:t>
      </w:r>
      <w:r w:rsidRPr="007C528B">
        <w:t xml:space="preserve"> 2013, p. 124</w:t>
      </w:r>
      <w:r w:rsidR="008460E3">
        <w:t xml:space="preserve">; Reynolds, </w:t>
      </w:r>
      <w:r w:rsidR="008460E3">
        <w:rPr>
          <w:i/>
          <w:iCs/>
        </w:rPr>
        <w:t xml:space="preserve">CMLR </w:t>
      </w:r>
      <w:r w:rsidR="008460E3">
        <w:t>2016, p. 657.</w:t>
      </w:r>
    </w:p>
  </w:footnote>
  <w:footnote w:id="35">
    <w:p w14:paraId="2B7A4444" w14:textId="43D65A77" w:rsidR="00174843" w:rsidRPr="00CC4B6F" w:rsidRDefault="00174843" w:rsidP="003820BE">
      <w:pPr>
        <w:pStyle w:val="FootnoteText"/>
        <w:jc w:val="both"/>
      </w:pPr>
      <w:r w:rsidRPr="007C528B">
        <w:rPr>
          <w:rStyle w:val="FootnoteReference"/>
        </w:rPr>
        <w:footnoteRef/>
      </w:r>
      <w:r w:rsidR="004419C0" w:rsidRPr="007C528B">
        <w:t xml:space="preserve"> </w:t>
      </w:r>
      <w:r w:rsidR="00FE574A" w:rsidRPr="007C528B">
        <w:t>H</w:t>
      </w:r>
      <w:r w:rsidR="00D35006" w:rsidRPr="007C528B">
        <w:t xml:space="preserve">et Hof </w:t>
      </w:r>
      <w:r w:rsidR="00FE574A" w:rsidRPr="007C528B">
        <w:t xml:space="preserve">lijkt </w:t>
      </w:r>
      <w:r w:rsidRPr="007C528B">
        <w:t>het vereiste van een legitiem doel</w:t>
      </w:r>
      <w:r w:rsidR="00CC4B6F">
        <w:t xml:space="preserve"> dus</w:t>
      </w:r>
      <w:r w:rsidRPr="007C528B">
        <w:t xml:space="preserve"> (zeer) strikt in te vullen</w:t>
      </w:r>
      <w:r w:rsidR="00FE574A" w:rsidRPr="007C528B">
        <w:t>, zo ook Boonstra, Helmer &amp; Houwerzijl 2014, p. 322-324</w:t>
      </w:r>
      <w:r w:rsidRPr="007C528B">
        <w:t xml:space="preserve">. </w:t>
      </w:r>
      <w:r w:rsidR="00C20863" w:rsidRPr="007C528B">
        <w:t xml:space="preserve">In casu </w:t>
      </w:r>
      <w:r w:rsidR="00227883" w:rsidRPr="007C528B">
        <w:t>had</w:t>
      </w:r>
      <w:r w:rsidRPr="007C528B">
        <w:t xml:space="preserve"> </w:t>
      </w:r>
      <w:r w:rsidRPr="007C528B">
        <w:rPr>
          <w:i/>
          <w:iCs/>
        </w:rPr>
        <w:t>Viking</w:t>
      </w:r>
      <w:r w:rsidRPr="007C528B">
        <w:t xml:space="preserve"> </w:t>
      </w:r>
      <w:r w:rsidR="00227883" w:rsidRPr="007C528B">
        <w:t xml:space="preserve">echter </w:t>
      </w:r>
      <w:r w:rsidRPr="007C528B">
        <w:t xml:space="preserve">ingestemd met de eis van de vakbond dat </w:t>
      </w:r>
      <w:r w:rsidR="00C10A16">
        <w:t xml:space="preserve">de </w:t>
      </w:r>
      <w:r w:rsidRPr="007C528B">
        <w:t>arbeidsplaatsen en -voorwaarden van</w:t>
      </w:r>
      <w:r w:rsidR="00C10A16">
        <w:t xml:space="preserve"> de</w:t>
      </w:r>
      <w:r w:rsidRPr="007C528B">
        <w:t xml:space="preserve"> Finse werknemers </w:t>
      </w:r>
      <w:r w:rsidR="00670E32" w:rsidRPr="007C528B">
        <w:t xml:space="preserve">behouden </w:t>
      </w:r>
      <w:r w:rsidR="00C10A16">
        <w:t>moesten</w:t>
      </w:r>
      <w:r w:rsidR="00670E32" w:rsidRPr="007C528B">
        <w:t xml:space="preserve"> blijven</w:t>
      </w:r>
      <w:r w:rsidR="009F0781" w:rsidRPr="007C528B">
        <w:t>.</w:t>
      </w:r>
      <w:r w:rsidRPr="007C528B">
        <w:t xml:space="preserve"> In dat geval kan </w:t>
      </w:r>
      <w:r w:rsidR="00345FE1" w:rsidRPr="007C528B">
        <w:t xml:space="preserve">de staking </w:t>
      </w:r>
      <w:r w:rsidR="00C20863" w:rsidRPr="007C528B">
        <w:t xml:space="preserve">volgens Laagland, </w:t>
      </w:r>
      <w:r w:rsidR="00C20863" w:rsidRPr="007C528B">
        <w:rPr>
          <w:i/>
          <w:iCs/>
        </w:rPr>
        <w:t xml:space="preserve">AR Updates </w:t>
      </w:r>
      <w:r w:rsidR="00C20863" w:rsidRPr="007C528B">
        <w:t xml:space="preserve">2017, par. 3, </w:t>
      </w:r>
      <w:r w:rsidRPr="007C528B">
        <w:t xml:space="preserve">niet </w:t>
      </w:r>
      <w:r w:rsidR="00C20863" w:rsidRPr="007C528B">
        <w:t>omwille van</w:t>
      </w:r>
      <w:r w:rsidRPr="007C528B">
        <w:t xml:space="preserve"> werknemers</w:t>
      </w:r>
      <w:r w:rsidRPr="007C528B">
        <w:rPr>
          <w:i/>
          <w:iCs/>
        </w:rPr>
        <w:t>bescherming</w:t>
      </w:r>
      <w:r w:rsidRPr="007C528B">
        <w:t xml:space="preserve"> worden gerechtvaardigd. </w:t>
      </w:r>
      <w:r w:rsidR="00670E32" w:rsidRPr="007C528B">
        <w:t>Dat</w:t>
      </w:r>
      <w:r w:rsidRPr="007C528B">
        <w:t xml:space="preserve"> is anders als </w:t>
      </w:r>
      <w:r w:rsidR="00CC4B6F">
        <w:t>een werkgever</w:t>
      </w:r>
      <w:r w:rsidRPr="007C528B">
        <w:t xml:space="preserve"> niet akkoord </w:t>
      </w:r>
      <w:r w:rsidR="00CC4B6F">
        <w:t>gaat</w:t>
      </w:r>
      <w:r w:rsidRPr="007C528B">
        <w:t xml:space="preserve"> met de </w:t>
      </w:r>
      <w:r w:rsidR="002D59FB" w:rsidRPr="007C528B">
        <w:t>vakbondseisen</w:t>
      </w:r>
      <w:r w:rsidR="000E5AA6">
        <w:t>.</w:t>
      </w:r>
      <w:r w:rsidR="00CC4B6F">
        <w:t xml:space="preserve"> </w:t>
      </w:r>
      <w:r w:rsidR="00B95D97">
        <w:t>In dat geval</w:t>
      </w:r>
      <w:r w:rsidRPr="007C528B">
        <w:t xml:space="preserve"> </w:t>
      </w:r>
      <w:r w:rsidR="009F0781" w:rsidRPr="007C528B">
        <w:t xml:space="preserve">is aannemelijk </w:t>
      </w:r>
      <w:r w:rsidRPr="007C528B">
        <w:t xml:space="preserve">dat </w:t>
      </w:r>
      <w:r w:rsidR="009F0781" w:rsidRPr="007C528B">
        <w:t xml:space="preserve">ook </w:t>
      </w:r>
      <w:r w:rsidR="009F0781" w:rsidRPr="007C528B">
        <w:rPr>
          <w:i/>
          <w:iCs/>
        </w:rPr>
        <w:t>verbetering</w:t>
      </w:r>
      <w:r w:rsidR="009F0781" w:rsidRPr="007C528B">
        <w:t xml:space="preserve"> van arbeidsvoorwaarden</w:t>
      </w:r>
      <w:r w:rsidRPr="007C528B">
        <w:t xml:space="preserve"> als </w:t>
      </w:r>
      <w:r w:rsidR="00DB3518" w:rsidRPr="007C528B">
        <w:t>legitiem doel</w:t>
      </w:r>
      <w:r w:rsidRPr="007C528B">
        <w:t xml:space="preserve"> </w:t>
      </w:r>
      <w:r w:rsidR="00670E32" w:rsidRPr="007C528B">
        <w:t xml:space="preserve">kan </w:t>
      </w:r>
      <w:r w:rsidR="00227883" w:rsidRPr="007C528B">
        <w:t>dienen</w:t>
      </w:r>
      <w:r w:rsidR="005809EA" w:rsidRPr="007C528B">
        <w:t>. Laaglands visie vindt bijval in</w:t>
      </w:r>
      <w:r w:rsidR="00FE574A" w:rsidRPr="007C528B">
        <w:t xml:space="preserve"> EVA-Hof 19 april 2016, E-14/15, r.o. </w:t>
      </w:r>
      <w:r w:rsidR="00936423" w:rsidRPr="007C528B">
        <w:t>126-127</w:t>
      </w:r>
      <w:r w:rsidR="00FE574A" w:rsidRPr="007C528B">
        <w:t xml:space="preserve"> (</w:t>
      </w:r>
      <w:r w:rsidR="00FE574A" w:rsidRPr="007C528B">
        <w:rPr>
          <w:i/>
          <w:iCs/>
        </w:rPr>
        <w:t>Holship</w:t>
      </w:r>
      <w:r w:rsidR="00FE574A" w:rsidRPr="007C528B">
        <w:t>)</w:t>
      </w:r>
      <w:r w:rsidR="00C10A16">
        <w:t xml:space="preserve">, waarover meer in </w:t>
      </w:r>
      <w:r w:rsidR="00F8750A">
        <w:t>par. 3.3</w:t>
      </w:r>
      <w:r w:rsidR="00CC4B6F">
        <w:t>.</w:t>
      </w:r>
    </w:p>
  </w:footnote>
  <w:footnote w:id="36">
    <w:p w14:paraId="6C605C0F" w14:textId="6E055F3C" w:rsidR="00EE36D7" w:rsidRPr="00A872BE" w:rsidRDefault="00EE36D7" w:rsidP="003820BE">
      <w:pPr>
        <w:pStyle w:val="FootnoteText"/>
        <w:jc w:val="both"/>
      </w:pPr>
      <w:r w:rsidRPr="00B61E9C">
        <w:rPr>
          <w:rStyle w:val="FootnoteReference"/>
        </w:rPr>
        <w:footnoteRef/>
      </w:r>
      <w:r w:rsidRPr="00A872BE">
        <w:t xml:space="preserve"> HvJ EU </w:t>
      </w:r>
      <w:r w:rsidR="00772DF1" w:rsidRPr="00A872BE">
        <w:t xml:space="preserve">18 </w:t>
      </w:r>
      <w:r w:rsidRPr="00A872BE">
        <w:t>december 2007, C-341/05</w:t>
      </w:r>
      <w:r w:rsidR="001C381C" w:rsidRPr="00A872BE">
        <w:t xml:space="preserve"> </w:t>
      </w:r>
      <w:r w:rsidRPr="00A872BE">
        <w:t>(</w:t>
      </w:r>
      <w:r w:rsidRPr="00A872BE">
        <w:rPr>
          <w:i/>
          <w:iCs/>
        </w:rPr>
        <w:t>Laval</w:t>
      </w:r>
      <w:r w:rsidRPr="00A872BE">
        <w:t>).</w:t>
      </w:r>
    </w:p>
  </w:footnote>
  <w:footnote w:id="37">
    <w:p w14:paraId="32B08EF2" w14:textId="1C947B2E" w:rsidR="00914788" w:rsidRPr="007C528B" w:rsidRDefault="00914788" w:rsidP="003820BE">
      <w:pPr>
        <w:pStyle w:val="FootnoteText"/>
        <w:jc w:val="both"/>
      </w:pPr>
      <w:r w:rsidRPr="007C528B">
        <w:rPr>
          <w:rStyle w:val="FootnoteReference"/>
        </w:rPr>
        <w:footnoteRef/>
      </w:r>
      <w:r w:rsidRPr="007C528B">
        <w:t xml:space="preserve"> </w:t>
      </w:r>
      <w:r w:rsidR="00B06626" w:rsidRPr="007C528B">
        <w:t xml:space="preserve">Richtlijn 96/71/EG betreffende de terbeschikkingstelling van werknemers met het oog op het verrichten van diensten, zoals herzien door </w:t>
      </w:r>
      <w:r w:rsidRPr="007C528B">
        <w:t>Richtlijn 2018/957</w:t>
      </w:r>
      <w:r w:rsidR="0010738A" w:rsidRPr="007C528B">
        <w:t>/EU</w:t>
      </w:r>
      <w:r w:rsidRPr="007C528B">
        <w:t>.</w:t>
      </w:r>
    </w:p>
  </w:footnote>
  <w:footnote w:id="38">
    <w:p w14:paraId="0E88D951" w14:textId="5A7C52C2" w:rsidR="00752C3F" w:rsidRPr="007C528B" w:rsidRDefault="00752C3F" w:rsidP="003820BE">
      <w:pPr>
        <w:pStyle w:val="FootnoteText"/>
        <w:jc w:val="both"/>
      </w:pPr>
      <w:r w:rsidRPr="007C528B">
        <w:rPr>
          <w:rStyle w:val="FootnoteReference"/>
        </w:rPr>
        <w:footnoteRef/>
      </w:r>
      <w:r w:rsidRPr="007C528B">
        <w:t xml:space="preserve"> Daarbij gaat het zowel om bescherming van werknemers uit de zendstaat tegen ongunstige arbeidsvoorwaarden als om bescherming van werknemers uit de ontvangststaat tegen sociale dumping.</w:t>
      </w:r>
    </w:p>
  </w:footnote>
  <w:footnote w:id="39">
    <w:p w14:paraId="71DC5031" w14:textId="069C5C55" w:rsidR="00C50E0E" w:rsidRPr="007C528B" w:rsidRDefault="00C50E0E" w:rsidP="003820BE">
      <w:pPr>
        <w:pStyle w:val="FootnoteText"/>
        <w:jc w:val="both"/>
      </w:pPr>
      <w:r w:rsidRPr="007C528B">
        <w:rPr>
          <w:rStyle w:val="FootnoteReference"/>
        </w:rPr>
        <w:footnoteRef/>
      </w:r>
      <w:r w:rsidRPr="007C528B">
        <w:t xml:space="preserve"> </w:t>
      </w:r>
      <w:r w:rsidR="002E34B9" w:rsidRPr="007C528B">
        <w:t>De</w:t>
      </w:r>
      <w:r w:rsidRPr="007C528B">
        <w:t xml:space="preserve"> juridische betekenis van </w:t>
      </w:r>
      <w:r w:rsidR="0016720B" w:rsidRPr="007C528B">
        <w:t>dit artikel</w:t>
      </w:r>
      <w:r w:rsidR="00DE298F">
        <w:t>lid</w:t>
      </w:r>
      <w:r w:rsidR="002E34B9" w:rsidRPr="007C528B">
        <w:t xml:space="preserve"> is </w:t>
      </w:r>
      <w:r w:rsidR="00034BE7">
        <w:t xml:space="preserve">echter </w:t>
      </w:r>
      <w:r w:rsidR="00274A62" w:rsidRPr="007C528B">
        <w:t>controversieel</w:t>
      </w:r>
      <w:r w:rsidRPr="007C528B">
        <w:t xml:space="preserve">. Enerzijds </w:t>
      </w:r>
      <w:r w:rsidR="002E34B9" w:rsidRPr="007C528B">
        <w:t>wordt</w:t>
      </w:r>
      <w:r w:rsidRPr="007C528B">
        <w:t xml:space="preserve"> deze bepaling aldus gelezen dat het ontvangstlidstaten is toegestaan </w:t>
      </w:r>
      <w:r w:rsidR="00DE298F">
        <w:t xml:space="preserve">om </w:t>
      </w:r>
      <w:r w:rsidRPr="007C528B">
        <w:t>m</w:t>
      </w:r>
      <w:r w:rsidR="002E34B9" w:rsidRPr="007C528B">
        <w:t>éé</w:t>
      </w:r>
      <w:r w:rsidRPr="007C528B">
        <w:t>r sociale bescherming te bieden</w:t>
      </w:r>
      <w:r w:rsidR="00DE298F">
        <w:t>, zie</w:t>
      </w:r>
      <w:r w:rsidR="00673FAA" w:rsidRPr="007C528B">
        <w:t xml:space="preserve"> </w:t>
      </w:r>
      <w:r w:rsidR="00460E85">
        <w:t>c</w:t>
      </w:r>
      <w:r w:rsidR="00B570C1">
        <w:t>onl.</w:t>
      </w:r>
      <w:r w:rsidR="00454984" w:rsidRPr="007C528B">
        <w:t xml:space="preserve"> </w:t>
      </w:r>
      <w:r w:rsidRPr="007C528B">
        <w:t>A-G</w:t>
      </w:r>
      <w:r w:rsidR="00FE7F96" w:rsidRPr="007C528B">
        <w:t xml:space="preserve"> </w:t>
      </w:r>
      <w:r w:rsidR="00454984" w:rsidRPr="007C528B">
        <w:t>Mengozi</w:t>
      </w:r>
      <w:r w:rsidRPr="007C528B">
        <w:t xml:space="preserve"> </w:t>
      </w:r>
      <w:r w:rsidR="00454984" w:rsidRPr="007C528B">
        <w:t>23 mei 2007, C‑341/05, par. 172, 197 &amp; 209 (</w:t>
      </w:r>
      <w:r w:rsidR="00454984" w:rsidRPr="007C528B">
        <w:rPr>
          <w:i/>
          <w:iCs/>
        </w:rPr>
        <w:t>Laval</w:t>
      </w:r>
      <w:r w:rsidR="00454984" w:rsidRPr="007C528B">
        <w:t>);</w:t>
      </w:r>
      <w:r w:rsidRPr="007C528B">
        <w:t xml:space="preserve"> </w:t>
      </w:r>
      <w:r w:rsidR="00460E85">
        <w:t>c</w:t>
      </w:r>
      <w:r w:rsidR="00B570C1">
        <w:t>oncl.</w:t>
      </w:r>
      <w:r w:rsidR="00454984" w:rsidRPr="007C528B">
        <w:t xml:space="preserve"> </w:t>
      </w:r>
      <w:r w:rsidRPr="0080665C">
        <w:t>A-G</w:t>
      </w:r>
      <w:r w:rsidR="00FE7F96" w:rsidRPr="0080665C">
        <w:t xml:space="preserve"> </w:t>
      </w:r>
      <w:r w:rsidR="00454984" w:rsidRPr="0080665C">
        <w:t>Bot</w:t>
      </w:r>
      <w:r w:rsidRPr="0080665C">
        <w:t xml:space="preserve"> </w:t>
      </w:r>
      <w:r w:rsidR="00454984" w:rsidRPr="0080665C">
        <w:t>20 september 2007, C-346/06, par. 83 (</w:t>
      </w:r>
      <w:r w:rsidRPr="0080665C">
        <w:rPr>
          <w:i/>
          <w:iCs/>
        </w:rPr>
        <w:t>Rüffert</w:t>
      </w:r>
      <w:r w:rsidR="00454984" w:rsidRPr="0080665C">
        <w:t>)</w:t>
      </w:r>
      <w:r w:rsidR="00673FAA" w:rsidRPr="0080665C">
        <w:t>;</w:t>
      </w:r>
      <w:r w:rsidR="00034BE7" w:rsidRPr="0080665C">
        <w:t xml:space="preserve"> </w:t>
      </w:r>
      <w:r w:rsidR="000326E3" w:rsidRPr="0080665C">
        <w:t xml:space="preserve">Ashiagbor, </w:t>
      </w:r>
      <w:r w:rsidR="000326E3" w:rsidRPr="0080665C">
        <w:rPr>
          <w:i/>
          <w:iCs/>
        </w:rPr>
        <w:t xml:space="preserve">ELJ </w:t>
      </w:r>
      <w:r w:rsidR="000326E3" w:rsidRPr="0080665C">
        <w:t>2013, p. 314</w:t>
      </w:r>
      <w:r w:rsidR="00034BE7" w:rsidRPr="0080665C">
        <w:t xml:space="preserve">; Laagland, </w:t>
      </w:r>
      <w:r w:rsidR="00034BE7" w:rsidRPr="0080665C">
        <w:rPr>
          <w:i/>
          <w:iCs/>
        </w:rPr>
        <w:t xml:space="preserve">ArA </w:t>
      </w:r>
      <w:r w:rsidR="00034BE7" w:rsidRPr="0080665C">
        <w:t>2021, p. 55 &amp; 60.</w:t>
      </w:r>
      <w:r w:rsidRPr="0080665C">
        <w:t xml:space="preserve"> </w:t>
      </w:r>
      <w:r w:rsidR="00B570C1">
        <w:t xml:space="preserve">Anders: </w:t>
      </w:r>
      <w:r w:rsidR="00FE7F96" w:rsidRPr="007C528B">
        <w:t>Van Hoek &amp; Houwerzijl</w:t>
      </w:r>
      <w:r w:rsidR="004357D4" w:rsidRPr="007C528B">
        <w:t xml:space="preserve">, </w:t>
      </w:r>
      <w:r w:rsidR="004357D4" w:rsidRPr="007C528B">
        <w:rPr>
          <w:i/>
          <w:iCs/>
        </w:rPr>
        <w:t>N</w:t>
      </w:r>
      <w:r w:rsidR="00577940" w:rsidRPr="007C528B">
        <w:rPr>
          <w:i/>
          <w:iCs/>
        </w:rPr>
        <w:t>t</w:t>
      </w:r>
      <w:r w:rsidR="004357D4" w:rsidRPr="007C528B">
        <w:rPr>
          <w:i/>
          <w:iCs/>
        </w:rPr>
        <w:t>E</w:t>
      </w:r>
      <w:r w:rsidR="00721D64">
        <w:rPr>
          <w:i/>
          <w:iCs/>
        </w:rPr>
        <w:t>r</w:t>
      </w:r>
      <w:r w:rsidR="004357D4" w:rsidRPr="007C528B">
        <w:rPr>
          <w:i/>
          <w:iCs/>
        </w:rPr>
        <w:t xml:space="preserve"> </w:t>
      </w:r>
      <w:r w:rsidR="004357D4" w:rsidRPr="007C528B">
        <w:t>2008</w:t>
      </w:r>
      <w:r w:rsidR="00F83154">
        <w:t xml:space="preserve">, afl. </w:t>
      </w:r>
      <w:r w:rsidR="003C3583" w:rsidRPr="007C528B">
        <w:t>12</w:t>
      </w:r>
      <w:r w:rsidR="004357D4" w:rsidRPr="007C528B">
        <w:t>, p. 345</w:t>
      </w:r>
      <w:r w:rsidR="00DE298F">
        <w:t xml:space="preserve">, die menen dat </w:t>
      </w:r>
      <w:r w:rsidR="00B570C1">
        <w:t xml:space="preserve">artikel </w:t>
      </w:r>
      <w:r w:rsidR="00FA141D">
        <w:t>3</w:t>
      </w:r>
      <w:r w:rsidR="00B570C1">
        <w:t xml:space="preserve"> lid </w:t>
      </w:r>
      <w:r w:rsidR="00FA141D">
        <w:t>7</w:t>
      </w:r>
      <w:r w:rsidR="00B570C1">
        <w:t xml:space="preserve"> Detacheringsrichtlijn</w:t>
      </w:r>
      <w:r w:rsidR="00FE7F96" w:rsidRPr="007C528B">
        <w:t xml:space="preserve"> </w:t>
      </w:r>
      <w:r w:rsidR="00DE298F">
        <w:t xml:space="preserve">doelt </w:t>
      </w:r>
      <w:r w:rsidR="00454984" w:rsidRPr="007C528B">
        <w:t>op</w:t>
      </w:r>
      <w:r w:rsidRPr="007C528B">
        <w:t xml:space="preserve"> gunstiger</w:t>
      </w:r>
      <w:r w:rsidR="00EC5BD5" w:rsidRPr="007C528B">
        <w:t>e</w:t>
      </w:r>
      <w:r w:rsidRPr="007C528B">
        <w:t xml:space="preserve"> bepalingen </w:t>
      </w:r>
      <w:r w:rsidR="00C97F38" w:rsidRPr="007C528B">
        <w:t>van</w:t>
      </w:r>
      <w:r w:rsidRPr="007C528B">
        <w:t xml:space="preserve"> het </w:t>
      </w:r>
      <w:r w:rsidR="00C97F38" w:rsidRPr="007C528B">
        <w:t>herkomstland</w:t>
      </w:r>
      <w:r w:rsidR="00FE7F96" w:rsidRPr="007C528B">
        <w:t>.</w:t>
      </w:r>
    </w:p>
  </w:footnote>
  <w:footnote w:id="40">
    <w:p w14:paraId="0FAE15B3" w14:textId="2839EC56" w:rsidR="00BE0CCD" w:rsidRPr="007C528B" w:rsidRDefault="00BE0CCD" w:rsidP="003820BE">
      <w:pPr>
        <w:pStyle w:val="FootnoteText"/>
        <w:jc w:val="both"/>
      </w:pPr>
      <w:r w:rsidRPr="007C528B">
        <w:rPr>
          <w:rStyle w:val="FootnoteReference"/>
        </w:rPr>
        <w:footnoteRef/>
      </w:r>
      <w:r w:rsidRPr="007C528B">
        <w:t xml:space="preserve"> De collectieve actie had eveneens betrekking op </w:t>
      </w:r>
      <w:r w:rsidR="00DE298F">
        <w:t xml:space="preserve">de </w:t>
      </w:r>
      <w:r w:rsidRPr="007C528B">
        <w:t xml:space="preserve">vaststelling van het (minimum)loon. Conform Zweedse praktijk werd dit loon bepaald in het kader van collectieve onderhandelingen tussen sociale partners op de werkplek. </w:t>
      </w:r>
      <w:r w:rsidR="00571E28">
        <w:t xml:space="preserve">Het Hof bevond </w:t>
      </w:r>
      <w:r w:rsidRPr="007C528B">
        <w:t xml:space="preserve">een dergelijke praktijk </w:t>
      </w:r>
      <w:r w:rsidR="00571E28">
        <w:t>strijdig</w:t>
      </w:r>
      <w:r w:rsidRPr="007C528B">
        <w:t xml:space="preserve"> met de in artikel 3 Detacheringsrichtlijn neergelegde procedures voor </w:t>
      </w:r>
      <w:r w:rsidR="00DE298F">
        <w:t xml:space="preserve">de </w:t>
      </w:r>
      <w:r w:rsidRPr="007C528B">
        <w:t>verankering van de ‘harde kern’ arbeidsvoorwaarden</w:t>
      </w:r>
      <w:r w:rsidR="00DE298F">
        <w:t>, omdat</w:t>
      </w:r>
      <w:r w:rsidRPr="007C528B">
        <w:t xml:space="preserve"> </w:t>
      </w:r>
      <w:r w:rsidRPr="007C528B">
        <w:rPr>
          <w:i/>
          <w:iCs/>
        </w:rPr>
        <w:t>ad hoc</w:t>
      </w:r>
      <w:r w:rsidRPr="007C528B">
        <w:t xml:space="preserve"> loononderhandelingen onvoldoende duidelijk en transparant </w:t>
      </w:r>
      <w:r w:rsidR="00DE298F">
        <w:t xml:space="preserve">waren </w:t>
      </w:r>
      <w:r w:rsidRPr="007C528B">
        <w:t>voor buitenlandse dienstverrichters.</w:t>
      </w:r>
    </w:p>
  </w:footnote>
  <w:footnote w:id="41">
    <w:p w14:paraId="01F8AA6C" w14:textId="7C70D2A7" w:rsidR="00851BBC" w:rsidRPr="0080665C" w:rsidRDefault="00851BBC" w:rsidP="003820BE">
      <w:pPr>
        <w:pStyle w:val="FootnoteText"/>
        <w:jc w:val="both"/>
        <w:rPr>
          <w:lang w:val="de-DE"/>
        </w:rPr>
      </w:pPr>
      <w:r w:rsidRPr="00EF6A8C">
        <w:rPr>
          <w:rStyle w:val="FootnoteReference"/>
        </w:rPr>
        <w:footnoteRef/>
      </w:r>
      <w:r w:rsidRPr="0080665C">
        <w:rPr>
          <w:lang w:val="de-DE"/>
        </w:rPr>
        <w:t xml:space="preserve"> HvJ EU 3 april 2008, C-346/06</w:t>
      </w:r>
      <w:r w:rsidR="001C381C" w:rsidRPr="0080665C">
        <w:rPr>
          <w:lang w:val="de-DE"/>
        </w:rPr>
        <w:t xml:space="preserve"> </w:t>
      </w:r>
      <w:r w:rsidRPr="0080665C">
        <w:rPr>
          <w:lang w:val="de-DE"/>
        </w:rPr>
        <w:t>(</w:t>
      </w:r>
      <w:r w:rsidRPr="0080665C">
        <w:rPr>
          <w:i/>
          <w:iCs/>
          <w:lang w:val="de-DE"/>
        </w:rPr>
        <w:t>Rüffert</w:t>
      </w:r>
      <w:r w:rsidRPr="0080665C">
        <w:rPr>
          <w:lang w:val="de-DE"/>
        </w:rPr>
        <w:t>); HvJ EU 19 juni 2008, C-319/06</w:t>
      </w:r>
      <w:r w:rsidR="001C381C" w:rsidRPr="0080665C">
        <w:rPr>
          <w:lang w:val="de-DE"/>
        </w:rPr>
        <w:t xml:space="preserve"> </w:t>
      </w:r>
      <w:r w:rsidRPr="0080665C">
        <w:rPr>
          <w:lang w:val="de-DE"/>
        </w:rPr>
        <w:t>(</w:t>
      </w:r>
      <w:r w:rsidRPr="0080665C">
        <w:rPr>
          <w:i/>
          <w:iCs/>
          <w:lang w:val="de-DE"/>
        </w:rPr>
        <w:t>Commissie/Luxemburg</w:t>
      </w:r>
      <w:r w:rsidRPr="0080665C">
        <w:rPr>
          <w:lang w:val="de-DE"/>
        </w:rPr>
        <w:t>).</w:t>
      </w:r>
    </w:p>
  </w:footnote>
  <w:footnote w:id="42">
    <w:p w14:paraId="2876C5CB" w14:textId="278C4AA7" w:rsidR="00040A9C" w:rsidRPr="0080665C" w:rsidRDefault="00040A9C" w:rsidP="003820BE">
      <w:pPr>
        <w:pStyle w:val="FootnoteText"/>
        <w:jc w:val="both"/>
        <w:rPr>
          <w:lang w:val="fr-BE"/>
        </w:rPr>
      </w:pPr>
      <w:r w:rsidRPr="00EF6A8C">
        <w:rPr>
          <w:rStyle w:val="FootnoteReference"/>
        </w:rPr>
        <w:footnoteRef/>
      </w:r>
      <w:r w:rsidRPr="0080665C">
        <w:rPr>
          <w:lang w:val="fr-BE"/>
        </w:rPr>
        <w:t xml:space="preserve"> HvJ EU 15 juli 2010, C-271/08</w:t>
      </w:r>
      <w:r w:rsidR="00D60037" w:rsidRPr="0080665C">
        <w:rPr>
          <w:lang w:val="fr-BE"/>
        </w:rPr>
        <w:t xml:space="preserve"> </w:t>
      </w:r>
      <w:r w:rsidRPr="0080665C">
        <w:rPr>
          <w:lang w:val="fr-BE"/>
        </w:rPr>
        <w:t>(</w:t>
      </w:r>
      <w:r w:rsidRPr="0080665C">
        <w:rPr>
          <w:i/>
          <w:iCs/>
          <w:lang w:val="fr-BE"/>
        </w:rPr>
        <w:t>Commissie/Duitsland</w:t>
      </w:r>
      <w:r w:rsidRPr="0080665C">
        <w:rPr>
          <w:lang w:val="fr-BE"/>
        </w:rPr>
        <w:t>).</w:t>
      </w:r>
    </w:p>
  </w:footnote>
  <w:footnote w:id="43">
    <w:p w14:paraId="6F8EB623" w14:textId="171D1BE1" w:rsidR="00040A9C" w:rsidRPr="0080665C" w:rsidRDefault="00040A9C" w:rsidP="003820BE">
      <w:pPr>
        <w:pStyle w:val="FootnoteText"/>
        <w:jc w:val="both"/>
        <w:rPr>
          <w:lang w:val="fr-BE"/>
        </w:rPr>
      </w:pPr>
      <w:r w:rsidRPr="00EF6A8C">
        <w:rPr>
          <w:rStyle w:val="FootnoteReference"/>
        </w:rPr>
        <w:footnoteRef/>
      </w:r>
      <w:r w:rsidRPr="0080665C">
        <w:rPr>
          <w:lang w:val="fr-BE"/>
        </w:rPr>
        <w:t xml:space="preserve"> </w:t>
      </w:r>
      <w:r w:rsidR="00972182" w:rsidRPr="0080665C">
        <w:rPr>
          <w:lang w:val="fr-BE"/>
        </w:rPr>
        <w:t>Concl.</w:t>
      </w:r>
      <w:r w:rsidRPr="0080665C">
        <w:rPr>
          <w:lang w:val="fr-BE"/>
        </w:rPr>
        <w:t xml:space="preserve"> A-G Trstenjak</w:t>
      </w:r>
      <w:r w:rsidR="008A79D3" w:rsidRPr="0080665C">
        <w:rPr>
          <w:lang w:val="fr-BE"/>
        </w:rPr>
        <w:t xml:space="preserve"> 14 april 2010, C-271/08</w:t>
      </w:r>
      <w:r w:rsidR="00D167E4" w:rsidRPr="0080665C">
        <w:rPr>
          <w:lang w:val="fr-BE"/>
        </w:rPr>
        <w:t>,</w:t>
      </w:r>
      <w:r w:rsidRPr="0080665C">
        <w:rPr>
          <w:lang w:val="fr-BE"/>
        </w:rPr>
        <w:t xml:space="preserve"> par. 81-84</w:t>
      </w:r>
      <w:r w:rsidR="000F4340" w:rsidRPr="0080665C">
        <w:rPr>
          <w:lang w:val="fr-BE"/>
        </w:rPr>
        <w:t xml:space="preserve"> &amp; 190-191</w:t>
      </w:r>
      <w:r w:rsidRPr="0080665C">
        <w:rPr>
          <w:lang w:val="fr-BE"/>
        </w:rPr>
        <w:t xml:space="preserve"> (</w:t>
      </w:r>
      <w:r w:rsidRPr="0080665C">
        <w:rPr>
          <w:i/>
          <w:iCs/>
          <w:lang w:val="fr-BE"/>
        </w:rPr>
        <w:t>Commissie/Duitsland</w:t>
      </w:r>
      <w:r w:rsidRPr="0080665C">
        <w:rPr>
          <w:lang w:val="fr-BE"/>
        </w:rPr>
        <w:t>).</w:t>
      </w:r>
    </w:p>
  </w:footnote>
  <w:footnote w:id="44">
    <w:p w14:paraId="50EE6229" w14:textId="29B8A9AB" w:rsidR="00040A9C" w:rsidRPr="0080665C" w:rsidRDefault="00040A9C" w:rsidP="003820BE">
      <w:pPr>
        <w:pStyle w:val="FootnoteText"/>
        <w:jc w:val="both"/>
        <w:rPr>
          <w:lang w:val="fr-BE"/>
        </w:rPr>
      </w:pPr>
      <w:r w:rsidRPr="00EF6A8C">
        <w:rPr>
          <w:rStyle w:val="FootnoteReference"/>
        </w:rPr>
        <w:footnoteRef/>
      </w:r>
      <w:r w:rsidRPr="0080665C">
        <w:rPr>
          <w:lang w:val="fr-BE"/>
        </w:rPr>
        <w:t xml:space="preserve"> Dorssemont, </w:t>
      </w:r>
      <w:r w:rsidRPr="0080665C">
        <w:rPr>
          <w:i/>
          <w:iCs/>
          <w:lang w:val="fr-BE"/>
        </w:rPr>
        <w:t>ArA</w:t>
      </w:r>
      <w:r w:rsidRPr="0080665C">
        <w:rPr>
          <w:lang w:val="fr-BE"/>
        </w:rPr>
        <w:t xml:space="preserve"> 2012</w:t>
      </w:r>
      <w:r w:rsidR="00413481" w:rsidRPr="0080665C">
        <w:rPr>
          <w:lang w:val="fr-BE"/>
        </w:rPr>
        <w:t>, p. 10</w:t>
      </w:r>
      <w:r w:rsidR="00256406" w:rsidRPr="0080665C">
        <w:rPr>
          <w:lang w:val="fr-BE"/>
        </w:rPr>
        <w:t>.</w:t>
      </w:r>
    </w:p>
  </w:footnote>
  <w:footnote w:id="45">
    <w:p w14:paraId="30393E28" w14:textId="2851088A" w:rsidR="0056484F" w:rsidRPr="0080665C" w:rsidRDefault="0056484F" w:rsidP="003820BE">
      <w:pPr>
        <w:pStyle w:val="FootnoteText"/>
        <w:jc w:val="both"/>
        <w:rPr>
          <w:lang w:val="fr-BE"/>
        </w:rPr>
      </w:pPr>
      <w:r w:rsidRPr="00EF6A8C">
        <w:rPr>
          <w:rStyle w:val="FootnoteReference"/>
        </w:rPr>
        <w:footnoteRef/>
      </w:r>
      <w:r w:rsidRPr="0080665C">
        <w:rPr>
          <w:lang w:val="fr-BE"/>
        </w:rPr>
        <w:t xml:space="preserve"> HvJ EU 8 juli 2014, C‑83/13, r.o. 41 (</w:t>
      </w:r>
      <w:r w:rsidRPr="0080665C">
        <w:rPr>
          <w:i/>
          <w:iCs/>
          <w:lang w:val="fr-BE"/>
        </w:rPr>
        <w:t>Fonnship</w:t>
      </w:r>
      <w:r w:rsidRPr="0080665C">
        <w:rPr>
          <w:lang w:val="fr-BE"/>
        </w:rPr>
        <w:t>).</w:t>
      </w:r>
    </w:p>
  </w:footnote>
  <w:footnote w:id="46">
    <w:p w14:paraId="687FD444" w14:textId="5AFD5F62" w:rsidR="00040A9C" w:rsidRPr="007C528B" w:rsidRDefault="00040A9C" w:rsidP="003820BE">
      <w:pPr>
        <w:pStyle w:val="FootnoteText"/>
        <w:jc w:val="both"/>
        <w:rPr>
          <w:lang w:val="fr-BE"/>
        </w:rPr>
      </w:pPr>
      <w:r w:rsidRPr="007C528B">
        <w:rPr>
          <w:rStyle w:val="FootnoteReference"/>
        </w:rPr>
        <w:footnoteRef/>
      </w:r>
      <w:r w:rsidRPr="007C528B">
        <w:rPr>
          <w:lang w:val="fr-BE"/>
        </w:rPr>
        <w:t xml:space="preserve"> Dorssemont, </w:t>
      </w:r>
      <w:r w:rsidRPr="007C528B">
        <w:rPr>
          <w:i/>
          <w:iCs/>
          <w:lang w:val="fr-BE"/>
        </w:rPr>
        <w:t xml:space="preserve">ArA </w:t>
      </w:r>
      <w:r w:rsidRPr="007C528B">
        <w:rPr>
          <w:lang w:val="fr-BE"/>
        </w:rPr>
        <w:t>2012</w:t>
      </w:r>
      <w:r w:rsidR="00FC022F" w:rsidRPr="007C528B">
        <w:rPr>
          <w:lang w:val="fr-BE"/>
        </w:rPr>
        <w:t xml:space="preserve">, p. </w:t>
      </w:r>
      <w:r w:rsidR="00705EE8" w:rsidRPr="007C528B">
        <w:rPr>
          <w:lang w:val="fr-BE"/>
        </w:rPr>
        <w:t>8</w:t>
      </w:r>
      <w:r w:rsidR="00FC022F" w:rsidRPr="007C528B">
        <w:rPr>
          <w:lang w:val="fr-BE"/>
        </w:rPr>
        <w:t>.</w:t>
      </w:r>
      <w:r w:rsidR="003354FD" w:rsidRPr="007C528B">
        <w:rPr>
          <w:lang w:val="fr-BE"/>
        </w:rPr>
        <w:t xml:space="preserve"> </w:t>
      </w:r>
    </w:p>
  </w:footnote>
  <w:footnote w:id="47">
    <w:p w14:paraId="0AFF1FA1" w14:textId="65FE43C3" w:rsidR="00040A9C" w:rsidRPr="00A872BE" w:rsidRDefault="00040A9C" w:rsidP="003820BE">
      <w:pPr>
        <w:pStyle w:val="FootnoteText"/>
        <w:jc w:val="both"/>
      </w:pPr>
      <w:r w:rsidRPr="007C528B">
        <w:rPr>
          <w:rStyle w:val="FootnoteReference"/>
        </w:rPr>
        <w:footnoteRef/>
      </w:r>
      <w:r w:rsidRPr="007C528B">
        <w:rPr>
          <w:lang w:val="fr-BE"/>
        </w:rPr>
        <w:t xml:space="preserve"> Azoulai, </w:t>
      </w:r>
      <w:r w:rsidRPr="007C528B">
        <w:rPr>
          <w:i/>
          <w:iCs/>
          <w:lang w:val="fr-BE"/>
        </w:rPr>
        <w:t>CMLR</w:t>
      </w:r>
      <w:r w:rsidR="00246AE6" w:rsidRPr="007C528B">
        <w:rPr>
          <w:i/>
          <w:iCs/>
          <w:lang w:val="fr-BE"/>
        </w:rPr>
        <w:t xml:space="preserve"> </w:t>
      </w:r>
      <w:r w:rsidRPr="007C528B">
        <w:rPr>
          <w:lang w:val="fr-BE"/>
        </w:rPr>
        <w:t>2008, p. 1337.</w:t>
      </w:r>
      <w:r w:rsidR="00BE35F1" w:rsidRPr="007C528B">
        <w:rPr>
          <w:lang w:val="fr-BE"/>
        </w:rPr>
        <w:t xml:space="preserve"> </w:t>
      </w:r>
      <w:r w:rsidR="00BE35F1" w:rsidRPr="00A872BE">
        <w:t xml:space="preserve">Idem: </w:t>
      </w:r>
      <w:r w:rsidR="004578B3" w:rsidRPr="00A872BE">
        <w:t xml:space="preserve">Velyvyte, </w:t>
      </w:r>
      <w:r w:rsidR="004578B3" w:rsidRPr="00A872BE">
        <w:rPr>
          <w:i/>
          <w:iCs/>
        </w:rPr>
        <w:t>HRLR</w:t>
      </w:r>
      <w:r w:rsidR="004578B3" w:rsidRPr="00A872BE">
        <w:t xml:space="preserve"> 2015, p. 86-87</w:t>
      </w:r>
      <w:r w:rsidR="00AF008C" w:rsidRPr="00A872BE">
        <w:t>.</w:t>
      </w:r>
    </w:p>
  </w:footnote>
  <w:footnote w:id="48">
    <w:p w14:paraId="653E0064" w14:textId="579C46BD" w:rsidR="00F35A14" w:rsidRPr="007C528B" w:rsidRDefault="00F35A14" w:rsidP="003820BE">
      <w:pPr>
        <w:pStyle w:val="FootnoteText"/>
        <w:jc w:val="both"/>
      </w:pPr>
      <w:r w:rsidRPr="007C528B">
        <w:rPr>
          <w:rStyle w:val="FootnoteReference"/>
        </w:rPr>
        <w:footnoteRef/>
      </w:r>
      <w:r w:rsidRPr="007C528B">
        <w:t xml:space="preserve"> Op 7 december 2000 werd tijdens de Europese Raad van Nice het Handvest afgekondigd als politieke verklaring. </w:t>
      </w:r>
      <w:r>
        <w:t>Sinds Lissabon</w:t>
      </w:r>
      <w:r w:rsidRPr="007C528B">
        <w:t xml:space="preserve"> heeft het Handvest </w:t>
      </w:r>
      <w:r w:rsidR="0059771D">
        <w:t>de status van primair Unierecht</w:t>
      </w:r>
      <w:r>
        <w:t>.</w:t>
      </w:r>
    </w:p>
  </w:footnote>
  <w:footnote w:id="49">
    <w:p w14:paraId="69661C82" w14:textId="5E2CC288" w:rsidR="00DA2C4D" w:rsidRPr="007C528B" w:rsidRDefault="00DA2C4D" w:rsidP="003820BE">
      <w:pPr>
        <w:pStyle w:val="FootnoteText"/>
        <w:jc w:val="both"/>
      </w:pPr>
      <w:r w:rsidRPr="007C528B">
        <w:rPr>
          <w:rStyle w:val="FootnoteReference"/>
        </w:rPr>
        <w:footnoteRef/>
      </w:r>
      <w:r w:rsidRPr="007C528B">
        <w:t xml:space="preserve"> Ellingsen, </w:t>
      </w:r>
      <w:r w:rsidRPr="007C528B">
        <w:rPr>
          <w:i/>
          <w:iCs/>
        </w:rPr>
        <w:t>CMLR</w:t>
      </w:r>
      <w:r w:rsidRPr="007C528B">
        <w:t xml:space="preserve"> 2022, p. 596.</w:t>
      </w:r>
    </w:p>
  </w:footnote>
  <w:footnote w:id="50">
    <w:p w14:paraId="5E710969" w14:textId="7CF75F75" w:rsidR="00CB751D" w:rsidRPr="00B252AD" w:rsidRDefault="00CB751D" w:rsidP="003820BE">
      <w:pPr>
        <w:pStyle w:val="FootnoteText"/>
        <w:jc w:val="both"/>
        <w:rPr>
          <w:lang w:val="fr-BE"/>
        </w:rPr>
      </w:pPr>
      <w:r w:rsidRPr="005D1A3E">
        <w:rPr>
          <w:rStyle w:val="FootnoteReference"/>
        </w:rPr>
        <w:footnoteRef/>
      </w:r>
      <w:r w:rsidRPr="005D1A3E">
        <w:t xml:space="preserve"> Papa, </w:t>
      </w:r>
      <w:r w:rsidRPr="005D1A3E">
        <w:rPr>
          <w:i/>
          <w:iCs/>
        </w:rPr>
        <w:t>ELLJ</w:t>
      </w:r>
      <w:r w:rsidRPr="005D1A3E">
        <w:t xml:space="preserve"> 2015, p. 212</w:t>
      </w:r>
      <w:r w:rsidR="00332D1D" w:rsidRPr="005D1A3E">
        <w:t xml:space="preserve">, met </w:t>
      </w:r>
      <w:r w:rsidR="00126180" w:rsidRPr="005D1A3E">
        <w:t>referentie</w:t>
      </w:r>
      <w:r w:rsidR="00332D1D" w:rsidRPr="005D1A3E">
        <w:t xml:space="preserve"> naar </w:t>
      </w:r>
      <w:bookmarkStart w:id="26" w:name="_Hlk150954161"/>
      <w:r w:rsidR="00460E85">
        <w:t>c</w:t>
      </w:r>
      <w:r w:rsidR="00AF008C" w:rsidRPr="005D1A3E">
        <w:t>oncl.</w:t>
      </w:r>
      <w:r w:rsidR="00332D1D" w:rsidRPr="005D1A3E">
        <w:t xml:space="preserve"> </w:t>
      </w:r>
      <w:r w:rsidR="00332D1D" w:rsidRPr="00B252AD">
        <w:rPr>
          <w:lang w:val="fr-BE"/>
        </w:rPr>
        <w:t>A-G Cruz Villalón 5 mei 2019, C-515/08</w:t>
      </w:r>
      <w:r w:rsidR="003F73CF" w:rsidRPr="00B252AD">
        <w:rPr>
          <w:lang w:val="fr-BE"/>
        </w:rPr>
        <w:t>,</w:t>
      </w:r>
      <w:r w:rsidR="00332D1D" w:rsidRPr="00B252AD">
        <w:rPr>
          <w:lang w:val="fr-BE"/>
        </w:rPr>
        <w:t xml:space="preserve"> par. 5</w:t>
      </w:r>
      <w:r w:rsidR="003F73CF" w:rsidRPr="00B252AD">
        <w:rPr>
          <w:lang w:val="fr-BE"/>
        </w:rPr>
        <w:t>1-53</w:t>
      </w:r>
      <w:r w:rsidR="00332D1D" w:rsidRPr="00B252AD">
        <w:rPr>
          <w:lang w:val="fr-BE"/>
        </w:rPr>
        <w:t xml:space="preserve"> (</w:t>
      </w:r>
      <w:r w:rsidR="00332D1D" w:rsidRPr="00B252AD">
        <w:rPr>
          <w:i/>
          <w:iCs/>
          <w:lang w:val="fr-BE"/>
        </w:rPr>
        <w:t>Santos</w:t>
      </w:r>
      <w:r w:rsidR="00332D1D" w:rsidRPr="00B252AD">
        <w:rPr>
          <w:lang w:val="fr-BE"/>
        </w:rPr>
        <w:t>).</w:t>
      </w:r>
      <w:bookmarkEnd w:id="26"/>
      <w:r w:rsidR="003F73CF" w:rsidRPr="00B252AD">
        <w:rPr>
          <w:lang w:val="fr-BE"/>
        </w:rPr>
        <w:t xml:space="preserve"> </w:t>
      </w:r>
    </w:p>
  </w:footnote>
  <w:footnote w:id="51">
    <w:p w14:paraId="387A772C" w14:textId="71CD4BB3" w:rsidR="00D72167" w:rsidRPr="00A872BE" w:rsidRDefault="00D72167" w:rsidP="003820BE">
      <w:pPr>
        <w:pStyle w:val="FootnoteText"/>
        <w:jc w:val="both"/>
        <w:rPr>
          <w:lang w:val="fr-BE"/>
        </w:rPr>
      </w:pPr>
      <w:r w:rsidRPr="007C528B">
        <w:rPr>
          <w:rStyle w:val="FootnoteReference"/>
        </w:rPr>
        <w:footnoteRef/>
      </w:r>
      <w:r w:rsidRPr="00A872BE">
        <w:rPr>
          <w:lang w:val="fr-BE"/>
        </w:rPr>
        <w:t xml:space="preserve"> De Vries, </w:t>
      </w:r>
      <w:r w:rsidRPr="00A872BE">
        <w:rPr>
          <w:i/>
          <w:iCs/>
          <w:lang w:val="fr-BE"/>
        </w:rPr>
        <w:t xml:space="preserve">ULR </w:t>
      </w:r>
      <w:r w:rsidRPr="00A872BE">
        <w:rPr>
          <w:lang w:val="fr-BE"/>
        </w:rPr>
        <w:t xml:space="preserve">2013, p. </w:t>
      </w:r>
      <w:r w:rsidR="005D6E83" w:rsidRPr="00A872BE">
        <w:rPr>
          <w:lang w:val="fr-BE"/>
        </w:rPr>
        <w:t>188</w:t>
      </w:r>
      <w:r w:rsidR="00695F6C" w:rsidRPr="00A872BE">
        <w:rPr>
          <w:lang w:val="fr-BE"/>
        </w:rPr>
        <w:t xml:space="preserve">; De Vries, </w:t>
      </w:r>
      <w:r w:rsidR="00695F6C" w:rsidRPr="00A872BE">
        <w:rPr>
          <w:i/>
          <w:iCs/>
          <w:lang w:val="fr-BE"/>
        </w:rPr>
        <w:t>NtEr</w:t>
      </w:r>
      <w:r w:rsidR="00695F6C" w:rsidRPr="00A872BE">
        <w:rPr>
          <w:lang w:val="fr-BE"/>
        </w:rPr>
        <w:t xml:space="preserve"> 2013, p. 129-130.</w:t>
      </w:r>
    </w:p>
  </w:footnote>
  <w:footnote w:id="52">
    <w:p w14:paraId="73F92DAF" w14:textId="6EDFB62E" w:rsidR="00E20C9E" w:rsidRPr="00A872BE" w:rsidRDefault="00E20C9E" w:rsidP="003820BE">
      <w:pPr>
        <w:pStyle w:val="FootnoteText"/>
        <w:jc w:val="both"/>
        <w:rPr>
          <w:lang w:val="fr-BE"/>
        </w:rPr>
      </w:pPr>
      <w:r w:rsidRPr="007C528B">
        <w:rPr>
          <w:rStyle w:val="FootnoteReference"/>
        </w:rPr>
        <w:footnoteRef/>
      </w:r>
      <w:r w:rsidRPr="00A872BE">
        <w:rPr>
          <w:lang w:val="fr-BE"/>
        </w:rPr>
        <w:t xml:space="preserve"> Dorssemont, </w:t>
      </w:r>
      <w:r w:rsidRPr="00A872BE">
        <w:rPr>
          <w:i/>
          <w:iCs/>
          <w:lang w:val="fr-BE"/>
        </w:rPr>
        <w:t xml:space="preserve">ArA </w:t>
      </w:r>
      <w:r w:rsidRPr="00A872BE">
        <w:rPr>
          <w:lang w:val="fr-BE"/>
        </w:rPr>
        <w:t>2012, p. 8-9.</w:t>
      </w:r>
    </w:p>
  </w:footnote>
  <w:footnote w:id="53">
    <w:p w14:paraId="4FB8AE3F" w14:textId="7AB73660" w:rsidR="004822AE" w:rsidRPr="007C528B" w:rsidRDefault="004822AE" w:rsidP="003820BE">
      <w:pPr>
        <w:pStyle w:val="FootnoteText"/>
        <w:jc w:val="both"/>
      </w:pPr>
      <w:r w:rsidRPr="007C528B">
        <w:rPr>
          <w:rStyle w:val="FootnoteReference"/>
        </w:rPr>
        <w:footnoteRef/>
      </w:r>
      <w:r w:rsidRPr="007C528B">
        <w:t xml:space="preserve"> </w:t>
      </w:r>
      <w:r w:rsidR="00493E34" w:rsidRPr="007C528B">
        <w:t>Daar kan</w:t>
      </w:r>
      <w:r w:rsidR="00C32DAC">
        <w:t xml:space="preserve"> evenwel</w:t>
      </w:r>
      <w:r w:rsidR="00493E34" w:rsidRPr="007C528B">
        <w:t xml:space="preserve"> tegenin worden gebracht dat</w:t>
      </w:r>
      <w:r w:rsidRPr="007C528B">
        <w:t xml:space="preserve"> </w:t>
      </w:r>
      <w:r w:rsidR="007D7E3F">
        <w:t>het Handvest</w:t>
      </w:r>
      <w:r w:rsidRPr="007C528B">
        <w:t xml:space="preserve"> </w:t>
      </w:r>
      <w:r w:rsidR="00493E34" w:rsidRPr="007C528B">
        <w:t xml:space="preserve">– anders dan de verkeersvrijheden – pas </w:t>
      </w:r>
      <w:r w:rsidRPr="007C528B">
        <w:t xml:space="preserve">sinds Lissabon </w:t>
      </w:r>
      <w:r w:rsidR="00493E34" w:rsidRPr="007C528B">
        <w:t xml:space="preserve">behoort </w:t>
      </w:r>
      <w:r w:rsidRPr="007C528B">
        <w:t>tot</w:t>
      </w:r>
      <w:r w:rsidR="00F54100" w:rsidRPr="007C528B">
        <w:t xml:space="preserve"> </w:t>
      </w:r>
      <w:r w:rsidR="006A7284" w:rsidRPr="007C528B">
        <w:t xml:space="preserve">het </w:t>
      </w:r>
      <w:r w:rsidRPr="007C528B">
        <w:t>primair</w:t>
      </w:r>
      <w:r w:rsidR="0059771D">
        <w:t>e</w:t>
      </w:r>
      <w:r w:rsidRPr="007C528B">
        <w:t xml:space="preserve"> Unierecht</w:t>
      </w:r>
      <w:r w:rsidR="00493E34" w:rsidRPr="007C528B">
        <w:t xml:space="preserve">. Vanuit die gedachte is verdedigbaar dat ook de relatieve status van </w:t>
      </w:r>
      <w:r w:rsidR="007D7E3F">
        <w:t>sociale</w:t>
      </w:r>
      <w:r w:rsidR="000677A9">
        <w:t xml:space="preserve"> </w:t>
      </w:r>
      <w:r w:rsidR="00493E34" w:rsidRPr="007C528B">
        <w:t>grondrecht</w:t>
      </w:r>
      <w:r w:rsidR="007D7E3F">
        <w:t>en</w:t>
      </w:r>
      <w:r w:rsidR="00493E34" w:rsidRPr="007C528B">
        <w:t xml:space="preserve"> ten opzichte van verkeersvrijheden is versterkt. Aan de andere kant tellen</w:t>
      </w:r>
      <w:r w:rsidRPr="007C528B">
        <w:t xml:space="preserve"> economische vrijheden </w:t>
      </w:r>
      <w:r w:rsidR="00493E34" w:rsidRPr="007C528B">
        <w:t>thans in</w:t>
      </w:r>
      <w:r w:rsidRPr="007C528B">
        <w:t xml:space="preserve"> zekere zin dubbel mee: én via de verkeersvrijheden verankerd in </w:t>
      </w:r>
      <w:r w:rsidR="006A7284" w:rsidRPr="007C528B">
        <w:t>het VwEU</w:t>
      </w:r>
      <w:r w:rsidRPr="007C528B">
        <w:t xml:space="preserve">, én via </w:t>
      </w:r>
      <w:r w:rsidR="006A7284" w:rsidRPr="007C528B">
        <w:t xml:space="preserve">de </w:t>
      </w:r>
      <w:r w:rsidRPr="007C528B">
        <w:t>artikel</w:t>
      </w:r>
      <w:r w:rsidR="006A7284" w:rsidRPr="007C528B">
        <w:t>en</w:t>
      </w:r>
      <w:r w:rsidRPr="007C528B">
        <w:t xml:space="preserve"> 15 lid 2 en 16 Hv.</w:t>
      </w:r>
    </w:p>
  </w:footnote>
  <w:footnote w:id="54">
    <w:p w14:paraId="1E4230F1" w14:textId="64141BB4" w:rsidR="00BB4758" w:rsidRPr="00D6686B" w:rsidRDefault="00BB4758" w:rsidP="003820BE">
      <w:pPr>
        <w:pStyle w:val="FootnoteText"/>
        <w:jc w:val="both"/>
      </w:pPr>
      <w:r w:rsidRPr="007C528B">
        <w:rPr>
          <w:rStyle w:val="FootnoteReference"/>
        </w:rPr>
        <w:footnoteRef/>
      </w:r>
      <w:r w:rsidRPr="007C528B">
        <w:t xml:space="preserve"> </w:t>
      </w:r>
      <w:r w:rsidR="00300364">
        <w:t>Dorssemont 2011, p. 230-231</w:t>
      </w:r>
      <w:r w:rsidR="00D6686B">
        <w:t>, alsmede</w:t>
      </w:r>
      <w:r w:rsidR="00300364">
        <w:t xml:space="preserve"> </w:t>
      </w:r>
      <w:r w:rsidRPr="007C528B">
        <w:t>Boonstra, Helmer &amp; Houwerzijl 2014, p. 328</w:t>
      </w:r>
      <w:r w:rsidR="00D6686B">
        <w:t xml:space="preserve">, menen eveneens dat het kader uit </w:t>
      </w:r>
      <w:r w:rsidR="00D6686B">
        <w:rPr>
          <w:i/>
          <w:iCs/>
        </w:rPr>
        <w:t>Viking</w:t>
      </w:r>
      <w:r w:rsidR="00D6686B">
        <w:t xml:space="preserve"> en </w:t>
      </w:r>
      <w:r w:rsidR="00D6686B">
        <w:rPr>
          <w:i/>
          <w:iCs/>
        </w:rPr>
        <w:t>Laval</w:t>
      </w:r>
      <w:r w:rsidR="00D6686B">
        <w:t xml:space="preserve"> </w:t>
      </w:r>
      <w:r w:rsidR="007561BF">
        <w:t>ondanks</w:t>
      </w:r>
      <w:r w:rsidR="00D6686B">
        <w:t xml:space="preserve"> het Lissabonverdrag </w:t>
      </w:r>
      <w:r w:rsidR="002E2AEE">
        <w:t>ongewijzigd is gebleven</w:t>
      </w:r>
      <w:r w:rsidR="00D6686B">
        <w:t>.</w:t>
      </w:r>
    </w:p>
  </w:footnote>
  <w:footnote w:id="55">
    <w:p w14:paraId="3A2C68F3" w14:textId="1CBD664F" w:rsidR="00EC1F6B" w:rsidRPr="007C528B" w:rsidRDefault="00EC1F6B" w:rsidP="003820BE">
      <w:pPr>
        <w:pStyle w:val="FootnoteText"/>
        <w:jc w:val="both"/>
      </w:pPr>
      <w:r w:rsidRPr="007C528B">
        <w:rPr>
          <w:rStyle w:val="FootnoteReference"/>
        </w:rPr>
        <w:footnoteRef/>
      </w:r>
      <w:r w:rsidRPr="007C528B">
        <w:t xml:space="preserve"> Voorstel voor een verordening betreffende de uitoefening van het recht om collectieve actie te voeren in de context van de vrijheid van vestiging en de vrijheid van dienstverrichting</w:t>
      </w:r>
      <w:r w:rsidR="00493007">
        <w:t xml:space="preserve">, </w:t>
      </w:r>
      <w:r w:rsidR="00493007" w:rsidRPr="00493007">
        <w:t>COM(2012)</w:t>
      </w:r>
      <w:r w:rsidR="00493007">
        <w:t xml:space="preserve"> </w:t>
      </w:r>
      <w:r w:rsidR="00493007" w:rsidRPr="00493007">
        <w:t>130</w:t>
      </w:r>
      <w:r w:rsidR="00493007">
        <w:t>.</w:t>
      </w:r>
    </w:p>
  </w:footnote>
  <w:footnote w:id="56">
    <w:p w14:paraId="5E2CD90A" w14:textId="5D3EB5CD" w:rsidR="00F00C56" w:rsidRPr="007C528B" w:rsidRDefault="00F00C56" w:rsidP="003820BE">
      <w:pPr>
        <w:pStyle w:val="FootnoteText"/>
        <w:jc w:val="both"/>
      </w:pPr>
      <w:r w:rsidRPr="007C528B">
        <w:rPr>
          <w:rStyle w:val="FootnoteReference"/>
        </w:rPr>
        <w:footnoteRef/>
      </w:r>
      <w:r w:rsidRPr="007C528B">
        <w:t xml:space="preserve"> Dorssemont, </w:t>
      </w:r>
      <w:r w:rsidRPr="007C528B">
        <w:rPr>
          <w:i/>
          <w:iCs/>
        </w:rPr>
        <w:t xml:space="preserve">ArA </w:t>
      </w:r>
      <w:r w:rsidRPr="007C528B">
        <w:t xml:space="preserve">2021, p. 44-45, </w:t>
      </w:r>
      <w:r w:rsidR="008738BF">
        <w:t xml:space="preserve">betoogt </w:t>
      </w:r>
      <w:r w:rsidR="00E33CCF">
        <w:t>evenwel</w:t>
      </w:r>
      <w:r w:rsidR="00FF20DC">
        <w:t xml:space="preserve"> </w:t>
      </w:r>
      <w:r w:rsidR="008738BF">
        <w:t>dat</w:t>
      </w:r>
      <w:r w:rsidRPr="007C528B">
        <w:t xml:space="preserve"> het Hof niet snel geneigd is om verdragsrechtelijke clausules die nationaal recht </w:t>
      </w:r>
      <w:r w:rsidR="00077F79">
        <w:t>‘</w:t>
      </w:r>
      <w:r w:rsidRPr="007C528B">
        <w:t>immuniseren</w:t>
      </w:r>
      <w:r w:rsidR="00077F79">
        <w:t>’</w:t>
      </w:r>
      <w:r w:rsidRPr="007C528B">
        <w:t xml:space="preserve"> tegen de werking van de fundamenten van </w:t>
      </w:r>
      <w:r w:rsidR="002424B2">
        <w:t xml:space="preserve">het </w:t>
      </w:r>
      <w:r w:rsidRPr="007C528B">
        <w:t>Unierecht ernstig te nemen.</w:t>
      </w:r>
    </w:p>
  </w:footnote>
  <w:footnote w:id="57">
    <w:p w14:paraId="4BFF0FC0" w14:textId="66231E4E" w:rsidR="00A30748" w:rsidRPr="007C528B" w:rsidRDefault="00A30748" w:rsidP="003820BE">
      <w:pPr>
        <w:pStyle w:val="FootnoteText"/>
        <w:jc w:val="both"/>
      </w:pPr>
      <w:r w:rsidRPr="007C528B">
        <w:rPr>
          <w:rStyle w:val="FootnoteReference"/>
        </w:rPr>
        <w:footnoteRef/>
      </w:r>
      <w:r w:rsidRPr="007C528B">
        <w:t xml:space="preserve"> Dorssemont, </w:t>
      </w:r>
      <w:r w:rsidRPr="007C528B">
        <w:rPr>
          <w:i/>
          <w:iCs/>
        </w:rPr>
        <w:t xml:space="preserve">ArA </w:t>
      </w:r>
      <w:r w:rsidRPr="007C528B">
        <w:t>2012, p. 19 &amp; 32</w:t>
      </w:r>
      <w:r w:rsidR="006931BD" w:rsidRPr="007C528B">
        <w:t xml:space="preserve">; Ashiagbor, </w:t>
      </w:r>
      <w:r w:rsidR="006931BD" w:rsidRPr="007C528B">
        <w:rPr>
          <w:i/>
          <w:iCs/>
        </w:rPr>
        <w:t xml:space="preserve">ELJ </w:t>
      </w:r>
      <w:r w:rsidR="006931BD" w:rsidRPr="007C528B">
        <w:t>2013, p. 318</w:t>
      </w:r>
      <w:r w:rsidR="00BE4F88" w:rsidRPr="007C528B">
        <w:t>; Boonstra, Helmer &amp; Houwerzijl 2014, p. 326.</w:t>
      </w:r>
    </w:p>
  </w:footnote>
  <w:footnote w:id="58">
    <w:p w14:paraId="7ABAE7FA" w14:textId="58F85324" w:rsidR="008738BF" w:rsidRDefault="008738BF" w:rsidP="003820BE">
      <w:pPr>
        <w:pStyle w:val="FootnoteText"/>
        <w:jc w:val="both"/>
      </w:pPr>
      <w:r>
        <w:rPr>
          <w:rStyle w:val="FootnoteReference"/>
        </w:rPr>
        <w:footnoteRef/>
      </w:r>
      <w:r>
        <w:t xml:space="preserve"> Dit geschiedde overeenkomstig het </w:t>
      </w:r>
      <w:r w:rsidRPr="007C528B">
        <w:t xml:space="preserve">Protocol </w:t>
      </w:r>
      <w:r w:rsidR="00794DB5">
        <w:t>betreffende</w:t>
      </w:r>
      <w:r w:rsidRPr="007C528B">
        <w:t xml:space="preserve"> de beginselen van subsidiariteit en proportionaliteit</w:t>
      </w:r>
      <w:r>
        <w:t>.</w:t>
      </w:r>
    </w:p>
  </w:footnote>
  <w:footnote w:id="59">
    <w:p w14:paraId="0E3FB8F4" w14:textId="1AB8C9DC" w:rsidR="00363446" w:rsidRPr="007C528B" w:rsidRDefault="00363446" w:rsidP="003820BE">
      <w:pPr>
        <w:pStyle w:val="FootnoteText"/>
        <w:jc w:val="both"/>
      </w:pPr>
      <w:r w:rsidRPr="007C528B">
        <w:rPr>
          <w:rStyle w:val="FootnoteReference"/>
        </w:rPr>
        <w:footnoteRef/>
      </w:r>
      <w:r w:rsidRPr="007C528B">
        <w:t xml:space="preserve"> Inter-institutionele proclamatie van het Europees Parlement, de Raad en de Commissie betreffende de Europese Pijler van Sociale Rechten</w:t>
      </w:r>
      <w:r w:rsidR="00A23EE4">
        <w:t>.</w:t>
      </w:r>
    </w:p>
  </w:footnote>
  <w:footnote w:id="60">
    <w:p w14:paraId="4A9EE0AE" w14:textId="3F344A46" w:rsidR="00A653DA" w:rsidRPr="007C528B" w:rsidRDefault="00A653DA" w:rsidP="003820BE">
      <w:pPr>
        <w:pStyle w:val="FootnoteText"/>
        <w:jc w:val="both"/>
      </w:pPr>
      <w:r w:rsidRPr="007C528B">
        <w:rPr>
          <w:rStyle w:val="FootnoteReference"/>
        </w:rPr>
        <w:footnoteRef/>
      </w:r>
      <w:r w:rsidRPr="007C528B">
        <w:t xml:space="preserve"> </w:t>
      </w:r>
      <w:bookmarkStart w:id="29" w:name="_Hlk147686615"/>
      <w:r w:rsidR="006931BD" w:rsidRPr="007C528B">
        <w:t xml:space="preserve">Pennings, </w:t>
      </w:r>
      <w:r w:rsidR="006931BD" w:rsidRPr="007C528B">
        <w:rPr>
          <w:i/>
          <w:iCs/>
        </w:rPr>
        <w:t>N</w:t>
      </w:r>
      <w:r w:rsidR="00577940" w:rsidRPr="007C528B">
        <w:rPr>
          <w:i/>
          <w:iCs/>
        </w:rPr>
        <w:t>t</w:t>
      </w:r>
      <w:r w:rsidR="006931BD" w:rsidRPr="007C528B">
        <w:rPr>
          <w:i/>
          <w:iCs/>
        </w:rPr>
        <w:t>E</w:t>
      </w:r>
      <w:r w:rsidR="00721D64">
        <w:rPr>
          <w:i/>
          <w:iCs/>
        </w:rPr>
        <w:t>r</w:t>
      </w:r>
      <w:r w:rsidR="006931BD" w:rsidRPr="007C528B">
        <w:t xml:space="preserve"> 2017, p. 240</w:t>
      </w:r>
      <w:r w:rsidR="00C2494A">
        <w:t>;</w:t>
      </w:r>
      <w:r w:rsidR="00693332" w:rsidRPr="007C528B">
        <w:t xml:space="preserve"> </w:t>
      </w:r>
      <w:bookmarkStart w:id="30" w:name="_Hlk148110340"/>
      <w:r w:rsidRPr="007C528B">
        <w:t>Garben</w:t>
      </w:r>
      <w:bookmarkEnd w:id="29"/>
      <w:r w:rsidR="003F6BEC" w:rsidRPr="007C528B">
        <w:t xml:space="preserve">, </w:t>
      </w:r>
      <w:r w:rsidR="00246AE6" w:rsidRPr="007C528B">
        <w:rPr>
          <w:i/>
          <w:iCs/>
        </w:rPr>
        <w:t>CYELS</w:t>
      </w:r>
      <w:r w:rsidR="003F6BEC" w:rsidRPr="007C528B">
        <w:t xml:space="preserve"> 2019, p.</w:t>
      </w:r>
      <w:r w:rsidRPr="007C528B">
        <w:t xml:space="preserve"> 123</w:t>
      </w:r>
      <w:r w:rsidR="00C305DF" w:rsidRPr="007C528B">
        <w:t xml:space="preserve"> &amp;</w:t>
      </w:r>
      <w:r w:rsidR="000D0CFF" w:rsidRPr="007C528B">
        <w:t xml:space="preserve"> 125-126</w:t>
      </w:r>
      <w:bookmarkEnd w:id="30"/>
      <w:r w:rsidR="00F370EB" w:rsidRPr="007C528B">
        <w:t>.</w:t>
      </w:r>
    </w:p>
  </w:footnote>
  <w:footnote w:id="61">
    <w:p w14:paraId="21ABB8B9" w14:textId="3D41D903" w:rsidR="00026B5D" w:rsidRDefault="00026B5D" w:rsidP="003820BE">
      <w:pPr>
        <w:pStyle w:val="FootnoteText"/>
        <w:jc w:val="both"/>
      </w:pPr>
      <w:r>
        <w:rPr>
          <w:rStyle w:val="FootnoteReference"/>
        </w:rPr>
        <w:footnoteRef/>
      </w:r>
      <w:r>
        <w:t xml:space="preserve"> </w:t>
      </w:r>
      <w:r w:rsidRPr="007C528B">
        <w:t xml:space="preserve">Dorssemont, </w:t>
      </w:r>
      <w:r w:rsidRPr="007C528B">
        <w:rPr>
          <w:i/>
          <w:iCs/>
        </w:rPr>
        <w:t xml:space="preserve">ArA </w:t>
      </w:r>
      <w:r w:rsidRPr="007C528B">
        <w:t>2021, p. 46</w:t>
      </w:r>
      <w:r>
        <w:t>.</w:t>
      </w:r>
    </w:p>
  </w:footnote>
  <w:footnote w:id="62">
    <w:p w14:paraId="04E04E5D" w14:textId="1E2362C0" w:rsidR="00D25AD1" w:rsidRPr="007C528B" w:rsidRDefault="00D25AD1" w:rsidP="003820BE">
      <w:pPr>
        <w:pStyle w:val="FootnoteText"/>
        <w:jc w:val="both"/>
      </w:pPr>
      <w:r w:rsidRPr="007C528B">
        <w:rPr>
          <w:rStyle w:val="FootnoteReference"/>
        </w:rPr>
        <w:footnoteRef/>
      </w:r>
      <w:r w:rsidR="00B9330F" w:rsidRPr="007C528B">
        <w:t xml:space="preserve"> </w:t>
      </w:r>
      <w:r w:rsidRPr="007C528B">
        <w:t xml:space="preserve">Vergelijk artikel 28 </w:t>
      </w:r>
      <w:r w:rsidR="00453DF0" w:rsidRPr="007C528B">
        <w:t>Hv</w:t>
      </w:r>
      <w:r w:rsidRPr="007C528B">
        <w:t>, waarin het</w:t>
      </w:r>
      <w:r w:rsidR="00026B5D">
        <w:t xml:space="preserve"> stakingsrecht</w:t>
      </w:r>
      <w:r w:rsidRPr="007C528B">
        <w:t xml:space="preserve"> </w:t>
      </w:r>
      <w:r w:rsidR="00980E9A">
        <w:t xml:space="preserve">wordt </w:t>
      </w:r>
      <w:r w:rsidR="008A67E9" w:rsidRPr="007C528B">
        <w:t xml:space="preserve">onderworpen aan </w:t>
      </w:r>
      <w:r w:rsidR="00026B5D">
        <w:t xml:space="preserve">het </w:t>
      </w:r>
      <w:r w:rsidR="008A67E9" w:rsidRPr="007C528B">
        <w:t>Unierecht</w:t>
      </w:r>
      <w:r w:rsidR="00026B5D">
        <w:t>,</w:t>
      </w:r>
      <w:r w:rsidR="008A67E9" w:rsidRPr="007C528B">
        <w:t xml:space="preserve"> waaronder </w:t>
      </w:r>
      <w:r w:rsidR="00026B5D">
        <w:t>het vrij verkeer</w:t>
      </w:r>
      <w:r w:rsidR="008A67E9" w:rsidRPr="007C528B">
        <w:t>.</w:t>
      </w:r>
    </w:p>
  </w:footnote>
  <w:footnote w:id="63">
    <w:p w14:paraId="6AD81C0C" w14:textId="458BC739" w:rsidR="00B75DF0" w:rsidRPr="007C528B" w:rsidRDefault="00B75DF0" w:rsidP="003820BE">
      <w:pPr>
        <w:pStyle w:val="FootnoteText"/>
        <w:jc w:val="both"/>
      </w:pPr>
      <w:r w:rsidRPr="007C528B">
        <w:rPr>
          <w:rStyle w:val="FootnoteReference"/>
        </w:rPr>
        <w:footnoteRef/>
      </w:r>
      <w:r w:rsidRPr="007C528B">
        <w:t xml:space="preserve"> Verordening 2679/98</w:t>
      </w:r>
      <w:r w:rsidR="00A62069" w:rsidRPr="007C528B">
        <w:t>/EG</w:t>
      </w:r>
      <w:r w:rsidRPr="007C528B">
        <w:t xml:space="preserve"> inzake de werking van de interne markt wat het vrije verkeer van goederen betreft</w:t>
      </w:r>
      <w:r w:rsidR="00A62069" w:rsidRPr="007C528B">
        <w:t>.</w:t>
      </w:r>
    </w:p>
  </w:footnote>
  <w:footnote w:id="64">
    <w:p w14:paraId="2282FD31" w14:textId="05B2D628" w:rsidR="00B75DF0" w:rsidRPr="007C528B" w:rsidRDefault="00B75DF0" w:rsidP="003820BE">
      <w:pPr>
        <w:pStyle w:val="FootnoteText"/>
        <w:jc w:val="both"/>
      </w:pPr>
      <w:r w:rsidRPr="007C528B">
        <w:rPr>
          <w:rStyle w:val="FootnoteReference"/>
        </w:rPr>
        <w:footnoteRef/>
      </w:r>
      <w:r w:rsidRPr="007C528B">
        <w:t xml:space="preserve"> HvJ E</w:t>
      </w:r>
      <w:r w:rsidR="00126180">
        <w:t>U</w:t>
      </w:r>
      <w:r w:rsidRPr="007C528B">
        <w:t xml:space="preserve"> 12 juni 2003, C-112/00</w:t>
      </w:r>
      <w:r w:rsidR="00ED2259" w:rsidRPr="007C528B">
        <w:t>,</w:t>
      </w:r>
      <w:r w:rsidRPr="007C528B">
        <w:t xml:space="preserve"> r.o. 89</w:t>
      </w:r>
      <w:r w:rsidR="00D922F0" w:rsidRPr="007C528B">
        <w:t xml:space="preserve"> (</w:t>
      </w:r>
      <w:r w:rsidR="00D922F0" w:rsidRPr="007C528B">
        <w:rPr>
          <w:i/>
          <w:iCs/>
        </w:rPr>
        <w:t>Schmidberger</w:t>
      </w:r>
      <w:r w:rsidR="00D922F0" w:rsidRPr="007C528B">
        <w:t>)</w:t>
      </w:r>
      <w:r w:rsidR="001F25EB" w:rsidRPr="007C528B">
        <w:t>; HvJ EU 14 oktober 2004, C-36/02</w:t>
      </w:r>
      <w:r w:rsidR="001C381C">
        <w:t xml:space="preserve">, </w:t>
      </w:r>
      <w:r w:rsidR="001F25EB" w:rsidRPr="007C528B">
        <w:t>r.o. 35 (</w:t>
      </w:r>
      <w:r w:rsidR="001F25EB" w:rsidRPr="007C528B">
        <w:rPr>
          <w:i/>
          <w:iCs/>
        </w:rPr>
        <w:t>Omega</w:t>
      </w:r>
      <w:r w:rsidR="001F25EB" w:rsidRPr="007C528B">
        <w:t>)</w:t>
      </w:r>
      <w:r w:rsidR="00BD2FD3" w:rsidRPr="007C528B">
        <w:t>;</w:t>
      </w:r>
      <w:r w:rsidR="002F4AE1" w:rsidRPr="007C528B">
        <w:t xml:space="preserve"> </w:t>
      </w:r>
      <w:r w:rsidR="00BD2FD3" w:rsidRPr="007C528B">
        <w:t xml:space="preserve">Velyvyte, </w:t>
      </w:r>
      <w:r w:rsidR="00BD2FD3" w:rsidRPr="007C528B">
        <w:rPr>
          <w:i/>
          <w:iCs/>
        </w:rPr>
        <w:t>HRLR</w:t>
      </w:r>
      <w:r w:rsidR="00BD2FD3" w:rsidRPr="007C528B">
        <w:t xml:space="preserve"> 2015, p. 87</w:t>
      </w:r>
      <w:r w:rsidR="006E10F0" w:rsidRPr="007C528B">
        <w:t>-89</w:t>
      </w:r>
      <w:r w:rsidR="00AC1D22">
        <w:t xml:space="preserve">; </w:t>
      </w:r>
      <w:r w:rsidR="00AC1D22" w:rsidRPr="007C528B">
        <w:t xml:space="preserve">Van Peijpe, </w:t>
      </w:r>
      <w:r w:rsidR="00AC1D22" w:rsidRPr="007C528B">
        <w:rPr>
          <w:i/>
          <w:iCs/>
        </w:rPr>
        <w:t xml:space="preserve">TRA </w:t>
      </w:r>
      <w:r w:rsidR="00AC1D22" w:rsidRPr="007C528B">
        <w:t>2012/76</w:t>
      </w:r>
      <w:r w:rsidR="00AC1D22">
        <w:t>, par. 3.2.</w:t>
      </w:r>
    </w:p>
  </w:footnote>
  <w:footnote w:id="65">
    <w:p w14:paraId="119A193B" w14:textId="34630F3A" w:rsidR="00705A06" w:rsidRPr="007C528B" w:rsidRDefault="00705A06" w:rsidP="003820BE">
      <w:pPr>
        <w:pStyle w:val="FootnoteText"/>
        <w:jc w:val="both"/>
      </w:pPr>
      <w:r w:rsidRPr="007C528B">
        <w:rPr>
          <w:rStyle w:val="FootnoteReference"/>
        </w:rPr>
        <w:footnoteRef/>
      </w:r>
      <w:r w:rsidRPr="007C528B">
        <w:t xml:space="preserve"> </w:t>
      </w:r>
      <w:r w:rsidR="00026B5D">
        <w:t xml:space="preserve">Anders dan </w:t>
      </w:r>
      <w:r w:rsidRPr="007C528B">
        <w:t xml:space="preserve">De Vries, </w:t>
      </w:r>
      <w:r w:rsidRPr="007C528B">
        <w:rPr>
          <w:i/>
          <w:iCs/>
        </w:rPr>
        <w:t>NtE</w:t>
      </w:r>
      <w:r>
        <w:rPr>
          <w:i/>
          <w:iCs/>
        </w:rPr>
        <w:t>r</w:t>
      </w:r>
      <w:r w:rsidRPr="007C528B">
        <w:t xml:space="preserve"> 2013, p. 127-128</w:t>
      </w:r>
      <w:r w:rsidR="00026B5D">
        <w:t>, meen ik evenwel met</w:t>
      </w:r>
      <w:r w:rsidRPr="007C528B">
        <w:t xml:space="preserve"> Ellingsen, </w:t>
      </w:r>
      <w:r w:rsidRPr="007C528B">
        <w:rPr>
          <w:i/>
          <w:iCs/>
        </w:rPr>
        <w:t>CMLR</w:t>
      </w:r>
      <w:r w:rsidRPr="007C528B">
        <w:t xml:space="preserve"> 2022, p. 597-598</w:t>
      </w:r>
      <w:r w:rsidR="00026B5D">
        <w:t xml:space="preserve">, </w:t>
      </w:r>
      <w:r w:rsidRPr="007C528B">
        <w:t>dat geen sprake was van een ‘dubbele proportionaliteitstoets’</w:t>
      </w:r>
      <w:r>
        <w:t>.</w:t>
      </w:r>
    </w:p>
  </w:footnote>
  <w:footnote w:id="66">
    <w:p w14:paraId="5BD1A602" w14:textId="6B9B2306" w:rsidR="00BF4850" w:rsidRPr="00705A06" w:rsidRDefault="00BF4850" w:rsidP="003820BE">
      <w:pPr>
        <w:pStyle w:val="FootnoteText"/>
        <w:jc w:val="both"/>
        <w:rPr>
          <w:lang w:val="fr-BE"/>
        </w:rPr>
      </w:pPr>
      <w:r w:rsidRPr="007C528B">
        <w:rPr>
          <w:rStyle w:val="FootnoteReference"/>
        </w:rPr>
        <w:footnoteRef/>
      </w:r>
      <w:r w:rsidRPr="00705A06">
        <w:rPr>
          <w:lang w:val="fr-BE"/>
        </w:rPr>
        <w:t xml:space="preserve"> De Vries, </w:t>
      </w:r>
      <w:r w:rsidRPr="00705A06">
        <w:rPr>
          <w:i/>
          <w:iCs/>
          <w:lang w:val="fr-BE"/>
        </w:rPr>
        <w:t xml:space="preserve">ULR </w:t>
      </w:r>
      <w:r w:rsidRPr="00705A06">
        <w:rPr>
          <w:lang w:val="fr-BE"/>
        </w:rPr>
        <w:t>2013, p.</w:t>
      </w:r>
      <w:r w:rsidR="000904BE" w:rsidRPr="00705A06">
        <w:rPr>
          <w:lang w:val="fr-BE"/>
        </w:rPr>
        <w:t xml:space="preserve"> 178-179 &amp; 188-191.</w:t>
      </w:r>
    </w:p>
  </w:footnote>
  <w:footnote w:id="67">
    <w:p w14:paraId="3556FB36" w14:textId="1DEB8F28" w:rsidR="00A742F4" w:rsidRPr="004D7551" w:rsidRDefault="00A742F4" w:rsidP="003820BE">
      <w:pPr>
        <w:pStyle w:val="FootnoteText"/>
        <w:jc w:val="both"/>
        <w:rPr>
          <w:lang w:val="fr-BE"/>
        </w:rPr>
      </w:pPr>
      <w:r w:rsidRPr="007C528B">
        <w:rPr>
          <w:rStyle w:val="FootnoteReference"/>
        </w:rPr>
        <w:footnoteRef/>
      </w:r>
      <w:r w:rsidRPr="004D7551">
        <w:rPr>
          <w:lang w:val="fr-BE"/>
        </w:rPr>
        <w:t xml:space="preserve"> Anders: </w:t>
      </w:r>
      <w:r w:rsidR="00460E85">
        <w:rPr>
          <w:lang w:val="fr-BE"/>
        </w:rPr>
        <w:t>c</w:t>
      </w:r>
      <w:r w:rsidRPr="004D7551">
        <w:rPr>
          <w:lang w:val="fr-BE"/>
        </w:rPr>
        <w:t>oncl. A-G Jacobs 11 juli 2002, C-112/00, par. 74-76 (</w:t>
      </w:r>
      <w:r w:rsidRPr="004D7551">
        <w:rPr>
          <w:i/>
          <w:iCs/>
          <w:lang w:val="fr-BE"/>
        </w:rPr>
        <w:t>Schmidberger</w:t>
      </w:r>
      <w:r w:rsidRPr="004D7551">
        <w:rPr>
          <w:lang w:val="fr-BE"/>
        </w:rPr>
        <w:t>).</w:t>
      </w:r>
    </w:p>
  </w:footnote>
  <w:footnote w:id="68">
    <w:p w14:paraId="0C3056F8" w14:textId="62C88D1A" w:rsidR="00DF22EB" w:rsidRPr="007C528B" w:rsidRDefault="00DF22EB" w:rsidP="003820BE">
      <w:pPr>
        <w:pStyle w:val="FootnoteText"/>
        <w:jc w:val="both"/>
      </w:pPr>
      <w:r w:rsidRPr="007C528B">
        <w:rPr>
          <w:rStyle w:val="FootnoteReference"/>
        </w:rPr>
        <w:footnoteRef/>
      </w:r>
      <w:r w:rsidRPr="007C528B">
        <w:t xml:space="preserve"> Kritisch hierop</w:t>
      </w:r>
      <w:r w:rsidR="00AB0D51">
        <w:t xml:space="preserve">: </w:t>
      </w:r>
      <w:r w:rsidRPr="007C528B">
        <w:t xml:space="preserve">De Vries, </w:t>
      </w:r>
      <w:r w:rsidRPr="007C528B">
        <w:rPr>
          <w:i/>
          <w:iCs/>
        </w:rPr>
        <w:t xml:space="preserve">ULR </w:t>
      </w:r>
      <w:r w:rsidRPr="007C528B">
        <w:t xml:space="preserve">2013, p. 189-190; Velyvyte, </w:t>
      </w:r>
      <w:r w:rsidRPr="007C528B">
        <w:rPr>
          <w:i/>
          <w:iCs/>
        </w:rPr>
        <w:t>HRLR</w:t>
      </w:r>
      <w:r w:rsidRPr="007C528B">
        <w:t xml:space="preserve"> 2015, p. 90.</w:t>
      </w:r>
    </w:p>
  </w:footnote>
  <w:footnote w:id="69">
    <w:p w14:paraId="7280BEEF" w14:textId="4FC42425" w:rsidR="008E1B31" w:rsidRPr="007C528B" w:rsidRDefault="008E1B31" w:rsidP="003820BE">
      <w:pPr>
        <w:pStyle w:val="FootnoteText"/>
        <w:jc w:val="both"/>
      </w:pPr>
      <w:r w:rsidRPr="007C528B">
        <w:rPr>
          <w:rStyle w:val="FootnoteReference"/>
        </w:rPr>
        <w:footnoteRef/>
      </w:r>
      <w:r w:rsidRPr="007C528B">
        <w:t xml:space="preserve"> </w:t>
      </w:r>
      <w:r w:rsidR="009E44BA" w:rsidRPr="007C528B">
        <w:t xml:space="preserve">Van Hoek &amp; Houwerzijl, </w:t>
      </w:r>
      <w:r w:rsidR="009E44BA" w:rsidRPr="007C528B">
        <w:rPr>
          <w:i/>
          <w:iCs/>
        </w:rPr>
        <w:t>NtE</w:t>
      </w:r>
      <w:r w:rsidR="00721D64">
        <w:rPr>
          <w:i/>
          <w:iCs/>
        </w:rPr>
        <w:t>r</w:t>
      </w:r>
      <w:r w:rsidR="009E44BA" w:rsidRPr="007C528B">
        <w:t xml:space="preserve"> 2008</w:t>
      </w:r>
      <w:r w:rsidR="00F83154">
        <w:t xml:space="preserve">, afl. </w:t>
      </w:r>
      <w:r w:rsidR="009E44BA" w:rsidRPr="007C528B">
        <w:t>7</w:t>
      </w:r>
      <w:r w:rsidR="00F83154">
        <w:t>/</w:t>
      </w:r>
      <w:r w:rsidR="009E44BA" w:rsidRPr="007C528B">
        <w:t xml:space="preserve">8, p. 201-202; </w:t>
      </w:r>
      <w:r w:rsidR="00460E85">
        <w:t>c</w:t>
      </w:r>
      <w:r w:rsidR="00972182">
        <w:t>oncl.</w:t>
      </w:r>
      <w:r w:rsidRPr="007C528B">
        <w:t xml:space="preserve"> A-G Trstenjak 14 april 2010, C-271/08, par. 183-185 (</w:t>
      </w:r>
      <w:r w:rsidRPr="007C528B">
        <w:rPr>
          <w:i/>
          <w:iCs/>
        </w:rPr>
        <w:t>Commissie/Duitsland</w:t>
      </w:r>
      <w:r w:rsidRPr="007C528B">
        <w:t>); Boonstra, Helmer &amp; Houwerzijl 2014, p. 323-324.</w:t>
      </w:r>
    </w:p>
  </w:footnote>
  <w:footnote w:id="70">
    <w:p w14:paraId="4388EEAB" w14:textId="65B7302C" w:rsidR="00897EDF" w:rsidRPr="00F73CAF" w:rsidRDefault="00897EDF" w:rsidP="003820BE">
      <w:pPr>
        <w:pStyle w:val="FootnoteText"/>
        <w:jc w:val="both"/>
      </w:pPr>
      <w:r w:rsidRPr="007C528B">
        <w:rPr>
          <w:rStyle w:val="FootnoteReference"/>
        </w:rPr>
        <w:footnoteRef/>
      </w:r>
      <w:r w:rsidRPr="00F73CAF">
        <w:t xml:space="preserve"> HvJ EU 8 december 2020, C-620/18</w:t>
      </w:r>
      <w:r w:rsidR="00F22637" w:rsidRPr="00F73CAF">
        <w:t>,</w:t>
      </w:r>
      <w:r w:rsidR="002F117B" w:rsidRPr="00F73CAF">
        <w:t xml:space="preserve"> r.o. 164-169</w:t>
      </w:r>
      <w:r w:rsidR="00F22637" w:rsidRPr="00F73CAF">
        <w:t xml:space="preserve"> </w:t>
      </w:r>
      <w:r w:rsidRPr="00F73CAF">
        <w:t>(</w:t>
      </w:r>
      <w:r w:rsidRPr="00F73CAF">
        <w:rPr>
          <w:i/>
          <w:iCs/>
        </w:rPr>
        <w:t>H</w:t>
      </w:r>
      <w:r w:rsidR="00F22637" w:rsidRPr="00F73CAF">
        <w:rPr>
          <w:i/>
          <w:iCs/>
        </w:rPr>
        <w:t>ongarije</w:t>
      </w:r>
      <w:r w:rsidR="00157C03" w:rsidRPr="00F73CAF">
        <w:rPr>
          <w:i/>
          <w:iCs/>
        </w:rPr>
        <w:t>/</w:t>
      </w:r>
      <w:r w:rsidR="00F22637" w:rsidRPr="00F73CAF">
        <w:rPr>
          <w:i/>
          <w:iCs/>
        </w:rPr>
        <w:t>Europees Parlement</w:t>
      </w:r>
      <w:r w:rsidRPr="00F73CAF">
        <w:t>).</w:t>
      </w:r>
    </w:p>
  </w:footnote>
  <w:footnote w:id="71">
    <w:p w14:paraId="132A8D47" w14:textId="60958A46" w:rsidR="00F908B1" w:rsidRPr="003359B8" w:rsidRDefault="00F908B1" w:rsidP="003820BE">
      <w:pPr>
        <w:pStyle w:val="FootnoteText"/>
        <w:jc w:val="both"/>
      </w:pPr>
      <w:r w:rsidRPr="003359B8">
        <w:rPr>
          <w:rStyle w:val="FootnoteReference"/>
        </w:rPr>
        <w:footnoteRef/>
      </w:r>
      <w:r w:rsidRPr="003359B8">
        <w:t xml:space="preserve"> Laagland, </w:t>
      </w:r>
      <w:r w:rsidRPr="003359B8">
        <w:rPr>
          <w:i/>
          <w:iCs/>
        </w:rPr>
        <w:t xml:space="preserve">ArA </w:t>
      </w:r>
      <w:r w:rsidRPr="003359B8">
        <w:t>2021, p. 60</w:t>
      </w:r>
      <w:r w:rsidR="008C28AA">
        <w:t xml:space="preserve">, </w:t>
      </w:r>
      <w:r w:rsidRPr="003359B8">
        <w:t xml:space="preserve">wijst </w:t>
      </w:r>
      <w:r w:rsidR="008C28AA">
        <w:t xml:space="preserve">in dit verband </w:t>
      </w:r>
      <w:r w:rsidRPr="003359B8">
        <w:t>erop dat artikel 1 lid 1bis het gevolg is van een amendement van het Europees Parlement</w:t>
      </w:r>
      <w:r w:rsidR="00480A3F" w:rsidRPr="003359B8">
        <w:t xml:space="preserve"> </w:t>
      </w:r>
      <w:r w:rsidRPr="003359B8">
        <w:t>dat verder nergens is toegelicht.</w:t>
      </w:r>
    </w:p>
  </w:footnote>
  <w:footnote w:id="72">
    <w:p w14:paraId="1BA54A3F" w14:textId="7F673C3E" w:rsidR="0025229B" w:rsidRPr="00A872BE" w:rsidRDefault="0025229B" w:rsidP="003820BE">
      <w:pPr>
        <w:pStyle w:val="FootnoteText"/>
        <w:jc w:val="both"/>
        <w:rPr>
          <w:lang w:val="es-ES"/>
        </w:rPr>
      </w:pPr>
      <w:r w:rsidRPr="003359B8">
        <w:rPr>
          <w:rStyle w:val="FootnoteReference"/>
        </w:rPr>
        <w:footnoteRef/>
      </w:r>
      <w:r w:rsidRPr="00A872BE">
        <w:rPr>
          <w:lang w:val="es-ES"/>
        </w:rPr>
        <w:t xml:space="preserve"> Dorssemont, </w:t>
      </w:r>
      <w:r w:rsidRPr="00A872BE">
        <w:rPr>
          <w:i/>
          <w:iCs/>
          <w:lang w:val="es-ES"/>
        </w:rPr>
        <w:t xml:space="preserve">ArA </w:t>
      </w:r>
      <w:r w:rsidRPr="00A872BE">
        <w:rPr>
          <w:lang w:val="es-ES"/>
        </w:rPr>
        <w:t>2021, p. 46</w:t>
      </w:r>
      <w:r w:rsidR="006F41D1" w:rsidRPr="00A872BE">
        <w:rPr>
          <w:lang w:val="es-ES"/>
        </w:rPr>
        <w:t xml:space="preserve">; Graver, </w:t>
      </w:r>
      <w:r w:rsidR="006F41D1" w:rsidRPr="00A872BE">
        <w:rPr>
          <w:i/>
          <w:iCs/>
          <w:lang w:val="es-ES"/>
        </w:rPr>
        <w:t xml:space="preserve">ERA </w:t>
      </w:r>
      <w:r w:rsidR="0055455A" w:rsidRPr="00A872BE">
        <w:rPr>
          <w:i/>
          <w:iCs/>
          <w:lang w:val="es-ES"/>
        </w:rPr>
        <w:t>F</w:t>
      </w:r>
      <w:r w:rsidR="006F41D1" w:rsidRPr="00A872BE">
        <w:rPr>
          <w:i/>
          <w:iCs/>
          <w:lang w:val="es-ES"/>
        </w:rPr>
        <w:t>orum</w:t>
      </w:r>
      <w:r w:rsidR="006F41D1" w:rsidRPr="00A872BE">
        <w:rPr>
          <w:lang w:val="es-ES"/>
        </w:rPr>
        <w:t xml:space="preserve"> 2022, p. 23.</w:t>
      </w:r>
    </w:p>
  </w:footnote>
  <w:footnote w:id="73">
    <w:p w14:paraId="2E43B047" w14:textId="3EB993B2" w:rsidR="00BC3C1A" w:rsidRPr="00886A80" w:rsidRDefault="00BC3C1A" w:rsidP="003820BE">
      <w:pPr>
        <w:pStyle w:val="FootnoteText"/>
        <w:jc w:val="both"/>
      </w:pPr>
      <w:r w:rsidRPr="007E29EE">
        <w:rPr>
          <w:rStyle w:val="FootnoteReference"/>
        </w:rPr>
        <w:footnoteRef/>
      </w:r>
      <w:r w:rsidRPr="00886A80">
        <w:t xml:space="preserve"> </w:t>
      </w:r>
      <w:r w:rsidR="00886A80" w:rsidRPr="00886A80">
        <w:t xml:space="preserve">Pecinovsky, </w:t>
      </w:r>
      <w:r w:rsidR="00886A80" w:rsidRPr="00886A80">
        <w:rPr>
          <w:i/>
          <w:iCs/>
        </w:rPr>
        <w:t>ELLJ</w:t>
      </w:r>
      <w:r w:rsidR="00886A80" w:rsidRPr="00886A80">
        <w:t xml:space="preserve"> 2016, p. 294 &amp; par. 5, met verwijzing naar</w:t>
      </w:r>
      <w:r w:rsidR="00886A80">
        <w:t xml:space="preserve"> </w:t>
      </w:r>
      <w:r w:rsidRPr="00886A80">
        <w:t>HvJ EU 15 februari 2015, C-396/13</w:t>
      </w:r>
      <w:r w:rsidR="001C381C" w:rsidRPr="00886A80">
        <w:t xml:space="preserve"> </w:t>
      </w:r>
      <w:r w:rsidRPr="00886A80">
        <w:t>(</w:t>
      </w:r>
      <w:r w:rsidRPr="00886A80">
        <w:rPr>
          <w:i/>
          <w:iCs/>
        </w:rPr>
        <w:t>ESA</w:t>
      </w:r>
      <w:r w:rsidRPr="00886A80">
        <w:t>)</w:t>
      </w:r>
      <w:r w:rsidR="00886A80">
        <w:t xml:space="preserve"> en</w:t>
      </w:r>
      <w:r w:rsidR="007906E5" w:rsidRPr="00886A80">
        <w:t xml:space="preserve"> </w:t>
      </w:r>
      <w:r w:rsidRPr="00886A80">
        <w:t>HvJ EU 17 november 2015, C-115/14</w:t>
      </w:r>
      <w:r w:rsidR="001C381C" w:rsidRPr="00886A80">
        <w:t xml:space="preserve"> </w:t>
      </w:r>
      <w:r w:rsidRPr="00886A80">
        <w:t>(</w:t>
      </w:r>
      <w:r w:rsidRPr="00886A80">
        <w:rPr>
          <w:i/>
          <w:iCs/>
        </w:rPr>
        <w:t>RegioPost</w:t>
      </w:r>
      <w:r w:rsidRPr="00886A80">
        <w:t>)</w:t>
      </w:r>
      <w:r w:rsidR="007906E5" w:rsidRPr="00886A80">
        <w:t>.</w:t>
      </w:r>
    </w:p>
  </w:footnote>
  <w:footnote w:id="74">
    <w:p w14:paraId="529F79FA" w14:textId="37D9EFAA" w:rsidR="007A7CD6" w:rsidRPr="00886A80" w:rsidRDefault="007A7CD6" w:rsidP="003820BE">
      <w:pPr>
        <w:pStyle w:val="FootnoteText"/>
        <w:jc w:val="both"/>
      </w:pPr>
      <w:r w:rsidRPr="007E29EE">
        <w:rPr>
          <w:rStyle w:val="FootnoteReference"/>
        </w:rPr>
        <w:footnoteRef/>
      </w:r>
      <w:r w:rsidRPr="00886A80">
        <w:t xml:space="preserve"> </w:t>
      </w:r>
      <w:r w:rsidR="00886A80" w:rsidRPr="00886A80">
        <w:t xml:space="preserve">Pecinovsky, </w:t>
      </w:r>
      <w:r w:rsidR="00886A80" w:rsidRPr="00886A80">
        <w:rPr>
          <w:i/>
          <w:iCs/>
        </w:rPr>
        <w:t>ELLJ</w:t>
      </w:r>
      <w:r w:rsidR="00886A80" w:rsidRPr="00886A80">
        <w:t xml:space="preserve"> 2016, par. 3.2, met verwijzing naar</w:t>
      </w:r>
      <w:r w:rsidR="00886A80">
        <w:t xml:space="preserve"> </w:t>
      </w:r>
      <w:r w:rsidRPr="00886A80">
        <w:t>HvJ EU 18 september 2014, C-549/13</w:t>
      </w:r>
      <w:r w:rsidR="001C381C" w:rsidRPr="00886A80">
        <w:t xml:space="preserve"> </w:t>
      </w:r>
      <w:r w:rsidRPr="00886A80">
        <w:t>(</w:t>
      </w:r>
      <w:r w:rsidRPr="00886A80">
        <w:rPr>
          <w:i/>
          <w:iCs/>
        </w:rPr>
        <w:t>Bundesdruckerei</w:t>
      </w:r>
      <w:r w:rsidRPr="00886A80">
        <w:t>)</w:t>
      </w:r>
      <w:r w:rsidR="00886A80" w:rsidRPr="00886A80">
        <w:t>.</w:t>
      </w:r>
    </w:p>
  </w:footnote>
  <w:footnote w:id="75">
    <w:p w14:paraId="1278E162" w14:textId="43A9BE55" w:rsidR="003A6E15" w:rsidRPr="003359B8" w:rsidRDefault="003A6E15" w:rsidP="003820BE">
      <w:pPr>
        <w:pStyle w:val="FootnoteText"/>
        <w:jc w:val="both"/>
      </w:pPr>
      <w:r w:rsidRPr="003359B8">
        <w:rPr>
          <w:rStyle w:val="FootnoteReference"/>
        </w:rPr>
        <w:footnoteRef/>
      </w:r>
      <w:r w:rsidRPr="003359B8">
        <w:t xml:space="preserve"> </w:t>
      </w:r>
      <w:r w:rsidR="00123A83" w:rsidRPr="003359B8">
        <w:t xml:space="preserve">Mijn </w:t>
      </w:r>
      <w:r w:rsidR="004A1B08" w:rsidRPr="003359B8">
        <w:t>standpunt</w:t>
      </w:r>
      <w:r w:rsidR="00123A83" w:rsidRPr="003359B8">
        <w:t xml:space="preserve"> </w:t>
      </w:r>
      <w:r w:rsidR="004A1B08" w:rsidRPr="003359B8">
        <w:t xml:space="preserve">– dat overigens wordt gedeeld door Garben, </w:t>
      </w:r>
      <w:r w:rsidR="004A1B08" w:rsidRPr="003359B8">
        <w:rPr>
          <w:i/>
          <w:iCs/>
        </w:rPr>
        <w:t>E</w:t>
      </w:r>
      <w:r w:rsidR="004F4056" w:rsidRPr="003359B8">
        <w:rPr>
          <w:i/>
          <w:iCs/>
        </w:rPr>
        <w:t>L</w:t>
      </w:r>
      <w:r w:rsidR="004A1B08" w:rsidRPr="003359B8">
        <w:rPr>
          <w:i/>
          <w:iCs/>
        </w:rPr>
        <w:t xml:space="preserve">LJ </w:t>
      </w:r>
      <w:r w:rsidR="004A1B08" w:rsidRPr="003359B8">
        <w:t>2020</w:t>
      </w:r>
      <w:r w:rsidR="007B3344" w:rsidRPr="003359B8">
        <w:t>, p. 375-376</w:t>
      </w:r>
      <w:r w:rsidR="004A1B08" w:rsidRPr="003359B8">
        <w:t xml:space="preserve"> – </w:t>
      </w:r>
      <w:r w:rsidR="00123A83" w:rsidRPr="003359B8">
        <w:t xml:space="preserve">vindt steun in het feit </w:t>
      </w:r>
      <w:r w:rsidRPr="003359B8">
        <w:t xml:space="preserve">dat het Hof in </w:t>
      </w:r>
      <w:r w:rsidRPr="003359B8">
        <w:rPr>
          <w:i/>
          <w:iCs/>
        </w:rPr>
        <w:t xml:space="preserve">ESA </w:t>
      </w:r>
      <w:r w:rsidRPr="003359B8">
        <w:t xml:space="preserve">expliciet verwijst naar </w:t>
      </w:r>
      <w:r w:rsidRPr="003359B8">
        <w:rPr>
          <w:i/>
          <w:iCs/>
        </w:rPr>
        <w:t>Laval</w:t>
      </w:r>
      <w:r w:rsidR="00D06B35" w:rsidRPr="003359B8">
        <w:t xml:space="preserve"> </w:t>
      </w:r>
      <w:r w:rsidRPr="003359B8">
        <w:t xml:space="preserve">en in </w:t>
      </w:r>
      <w:r w:rsidRPr="003359B8">
        <w:rPr>
          <w:i/>
          <w:iCs/>
        </w:rPr>
        <w:t>Regio</w:t>
      </w:r>
      <w:r w:rsidR="00123A83" w:rsidRPr="003359B8">
        <w:rPr>
          <w:i/>
          <w:iCs/>
        </w:rPr>
        <w:t>P</w:t>
      </w:r>
      <w:r w:rsidRPr="003359B8">
        <w:rPr>
          <w:i/>
          <w:iCs/>
        </w:rPr>
        <w:t xml:space="preserve">ost </w:t>
      </w:r>
      <w:r w:rsidR="0039572A" w:rsidRPr="003359B8">
        <w:t xml:space="preserve">uitdrukkelijk wijst op relevante verschillen ten opzichte van </w:t>
      </w:r>
      <w:r w:rsidR="007E29EE">
        <w:t xml:space="preserve">het </w:t>
      </w:r>
      <w:r w:rsidRPr="003359B8">
        <w:rPr>
          <w:i/>
          <w:iCs/>
        </w:rPr>
        <w:t>Rüffert</w:t>
      </w:r>
      <w:r w:rsidR="007E29EE">
        <w:t>-arrest</w:t>
      </w:r>
      <w:r w:rsidRPr="003359B8">
        <w:t xml:space="preserve"> </w:t>
      </w:r>
      <w:r w:rsidR="0039572A" w:rsidRPr="003359B8">
        <w:t>om de</w:t>
      </w:r>
      <w:r w:rsidRPr="003359B8">
        <w:t xml:space="preserve"> verschillende uitkomst</w:t>
      </w:r>
      <w:r w:rsidR="00ED7A26" w:rsidRPr="003359B8">
        <w:t>en</w:t>
      </w:r>
      <w:r w:rsidR="0039572A" w:rsidRPr="003359B8">
        <w:t xml:space="preserve"> te</w:t>
      </w:r>
      <w:r w:rsidRPr="003359B8">
        <w:t xml:space="preserve"> rechtvaardigen.</w:t>
      </w:r>
    </w:p>
  </w:footnote>
  <w:footnote w:id="76">
    <w:p w14:paraId="2C53AE8A" w14:textId="28F7CB24" w:rsidR="0089472E" w:rsidRPr="00B252AD" w:rsidRDefault="0089472E" w:rsidP="003820BE">
      <w:pPr>
        <w:pStyle w:val="FootnoteText"/>
        <w:jc w:val="both"/>
        <w:rPr>
          <w:lang w:val="de-DE"/>
        </w:rPr>
      </w:pPr>
      <w:r w:rsidRPr="003359B8">
        <w:rPr>
          <w:rStyle w:val="FootnoteReference"/>
        </w:rPr>
        <w:footnoteRef/>
      </w:r>
      <w:r w:rsidRPr="00B252AD">
        <w:rPr>
          <w:lang w:val="de-DE"/>
        </w:rPr>
        <w:t xml:space="preserve"> Laagland, </w:t>
      </w:r>
      <w:r w:rsidRPr="00B252AD">
        <w:rPr>
          <w:i/>
          <w:iCs/>
          <w:lang w:val="de-DE"/>
        </w:rPr>
        <w:t>AR Updates</w:t>
      </w:r>
      <w:r w:rsidRPr="00B252AD">
        <w:rPr>
          <w:lang w:val="de-DE"/>
        </w:rPr>
        <w:t xml:space="preserve"> 2017</w:t>
      </w:r>
      <w:r w:rsidR="00343000" w:rsidRPr="00B252AD">
        <w:rPr>
          <w:lang w:val="de-DE"/>
        </w:rPr>
        <w:t>, par. 4.</w:t>
      </w:r>
      <w:r w:rsidR="00C40D8C" w:rsidRPr="00B252AD">
        <w:rPr>
          <w:lang w:val="de-DE"/>
        </w:rPr>
        <w:t xml:space="preserve"> Idem: Ellingsen, </w:t>
      </w:r>
      <w:r w:rsidR="00C40D8C" w:rsidRPr="00B252AD">
        <w:rPr>
          <w:i/>
          <w:iCs/>
          <w:lang w:val="de-DE"/>
        </w:rPr>
        <w:t>CMLR</w:t>
      </w:r>
      <w:r w:rsidR="00C40D8C" w:rsidRPr="00B252AD">
        <w:rPr>
          <w:lang w:val="de-DE"/>
        </w:rPr>
        <w:t xml:space="preserve"> 2022, p. 600.</w:t>
      </w:r>
    </w:p>
  </w:footnote>
  <w:footnote w:id="77">
    <w:p w14:paraId="0052899E" w14:textId="73396412" w:rsidR="00863714" w:rsidRPr="0080665C" w:rsidRDefault="00863714" w:rsidP="003820BE">
      <w:pPr>
        <w:pStyle w:val="FootnoteText"/>
        <w:jc w:val="both"/>
        <w:rPr>
          <w:lang w:val="de-DE"/>
        </w:rPr>
      </w:pPr>
      <w:r w:rsidRPr="007E29EE">
        <w:rPr>
          <w:rStyle w:val="FootnoteReference"/>
        </w:rPr>
        <w:footnoteRef/>
      </w:r>
      <w:r w:rsidRPr="0080665C">
        <w:rPr>
          <w:lang w:val="de-DE"/>
        </w:rPr>
        <w:t xml:space="preserve"> HvJ EU 21 december 2016, C-201/15, r.o. 93 (</w:t>
      </w:r>
      <w:r w:rsidRPr="0080665C">
        <w:rPr>
          <w:i/>
          <w:iCs/>
          <w:lang w:val="de-DE"/>
        </w:rPr>
        <w:t>AGET Iraklis</w:t>
      </w:r>
      <w:r w:rsidRPr="0080665C">
        <w:rPr>
          <w:lang w:val="de-DE"/>
        </w:rPr>
        <w:t>); HvJ EU 18 juli 2013, C-426/11, r.o. 35 (</w:t>
      </w:r>
      <w:r w:rsidRPr="0080665C">
        <w:rPr>
          <w:i/>
          <w:iCs/>
          <w:lang w:val="de-DE"/>
        </w:rPr>
        <w:t>Parkwood</w:t>
      </w:r>
      <w:r w:rsidRPr="0080665C">
        <w:rPr>
          <w:lang w:val="de-DE"/>
        </w:rPr>
        <w:t xml:space="preserve">); HvJ EU 27 april 2017, C-680/15, r.o. </w:t>
      </w:r>
      <w:r w:rsidR="00C91ADF" w:rsidRPr="0080665C">
        <w:rPr>
          <w:lang w:val="de-DE"/>
        </w:rPr>
        <w:t>22-26</w:t>
      </w:r>
      <w:r w:rsidRPr="0080665C">
        <w:rPr>
          <w:lang w:val="de-DE"/>
        </w:rPr>
        <w:t xml:space="preserve"> (</w:t>
      </w:r>
      <w:r w:rsidRPr="0080665C">
        <w:rPr>
          <w:i/>
          <w:iCs/>
          <w:lang w:val="de-DE"/>
        </w:rPr>
        <w:t>Asklepios</w:t>
      </w:r>
      <w:r w:rsidRPr="0080665C">
        <w:rPr>
          <w:lang w:val="de-DE"/>
        </w:rPr>
        <w:t>).</w:t>
      </w:r>
    </w:p>
  </w:footnote>
  <w:footnote w:id="78">
    <w:p w14:paraId="5B456C53" w14:textId="5957D3DB" w:rsidR="00F92DAD" w:rsidRPr="00A872BE" w:rsidRDefault="00F92DAD" w:rsidP="003820BE">
      <w:pPr>
        <w:pStyle w:val="FootnoteText"/>
        <w:jc w:val="both"/>
      </w:pPr>
      <w:r w:rsidRPr="007C528B">
        <w:rPr>
          <w:rStyle w:val="FootnoteReference"/>
        </w:rPr>
        <w:footnoteRef/>
      </w:r>
      <w:r w:rsidRPr="00A872BE">
        <w:t xml:space="preserve"> </w:t>
      </w:r>
      <w:r w:rsidR="00674B23" w:rsidRPr="00A872BE">
        <w:t>Idem</w:t>
      </w:r>
      <w:r w:rsidRPr="00A872BE">
        <w:t xml:space="preserve">: De Vries, </w:t>
      </w:r>
      <w:r w:rsidRPr="00A872BE">
        <w:rPr>
          <w:i/>
          <w:iCs/>
        </w:rPr>
        <w:t xml:space="preserve">ULR </w:t>
      </w:r>
      <w:r w:rsidRPr="00A872BE">
        <w:t>2013, p. 189.</w:t>
      </w:r>
    </w:p>
  </w:footnote>
  <w:footnote w:id="79">
    <w:p w14:paraId="6F14F439" w14:textId="01F477E4" w:rsidR="00BF3F29" w:rsidRPr="00A872BE" w:rsidRDefault="00BF3F29" w:rsidP="003820BE">
      <w:pPr>
        <w:pStyle w:val="FootnoteText"/>
        <w:jc w:val="both"/>
      </w:pPr>
      <w:r w:rsidRPr="007C528B">
        <w:rPr>
          <w:rStyle w:val="FootnoteReference"/>
        </w:rPr>
        <w:footnoteRef/>
      </w:r>
      <w:r w:rsidRPr="00A872BE">
        <w:t xml:space="preserve"> HvJ 14 maart 2017, C-157/15</w:t>
      </w:r>
      <w:r w:rsidR="00315F46" w:rsidRPr="00A872BE">
        <w:t>, r.o. 42</w:t>
      </w:r>
      <w:r w:rsidRPr="00A872BE">
        <w:t xml:space="preserve"> (</w:t>
      </w:r>
      <w:r w:rsidRPr="00A872BE">
        <w:rPr>
          <w:i/>
          <w:iCs/>
        </w:rPr>
        <w:t>Achbita</w:t>
      </w:r>
      <w:r w:rsidRPr="00A872BE">
        <w:t>); HvJ EU 15 juli 2021, C-804/18</w:t>
      </w:r>
      <w:r w:rsidR="00343000" w:rsidRPr="00A872BE">
        <w:t xml:space="preserve"> en C-341-19, </w:t>
      </w:r>
      <w:r w:rsidR="00315F46" w:rsidRPr="00A872BE">
        <w:t>r.o. 69</w:t>
      </w:r>
      <w:r w:rsidRPr="00A872BE">
        <w:t xml:space="preserve"> (</w:t>
      </w:r>
      <w:r w:rsidRPr="00A872BE">
        <w:rPr>
          <w:i/>
          <w:iCs/>
        </w:rPr>
        <w:t>IX</w:t>
      </w:r>
      <w:r w:rsidR="00483AB8" w:rsidRPr="00A872BE">
        <w:rPr>
          <w:i/>
          <w:iCs/>
        </w:rPr>
        <w:t>/</w:t>
      </w:r>
      <w:r w:rsidRPr="00A872BE">
        <w:rPr>
          <w:i/>
          <w:iCs/>
        </w:rPr>
        <w:t>WABE</w:t>
      </w:r>
      <w:r w:rsidR="008132AB" w:rsidRPr="00A872BE">
        <w:t>)</w:t>
      </w:r>
      <w:r w:rsidRPr="00A872BE">
        <w:t>.</w:t>
      </w:r>
    </w:p>
  </w:footnote>
  <w:footnote w:id="80">
    <w:p w14:paraId="60C5CA6D" w14:textId="635B9EDA" w:rsidR="00BF3F29" w:rsidRPr="00F73CAF" w:rsidRDefault="00BF3F29" w:rsidP="003820BE">
      <w:pPr>
        <w:pStyle w:val="FootnoteText"/>
        <w:jc w:val="both"/>
      </w:pPr>
      <w:r w:rsidRPr="007C528B">
        <w:rPr>
          <w:rStyle w:val="FootnoteReference"/>
        </w:rPr>
        <w:footnoteRef/>
      </w:r>
      <w:r w:rsidRPr="00F73CAF">
        <w:t xml:space="preserve"> </w:t>
      </w:r>
      <w:bookmarkStart w:id="36" w:name="_Hlk147913943"/>
      <w:r w:rsidR="00856746" w:rsidRPr="00F73CAF">
        <w:t>Lintsen</w:t>
      </w:r>
      <w:r w:rsidR="00420C4C" w:rsidRPr="00F73CAF">
        <w:t xml:space="preserve"> </w:t>
      </w:r>
      <w:r w:rsidR="00856746" w:rsidRPr="00F73CAF">
        <w:t>2022</w:t>
      </w:r>
      <w:r w:rsidR="00420C4C" w:rsidRPr="00F73CAF">
        <w:t xml:space="preserve">, par. </w:t>
      </w:r>
      <w:r w:rsidR="00856746" w:rsidRPr="00F73CAF">
        <w:t>3.3.5.2.</w:t>
      </w:r>
      <w:bookmarkEnd w:id="36"/>
    </w:p>
  </w:footnote>
  <w:footnote w:id="81">
    <w:p w14:paraId="338A3AE6" w14:textId="13AB3CA5" w:rsidR="006D2B84" w:rsidRPr="00F73CAF" w:rsidRDefault="006D2B84" w:rsidP="003820BE">
      <w:pPr>
        <w:pStyle w:val="FootnoteText"/>
        <w:jc w:val="both"/>
      </w:pPr>
      <w:r w:rsidRPr="007C528B">
        <w:rPr>
          <w:rStyle w:val="FootnoteReference"/>
        </w:rPr>
        <w:footnoteRef/>
      </w:r>
      <w:r w:rsidRPr="00F73CAF">
        <w:t xml:space="preserve"> </w:t>
      </w:r>
      <w:r w:rsidR="002941DA" w:rsidRPr="007C528B">
        <w:t>Richtlijn 2000/78/EG tot instelling van een algemeen kader voor gelijke behandeling in arbeid en beroep.</w:t>
      </w:r>
    </w:p>
  </w:footnote>
  <w:footnote w:id="82">
    <w:p w14:paraId="2521C2CD" w14:textId="5BED4599" w:rsidR="00E05B20" w:rsidRPr="00A872BE" w:rsidRDefault="00E05B20" w:rsidP="003820BE">
      <w:pPr>
        <w:pStyle w:val="FootnoteText"/>
        <w:jc w:val="both"/>
      </w:pPr>
      <w:r w:rsidRPr="00712009">
        <w:rPr>
          <w:rStyle w:val="FootnoteReference"/>
        </w:rPr>
        <w:footnoteRef/>
      </w:r>
      <w:r w:rsidRPr="00A872BE">
        <w:t xml:space="preserve"> </w:t>
      </w:r>
      <w:r w:rsidR="00135A50" w:rsidRPr="00A872BE">
        <w:t xml:space="preserve">Gerecht </w:t>
      </w:r>
      <w:r w:rsidRPr="00A872BE">
        <w:t>EU 29 januari 2020,</w:t>
      </w:r>
      <w:r w:rsidR="00135A50" w:rsidRPr="00A872BE">
        <w:t xml:space="preserve"> </w:t>
      </w:r>
      <w:r w:rsidRPr="00A872BE">
        <w:t>T-402/18</w:t>
      </w:r>
      <w:r w:rsidR="008132AB" w:rsidRPr="00A872BE">
        <w:t xml:space="preserve"> </w:t>
      </w:r>
      <w:r w:rsidRPr="00A872BE">
        <w:t>(</w:t>
      </w:r>
      <w:r w:rsidRPr="00A872BE">
        <w:rPr>
          <w:i/>
          <w:iCs/>
        </w:rPr>
        <w:t>Aquino/Europees Parlement</w:t>
      </w:r>
      <w:r w:rsidRPr="00A872BE">
        <w:t>).</w:t>
      </w:r>
    </w:p>
  </w:footnote>
  <w:footnote w:id="83">
    <w:p w14:paraId="59E5D6E5" w14:textId="59D7197C" w:rsidR="00214A2A" w:rsidRPr="00B577A8" w:rsidRDefault="00214A2A" w:rsidP="003820BE">
      <w:pPr>
        <w:pStyle w:val="FootnoteText"/>
        <w:jc w:val="both"/>
      </w:pPr>
      <w:r w:rsidRPr="00B577A8">
        <w:rPr>
          <w:rStyle w:val="FootnoteReference"/>
        </w:rPr>
        <w:footnoteRef/>
      </w:r>
      <w:r w:rsidRPr="00B577A8">
        <w:t xml:space="preserve"> Onduidelijk blijft bijvoorbeeld in hoeverre het Gerecht </w:t>
      </w:r>
      <w:r w:rsidR="00500DF5" w:rsidRPr="00B577A8">
        <w:t xml:space="preserve">bij het vaststellen van de normatieve inhoud van artikel 28 Hv </w:t>
      </w:r>
      <w:r w:rsidRPr="00B577A8">
        <w:t xml:space="preserve">aansluiting had gezocht bij </w:t>
      </w:r>
      <w:r w:rsidR="00500DF5" w:rsidRPr="00B577A8">
        <w:t xml:space="preserve">de </w:t>
      </w:r>
      <w:r w:rsidRPr="00B577A8">
        <w:t>jurisprudentie van het EHRM, de CoE/CFA en/of het ECSR</w:t>
      </w:r>
      <w:r w:rsidR="00500DF5" w:rsidRPr="00B577A8">
        <w:t>.</w:t>
      </w:r>
    </w:p>
  </w:footnote>
  <w:footnote w:id="84">
    <w:p w14:paraId="0FEC2790" w14:textId="328D8512" w:rsidR="00DA59F7" w:rsidRPr="007C528B" w:rsidRDefault="00DA59F7" w:rsidP="003820BE">
      <w:pPr>
        <w:pStyle w:val="FootnoteText"/>
        <w:jc w:val="both"/>
      </w:pPr>
      <w:r w:rsidRPr="007C528B">
        <w:rPr>
          <w:rStyle w:val="FootnoteReference"/>
        </w:rPr>
        <w:footnoteRef/>
      </w:r>
      <w:r w:rsidRPr="007C528B">
        <w:t xml:space="preserve"> Met het toekennen van zo</w:t>
      </w:r>
      <w:r w:rsidR="00C54684" w:rsidRPr="007C528B">
        <w:t>’</w:t>
      </w:r>
      <w:r w:rsidRPr="007C528B">
        <w:t>n recht</w:t>
      </w:r>
      <w:r w:rsidR="00C54684" w:rsidRPr="007C528B">
        <w:t xml:space="preserve"> </w:t>
      </w:r>
      <w:r w:rsidRPr="007C528B">
        <w:t xml:space="preserve">gaat </w:t>
      </w:r>
      <w:r w:rsidR="00DD7C68" w:rsidRPr="007C528B">
        <w:t xml:space="preserve">(vanzelfsprekend) </w:t>
      </w:r>
      <w:r w:rsidRPr="007C528B">
        <w:t xml:space="preserve">het opleggen van </w:t>
      </w:r>
      <w:r w:rsidR="00BE01E9" w:rsidRPr="007C528B">
        <w:t xml:space="preserve">een </w:t>
      </w:r>
      <w:r w:rsidRPr="007C528B">
        <w:t>overeenkomstige verplichting</w:t>
      </w:r>
      <w:r w:rsidR="00BE01E9" w:rsidRPr="007C528B">
        <w:t xml:space="preserve"> </w:t>
      </w:r>
      <w:r w:rsidRPr="007C528B">
        <w:t>gepaard</w:t>
      </w:r>
      <w:r w:rsidR="00B13750" w:rsidRPr="007C528B">
        <w:t>; in casu aan (organen van) het Europees Parlement.</w:t>
      </w:r>
    </w:p>
  </w:footnote>
  <w:footnote w:id="85">
    <w:p w14:paraId="739E1520" w14:textId="50149E05" w:rsidR="00610D57" w:rsidRPr="001562BE" w:rsidRDefault="00610D57" w:rsidP="003820BE">
      <w:pPr>
        <w:pStyle w:val="FootnoteText"/>
        <w:jc w:val="both"/>
      </w:pPr>
      <w:r w:rsidRPr="007C528B">
        <w:rPr>
          <w:rStyle w:val="FootnoteReference"/>
        </w:rPr>
        <w:footnoteRef/>
      </w:r>
      <w:r w:rsidRPr="001562BE">
        <w:t xml:space="preserve"> Olsson, </w:t>
      </w:r>
      <w:r w:rsidRPr="001562BE">
        <w:rPr>
          <w:i/>
          <w:iCs/>
        </w:rPr>
        <w:t xml:space="preserve">IJCLLIR </w:t>
      </w:r>
      <w:r w:rsidRPr="001562BE">
        <w:t xml:space="preserve">2016, p. 261-262; Prechal, </w:t>
      </w:r>
      <w:r w:rsidRPr="001562BE">
        <w:rPr>
          <w:i/>
          <w:iCs/>
        </w:rPr>
        <w:t>RDCE</w:t>
      </w:r>
      <w:r w:rsidRPr="001562BE">
        <w:t xml:space="preserve"> 2020, p. 421; Krause, </w:t>
      </w:r>
      <w:r w:rsidRPr="001562BE">
        <w:rPr>
          <w:i/>
          <w:iCs/>
        </w:rPr>
        <w:t>CMLR</w:t>
      </w:r>
      <w:r w:rsidRPr="001562BE">
        <w:t xml:space="preserve"> 2021, p. 1204-1205</w:t>
      </w:r>
      <w:r w:rsidR="001B5757">
        <w:t>.</w:t>
      </w:r>
    </w:p>
  </w:footnote>
  <w:footnote w:id="86">
    <w:p w14:paraId="2E9CBC31" w14:textId="0E3B4DFB" w:rsidR="00547B32" w:rsidRPr="002463F5" w:rsidRDefault="00547B32" w:rsidP="003820BE">
      <w:pPr>
        <w:pStyle w:val="FootnoteText"/>
        <w:jc w:val="both"/>
      </w:pPr>
      <w:r w:rsidRPr="002463F5">
        <w:rPr>
          <w:rStyle w:val="FootnoteReference"/>
        </w:rPr>
        <w:footnoteRef/>
      </w:r>
      <w:r w:rsidRPr="0080665C">
        <w:t xml:space="preserve"> </w:t>
      </w:r>
      <w:r w:rsidR="00D77F6E" w:rsidRPr="0080665C">
        <w:t xml:space="preserve">Sever, </w:t>
      </w:r>
      <w:r w:rsidR="00D77F6E" w:rsidRPr="0080665C">
        <w:rPr>
          <w:i/>
          <w:iCs/>
        </w:rPr>
        <w:t xml:space="preserve">e-Pública </w:t>
      </w:r>
      <w:r w:rsidR="00D77F6E" w:rsidRPr="0080665C">
        <w:t xml:space="preserve">2014, par. 3; </w:t>
      </w:r>
      <w:r w:rsidRPr="00325D4C">
        <w:t>Gerecht EU 30 juni 2015,</w:t>
      </w:r>
      <w:r w:rsidRPr="0080665C">
        <w:t xml:space="preserve"> F-124/14, r.o. 44 (</w:t>
      </w:r>
      <w:r w:rsidRPr="0080665C">
        <w:rPr>
          <w:i/>
          <w:iCs/>
        </w:rPr>
        <w:t>Petsch/Commissie</w:t>
      </w:r>
      <w:r w:rsidRPr="0080665C">
        <w:t>)</w:t>
      </w:r>
      <w:r w:rsidR="002368F6" w:rsidRPr="0080665C">
        <w:t>; Dorssemont 2017, p. 286</w:t>
      </w:r>
      <w:r w:rsidR="00C32974" w:rsidRPr="0080665C">
        <w:t>; Rossi</w:t>
      </w:r>
      <w:r w:rsidR="00C32974" w:rsidRPr="0080665C">
        <w:rPr>
          <w:i/>
          <w:iCs/>
        </w:rPr>
        <w:t xml:space="preserve"> </w:t>
      </w:r>
      <w:r w:rsidR="00C32974" w:rsidRPr="0080665C">
        <w:t xml:space="preserve">2019, </w:t>
      </w:r>
      <w:r w:rsidR="00EF501F" w:rsidRPr="0080665C">
        <w:t>par. 2</w:t>
      </w:r>
      <w:r w:rsidR="001B5757" w:rsidRPr="0080665C">
        <w:t>; Barnard 2021, p. 805</w:t>
      </w:r>
      <w:r w:rsidR="00A46539" w:rsidRPr="0080665C">
        <w:t xml:space="preserve"> &amp; 824-825</w:t>
      </w:r>
      <w:r w:rsidR="001B5757" w:rsidRPr="0080665C">
        <w:t>.</w:t>
      </w:r>
      <w:r w:rsidR="001562BE" w:rsidRPr="0080665C">
        <w:t xml:space="preserve"> </w:t>
      </w:r>
      <w:r w:rsidR="001562BE" w:rsidRPr="002463F5">
        <w:t xml:space="preserve">Anders: Cecchetti, </w:t>
      </w:r>
      <w:r w:rsidR="001562BE" w:rsidRPr="002463F5">
        <w:rPr>
          <w:i/>
          <w:iCs/>
        </w:rPr>
        <w:t>YEL</w:t>
      </w:r>
      <w:r w:rsidR="001562BE" w:rsidRPr="002463F5">
        <w:t xml:space="preserve"> 2023, p. 19-20.</w:t>
      </w:r>
    </w:p>
  </w:footnote>
  <w:footnote w:id="87">
    <w:p w14:paraId="4510F9E2" w14:textId="008E52D0" w:rsidR="0094227B" w:rsidRPr="007C528B" w:rsidRDefault="0094227B" w:rsidP="003820BE">
      <w:pPr>
        <w:pStyle w:val="FootnoteText"/>
        <w:jc w:val="both"/>
      </w:pPr>
      <w:r w:rsidRPr="007C528B">
        <w:rPr>
          <w:rStyle w:val="FootnoteReference"/>
        </w:rPr>
        <w:footnoteRef/>
      </w:r>
      <w:r w:rsidRPr="00EC32A4">
        <w:t xml:space="preserve"> HvJ EU 23 maart 2021, C-28/20</w:t>
      </w:r>
      <w:r w:rsidR="008132AB" w:rsidRPr="00EC32A4">
        <w:t xml:space="preserve"> </w:t>
      </w:r>
      <w:r w:rsidRPr="00EC32A4">
        <w:t>(</w:t>
      </w:r>
      <w:r w:rsidRPr="00EC32A4">
        <w:rPr>
          <w:i/>
          <w:iCs/>
        </w:rPr>
        <w:t>Airhelp</w:t>
      </w:r>
      <w:r w:rsidRPr="00EC32A4">
        <w:t xml:space="preserve">). </w:t>
      </w:r>
      <w:r w:rsidR="00990F7C">
        <w:t>Zie in soortgelijke zin</w:t>
      </w:r>
      <w:r w:rsidRPr="007C528B">
        <w:t xml:space="preserve"> HvJ EU 6 oktober 2021, C-613/20</w:t>
      </w:r>
      <w:r w:rsidR="008132AB">
        <w:t xml:space="preserve"> </w:t>
      </w:r>
      <w:r w:rsidRPr="007C528B">
        <w:t>(</w:t>
      </w:r>
      <w:r w:rsidRPr="007C528B">
        <w:rPr>
          <w:i/>
          <w:iCs/>
        </w:rPr>
        <w:t>Eurowings</w:t>
      </w:r>
      <w:r w:rsidRPr="007C528B">
        <w:t>).</w:t>
      </w:r>
    </w:p>
  </w:footnote>
  <w:footnote w:id="88">
    <w:p w14:paraId="42082BCC" w14:textId="2D5FE273" w:rsidR="0094227B" w:rsidRPr="007C528B" w:rsidRDefault="0094227B" w:rsidP="003820BE">
      <w:pPr>
        <w:pStyle w:val="FootnoteText"/>
        <w:jc w:val="both"/>
      </w:pPr>
      <w:r w:rsidRPr="007C528B">
        <w:rPr>
          <w:rStyle w:val="FootnoteReference"/>
        </w:rPr>
        <w:footnoteRef/>
      </w:r>
      <w:r w:rsidRPr="007C528B">
        <w:t xml:space="preserve"> </w:t>
      </w:r>
      <w:r w:rsidR="002428BE" w:rsidRPr="007C528B">
        <w:t>Verordening 261/2004</w:t>
      </w:r>
      <w:r w:rsidR="00B202FE" w:rsidRPr="007C528B">
        <w:t>/EG</w:t>
      </w:r>
      <w:r w:rsidR="002428BE" w:rsidRPr="007C528B">
        <w:t xml:space="preserve"> </w:t>
      </w:r>
      <w:r w:rsidRPr="007C528B">
        <w:t xml:space="preserve">tot vaststelling van </w:t>
      </w:r>
      <w:r w:rsidR="008E70FF" w:rsidRPr="007C528B">
        <w:t>gemeenschappelijke</w:t>
      </w:r>
      <w:r w:rsidRPr="007C528B">
        <w:t xml:space="preserve"> regels inzake compensatie en</w:t>
      </w:r>
      <w:r w:rsidR="008E70FF" w:rsidRPr="007C528B">
        <w:t xml:space="preserve"> bijstand</w:t>
      </w:r>
      <w:r w:rsidRPr="007C528B">
        <w:t xml:space="preserve"> aan luchtreizigers </w:t>
      </w:r>
      <w:r w:rsidR="008E70FF" w:rsidRPr="007C528B">
        <w:t>bij</w:t>
      </w:r>
      <w:r w:rsidRPr="007C528B">
        <w:t xml:space="preserve"> instapweigering en annulering of langdurige vertraging van vluchten.</w:t>
      </w:r>
    </w:p>
  </w:footnote>
  <w:footnote w:id="89">
    <w:p w14:paraId="2673FDE0" w14:textId="32ED0735" w:rsidR="00774DDB" w:rsidRPr="007C528B" w:rsidRDefault="00774DDB" w:rsidP="003820BE">
      <w:pPr>
        <w:pStyle w:val="FootnoteText"/>
        <w:jc w:val="both"/>
      </w:pPr>
      <w:r w:rsidRPr="007C528B">
        <w:rPr>
          <w:rStyle w:val="FootnoteReference"/>
        </w:rPr>
        <w:footnoteRef/>
      </w:r>
      <w:r w:rsidRPr="007C528B">
        <w:t xml:space="preserve"> Anders dan Verheyen &amp; Pecinovsky, </w:t>
      </w:r>
      <w:r w:rsidRPr="007C528B">
        <w:rPr>
          <w:i/>
          <w:iCs/>
        </w:rPr>
        <w:t xml:space="preserve">Arbeidsrecht Journaal </w:t>
      </w:r>
      <w:r w:rsidRPr="007C528B">
        <w:t>2021,</w:t>
      </w:r>
      <w:r w:rsidR="00D04817" w:rsidRPr="007C528B">
        <w:t xml:space="preserve"> par. 16</w:t>
      </w:r>
      <w:r w:rsidR="009F4E83" w:rsidRPr="007C528B">
        <w:t>-</w:t>
      </w:r>
      <w:r w:rsidR="00D04817" w:rsidRPr="007C528B">
        <w:t>17,</w:t>
      </w:r>
      <w:r w:rsidRPr="007C528B">
        <w:t xml:space="preserve"> lijken te suggereren, kan mijns inziens uit </w:t>
      </w:r>
      <w:r w:rsidR="0016143F">
        <w:t xml:space="preserve">het </w:t>
      </w:r>
      <w:r w:rsidRPr="007C528B">
        <w:rPr>
          <w:i/>
          <w:iCs/>
        </w:rPr>
        <w:t>Airhel</w:t>
      </w:r>
      <w:r w:rsidR="0016143F">
        <w:rPr>
          <w:i/>
          <w:iCs/>
        </w:rPr>
        <w:t>p</w:t>
      </w:r>
      <w:r w:rsidR="0016143F">
        <w:t>-arrest</w:t>
      </w:r>
      <w:r w:rsidRPr="007C528B">
        <w:rPr>
          <w:i/>
          <w:iCs/>
        </w:rPr>
        <w:t xml:space="preserve"> </w:t>
      </w:r>
      <w:r w:rsidRPr="007C528B">
        <w:t xml:space="preserve">niet worden afgeleid dat artikel 28 Hv </w:t>
      </w:r>
      <w:r w:rsidR="00B92EBA" w:rsidRPr="007C528B">
        <w:t xml:space="preserve">horizontale </w:t>
      </w:r>
      <w:r w:rsidR="0016143F">
        <w:t xml:space="preserve">rechtstreekse </w:t>
      </w:r>
      <w:r w:rsidR="00B92EBA" w:rsidRPr="007C528B">
        <w:t>werking</w:t>
      </w:r>
      <w:r w:rsidR="0016143F">
        <w:t xml:space="preserve"> heeft</w:t>
      </w:r>
      <w:r w:rsidRPr="007C528B">
        <w:t xml:space="preserve">. In deze zaak </w:t>
      </w:r>
      <w:r w:rsidR="0016143F">
        <w:t>werd</w:t>
      </w:r>
      <w:r w:rsidRPr="007C528B">
        <w:t xml:space="preserve"> artikel 28 Hv immers enkel gebruikt als instrument voor </w:t>
      </w:r>
      <w:r w:rsidR="00E01059">
        <w:t xml:space="preserve">de </w:t>
      </w:r>
      <w:r w:rsidRPr="007C528B">
        <w:t>uitleg</w:t>
      </w:r>
      <w:r w:rsidR="0016143F">
        <w:t xml:space="preserve"> van </w:t>
      </w:r>
      <w:r w:rsidR="00BE5097" w:rsidRPr="00323A7B">
        <w:t>Verordening 261/2004</w:t>
      </w:r>
      <w:r w:rsidR="00BE5097">
        <w:t>/EG</w:t>
      </w:r>
      <w:r w:rsidRPr="007C528B">
        <w:t xml:space="preserve">. </w:t>
      </w:r>
      <w:r w:rsidR="00D04817" w:rsidRPr="007C528B">
        <w:t>Op grond van artikel 51 lid 1 Hv moeten nationale rechters in zo’n geval Uniegrondrechten in acht nemen, ook in horizontale verhoudingen.</w:t>
      </w:r>
    </w:p>
  </w:footnote>
  <w:footnote w:id="90">
    <w:p w14:paraId="14BF8790" w14:textId="5FDABF32" w:rsidR="00EC1E5A" w:rsidRPr="007C528B" w:rsidRDefault="00EC1E5A" w:rsidP="00755321">
      <w:pPr>
        <w:pStyle w:val="FootnoteText"/>
        <w:jc w:val="both"/>
      </w:pPr>
      <w:r w:rsidRPr="007C528B">
        <w:rPr>
          <w:rStyle w:val="FootnoteReference"/>
        </w:rPr>
        <w:footnoteRef/>
      </w:r>
      <w:r w:rsidR="001A5BD9">
        <w:t xml:space="preserve"> </w:t>
      </w:r>
      <w:r w:rsidR="00D21D9A" w:rsidRPr="00A872BE">
        <w:t>HvJ EU 13 februari 2014, C-367/12, r.o. 20-22 (</w:t>
      </w:r>
      <w:r w:rsidR="00D21D9A" w:rsidRPr="00A872BE">
        <w:rPr>
          <w:i/>
          <w:iCs/>
        </w:rPr>
        <w:t>Sokoll-Seebacher</w:t>
      </w:r>
      <w:r w:rsidR="00D21D9A" w:rsidRPr="00A872BE">
        <w:t xml:space="preserve">); Laagland, </w:t>
      </w:r>
      <w:r w:rsidR="00D21D9A" w:rsidRPr="00A872BE">
        <w:rPr>
          <w:i/>
          <w:iCs/>
        </w:rPr>
        <w:t xml:space="preserve">AR Updates </w:t>
      </w:r>
      <w:r w:rsidR="00D21D9A" w:rsidRPr="00A872BE">
        <w:t>2017, par. 4.</w:t>
      </w:r>
      <w:r w:rsidR="00755321">
        <w:t xml:space="preserve"> </w:t>
      </w:r>
      <w:r w:rsidR="001A5BD9">
        <w:t>I</w:t>
      </w:r>
      <w:r w:rsidRPr="007C528B">
        <w:t xml:space="preserve">n </w:t>
      </w:r>
      <w:r w:rsidRPr="007C528B">
        <w:rPr>
          <w:i/>
          <w:iCs/>
        </w:rPr>
        <w:t>AGET Iraklis</w:t>
      </w:r>
      <w:r w:rsidR="00BE5097">
        <w:rPr>
          <w:i/>
          <w:iCs/>
        </w:rPr>
        <w:t xml:space="preserve"> </w:t>
      </w:r>
      <w:r w:rsidRPr="007C528B">
        <w:t xml:space="preserve">betrok het Hof dan ook </w:t>
      </w:r>
      <w:r w:rsidR="00D41BAC" w:rsidRPr="007C528B">
        <w:t xml:space="preserve">zowel </w:t>
      </w:r>
      <w:r w:rsidRPr="007C528B">
        <w:t xml:space="preserve">artikel 49 VwEU </w:t>
      </w:r>
      <w:r w:rsidR="00D41BAC" w:rsidRPr="007C528B">
        <w:t xml:space="preserve">als </w:t>
      </w:r>
      <w:r w:rsidRPr="007C528B">
        <w:t xml:space="preserve">artikel 16 Hv </w:t>
      </w:r>
      <w:r w:rsidR="00473FB9">
        <w:t>bij</w:t>
      </w:r>
      <w:r w:rsidRPr="007C528B">
        <w:t xml:space="preserve"> de toetsing van een Griekse </w:t>
      </w:r>
      <w:r w:rsidR="00BE5097">
        <w:t>collectieve ontslag</w:t>
      </w:r>
      <w:r w:rsidRPr="007C528B">
        <w:t>regeling</w:t>
      </w:r>
      <w:r w:rsidR="002E4E29" w:rsidRPr="007C528B">
        <w:t xml:space="preserve">, waarbij de </w:t>
      </w:r>
      <w:r w:rsidR="00D41BAC" w:rsidRPr="007C528B">
        <w:t>toetsingsmaatstaf</w:t>
      </w:r>
      <w:r w:rsidR="002E4E29" w:rsidRPr="007C528B">
        <w:t xml:space="preserve"> (ongeveer) </w:t>
      </w:r>
      <w:r w:rsidR="00D41BAC" w:rsidRPr="007C528B">
        <w:t>het</w:t>
      </w:r>
      <w:r w:rsidR="002E4E29" w:rsidRPr="007C528B">
        <w:t>zelfde wa</w:t>
      </w:r>
      <w:r w:rsidR="00D41BAC" w:rsidRPr="007C528B">
        <w:t>s</w:t>
      </w:r>
      <w:r w:rsidR="002E4E29" w:rsidRPr="007C528B">
        <w:t>.</w:t>
      </w:r>
    </w:p>
  </w:footnote>
  <w:footnote w:id="91">
    <w:p w14:paraId="64AAA0EA" w14:textId="467AB05B" w:rsidR="00252DDF" w:rsidRPr="00A872BE" w:rsidRDefault="00252DDF" w:rsidP="003820BE">
      <w:pPr>
        <w:pStyle w:val="FootnoteText"/>
        <w:jc w:val="both"/>
      </w:pPr>
      <w:r w:rsidRPr="007C528B">
        <w:rPr>
          <w:rStyle w:val="FootnoteReference"/>
        </w:rPr>
        <w:footnoteRef/>
      </w:r>
      <w:r w:rsidRPr="00A872BE">
        <w:t xml:space="preserve"> </w:t>
      </w:r>
      <w:r w:rsidR="00FB3E8A" w:rsidRPr="00A872BE">
        <w:t xml:space="preserve">Lhernould, </w:t>
      </w:r>
      <w:r w:rsidR="00FB3E8A" w:rsidRPr="00A872BE">
        <w:rPr>
          <w:i/>
          <w:iCs/>
        </w:rPr>
        <w:t xml:space="preserve">Droit </w:t>
      </w:r>
      <w:r w:rsidR="00604C68" w:rsidRPr="00A872BE">
        <w:rPr>
          <w:i/>
          <w:iCs/>
        </w:rPr>
        <w:t>S</w:t>
      </w:r>
      <w:r w:rsidR="00FB3E8A" w:rsidRPr="00A872BE">
        <w:rPr>
          <w:i/>
          <w:iCs/>
        </w:rPr>
        <w:t>ocial</w:t>
      </w:r>
      <w:r w:rsidR="00FB3E8A" w:rsidRPr="00A872BE">
        <w:t xml:space="preserve"> 2021, p. 534-538; </w:t>
      </w:r>
      <w:r w:rsidRPr="00A872BE">
        <w:t xml:space="preserve">Verheyen &amp; Pecinovsky, </w:t>
      </w:r>
      <w:r w:rsidRPr="00A872BE">
        <w:rPr>
          <w:i/>
          <w:iCs/>
        </w:rPr>
        <w:t xml:space="preserve">Arbeidsrecht Journaal </w:t>
      </w:r>
      <w:r w:rsidRPr="00A872BE">
        <w:t xml:space="preserve">2021, par. </w:t>
      </w:r>
      <w:r w:rsidR="000120A1" w:rsidRPr="00A872BE">
        <w:t>13 &amp;</w:t>
      </w:r>
      <w:r w:rsidR="009A6A9F" w:rsidRPr="00A872BE">
        <w:t xml:space="preserve"> 21.</w:t>
      </w:r>
    </w:p>
  </w:footnote>
  <w:footnote w:id="92">
    <w:p w14:paraId="5591992F" w14:textId="2C524A48" w:rsidR="00671A61" w:rsidRPr="004D7551" w:rsidRDefault="00671A61" w:rsidP="003820BE">
      <w:pPr>
        <w:pStyle w:val="FootnoteText"/>
        <w:jc w:val="both"/>
        <w:rPr>
          <w:lang w:val="en-US"/>
        </w:rPr>
      </w:pPr>
      <w:r w:rsidRPr="007C528B">
        <w:rPr>
          <w:rStyle w:val="FootnoteReference"/>
        </w:rPr>
        <w:footnoteRef/>
      </w:r>
      <w:r w:rsidRPr="004D7551">
        <w:rPr>
          <w:lang w:val="en-US"/>
        </w:rPr>
        <w:t xml:space="preserve"> Truxal &amp; Drew, </w:t>
      </w:r>
      <w:r w:rsidRPr="004D7551">
        <w:rPr>
          <w:i/>
          <w:iCs/>
          <w:lang w:val="en-US"/>
        </w:rPr>
        <w:t>Air &amp; Space Law</w:t>
      </w:r>
      <w:r w:rsidRPr="004D7551">
        <w:rPr>
          <w:lang w:val="en-US"/>
        </w:rPr>
        <w:t xml:space="preserve"> </w:t>
      </w:r>
      <w:r w:rsidR="00D81E28" w:rsidRPr="004D7551">
        <w:rPr>
          <w:lang w:val="en-US"/>
        </w:rPr>
        <w:t>2022</w:t>
      </w:r>
      <w:r w:rsidRPr="004D7551">
        <w:rPr>
          <w:lang w:val="en-US"/>
        </w:rPr>
        <w:t xml:space="preserve">, p. </w:t>
      </w:r>
      <w:r w:rsidR="006B1FD5" w:rsidRPr="004D7551">
        <w:rPr>
          <w:lang w:val="en-US"/>
        </w:rPr>
        <w:t>123-</w:t>
      </w:r>
      <w:r w:rsidRPr="004D7551">
        <w:rPr>
          <w:lang w:val="en-US"/>
        </w:rPr>
        <w:t>124.</w:t>
      </w:r>
    </w:p>
  </w:footnote>
  <w:footnote w:id="93">
    <w:p w14:paraId="66B7E6A6" w14:textId="5D4FFF0C" w:rsidR="009541C6" w:rsidRPr="00A872BE" w:rsidRDefault="009541C6" w:rsidP="003820BE">
      <w:pPr>
        <w:pStyle w:val="FootnoteText"/>
        <w:jc w:val="both"/>
        <w:rPr>
          <w:lang w:val="fr-BE"/>
        </w:rPr>
      </w:pPr>
      <w:r w:rsidRPr="00324671">
        <w:rPr>
          <w:rStyle w:val="FootnoteReference"/>
        </w:rPr>
        <w:footnoteRef/>
      </w:r>
      <w:r w:rsidRPr="00A872BE">
        <w:rPr>
          <w:lang w:val="fr-BE"/>
        </w:rPr>
        <w:t xml:space="preserve"> </w:t>
      </w:r>
      <w:r w:rsidR="00972182" w:rsidRPr="00A872BE">
        <w:rPr>
          <w:lang w:val="fr-BE"/>
        </w:rPr>
        <w:t>Concl.</w:t>
      </w:r>
      <w:r w:rsidRPr="00A872BE">
        <w:rPr>
          <w:lang w:val="fr-BE"/>
        </w:rPr>
        <w:t xml:space="preserve"> A-G Pikmäe 16 maart 2021, C-28/20, par. 88 (</w:t>
      </w:r>
      <w:r w:rsidRPr="00A872BE">
        <w:rPr>
          <w:i/>
          <w:iCs/>
          <w:lang w:val="fr-BE"/>
        </w:rPr>
        <w:t>Airhelp</w:t>
      </w:r>
      <w:r w:rsidRPr="00A872BE">
        <w:rPr>
          <w:lang w:val="fr-BE"/>
        </w:rPr>
        <w:t>).</w:t>
      </w:r>
    </w:p>
  </w:footnote>
  <w:footnote w:id="94">
    <w:p w14:paraId="2FB5E785" w14:textId="23900922" w:rsidR="00FF2195" w:rsidRPr="007C528B" w:rsidRDefault="00FF2195" w:rsidP="003820BE">
      <w:pPr>
        <w:pStyle w:val="FootnoteText"/>
        <w:jc w:val="both"/>
      </w:pPr>
      <w:r w:rsidRPr="007C528B">
        <w:rPr>
          <w:rStyle w:val="FootnoteReference"/>
        </w:rPr>
        <w:footnoteRef/>
      </w:r>
      <w:r w:rsidRPr="007C528B">
        <w:t xml:space="preserve"> </w:t>
      </w:r>
      <w:r>
        <w:t>Dit natuurlijk</w:t>
      </w:r>
      <w:r w:rsidR="00473FB9">
        <w:t xml:space="preserve"> wel</w:t>
      </w:r>
      <w:r>
        <w:t xml:space="preserve"> binnen redelijke grenzen</w:t>
      </w:r>
      <w:r w:rsidR="00473FB9">
        <w:t>.</w:t>
      </w:r>
      <w:r>
        <w:t xml:space="preserve"> </w:t>
      </w:r>
      <w:r w:rsidR="00473FB9">
        <w:t>H</w:t>
      </w:r>
      <w:r w:rsidRPr="007C528B">
        <w:t>et uiteindelijke resultaat van collectief onderhandelen is een compromis tussen sociale partners</w:t>
      </w:r>
      <w:r w:rsidR="00950689">
        <w:t>.</w:t>
      </w:r>
      <w:r>
        <w:t xml:space="preserve"> </w:t>
      </w:r>
      <w:r w:rsidR="00950689">
        <w:t>D</w:t>
      </w:r>
      <w:r w:rsidR="00F30D18">
        <w:t xml:space="preserve">e </w:t>
      </w:r>
      <w:r w:rsidRPr="007C528B">
        <w:t xml:space="preserve">bestendige voortzetting van de bedrijfsactiviteiten </w:t>
      </w:r>
      <w:r w:rsidR="00473FB9">
        <w:t xml:space="preserve">van de werkgever </w:t>
      </w:r>
      <w:r w:rsidR="008928AD">
        <w:t>mag</w:t>
      </w:r>
      <w:r w:rsidR="00F30D18">
        <w:t xml:space="preserve"> hierdoor niet in gevaar komen</w:t>
      </w:r>
      <w:r w:rsidRPr="007C528B">
        <w:t>.</w:t>
      </w:r>
    </w:p>
  </w:footnote>
  <w:footnote w:id="95">
    <w:p w14:paraId="3F535C70" w14:textId="6C5BB652" w:rsidR="00726297" w:rsidRPr="007C528B" w:rsidRDefault="00726297" w:rsidP="003820BE">
      <w:pPr>
        <w:pStyle w:val="FootnoteText"/>
        <w:jc w:val="both"/>
      </w:pPr>
      <w:r w:rsidRPr="007C528B">
        <w:rPr>
          <w:rStyle w:val="FootnoteReference"/>
        </w:rPr>
        <w:footnoteRef/>
      </w:r>
      <w:r w:rsidRPr="007C528B">
        <w:t xml:space="preserve"> </w:t>
      </w:r>
      <w:r w:rsidR="00324671">
        <w:t>Zie met name</w:t>
      </w:r>
      <w:r w:rsidR="002D75DB" w:rsidRPr="007C528B">
        <w:t xml:space="preserve"> de hiervoor aangehaalde arresten </w:t>
      </w:r>
      <w:r w:rsidR="002D75DB" w:rsidRPr="007C528B">
        <w:rPr>
          <w:i/>
          <w:iCs/>
        </w:rPr>
        <w:t>AGET Iraklis</w:t>
      </w:r>
      <w:r w:rsidR="001B3E2A" w:rsidRPr="007C528B">
        <w:t>,</w:t>
      </w:r>
      <w:r w:rsidR="002D75DB" w:rsidRPr="007C528B">
        <w:t xml:space="preserve"> </w:t>
      </w:r>
      <w:r w:rsidR="002D75DB" w:rsidRPr="007C528B">
        <w:rPr>
          <w:i/>
          <w:iCs/>
        </w:rPr>
        <w:t>Parkwood</w:t>
      </w:r>
      <w:r w:rsidR="009170AA">
        <w:t xml:space="preserve"> en</w:t>
      </w:r>
      <w:r w:rsidR="002D75DB" w:rsidRPr="007C528B">
        <w:t xml:space="preserve"> </w:t>
      </w:r>
      <w:r w:rsidR="002D75DB" w:rsidRPr="007C528B">
        <w:rPr>
          <w:i/>
          <w:iCs/>
        </w:rPr>
        <w:t>Achbita</w:t>
      </w:r>
      <w:r w:rsidR="002D75DB" w:rsidRPr="007C528B">
        <w:t>.</w:t>
      </w:r>
    </w:p>
  </w:footnote>
  <w:footnote w:id="96">
    <w:p w14:paraId="6762B0EF" w14:textId="7C9C6C73" w:rsidR="00A37A43" w:rsidRPr="007C528B" w:rsidRDefault="00A37A43" w:rsidP="003820BE">
      <w:pPr>
        <w:pStyle w:val="FootnoteText"/>
        <w:jc w:val="both"/>
      </w:pPr>
      <w:r w:rsidRPr="007C528B">
        <w:rPr>
          <w:rStyle w:val="FootnoteReference"/>
        </w:rPr>
        <w:footnoteRef/>
      </w:r>
      <w:r w:rsidRPr="007C528B">
        <w:t xml:space="preserve"> Verheyen &amp; Pecinovsky, </w:t>
      </w:r>
      <w:r w:rsidRPr="007C528B">
        <w:rPr>
          <w:i/>
          <w:iCs/>
        </w:rPr>
        <w:t xml:space="preserve">Arbeidsrecht Journaal </w:t>
      </w:r>
      <w:r w:rsidRPr="007C528B">
        <w:t xml:space="preserve">2021, par. </w:t>
      </w:r>
      <w:r w:rsidR="002440BE" w:rsidRPr="007C528B">
        <w:t>21-2</w:t>
      </w:r>
      <w:r w:rsidR="00703A77" w:rsidRPr="007C528B">
        <w:t>4</w:t>
      </w:r>
      <w:r w:rsidR="00AC7925" w:rsidRPr="007C528B">
        <w:t xml:space="preserve">. </w:t>
      </w:r>
    </w:p>
  </w:footnote>
  <w:footnote w:id="97">
    <w:p w14:paraId="415B9A3F" w14:textId="34AFE20C" w:rsidR="00D03FB9" w:rsidRPr="007C528B" w:rsidRDefault="00D03FB9" w:rsidP="003820BE">
      <w:pPr>
        <w:pStyle w:val="FootnoteText"/>
        <w:tabs>
          <w:tab w:val="left" w:pos="5710"/>
        </w:tabs>
        <w:jc w:val="both"/>
      </w:pPr>
      <w:r w:rsidRPr="007C528B">
        <w:rPr>
          <w:rStyle w:val="FootnoteReference"/>
        </w:rPr>
        <w:footnoteRef/>
      </w:r>
      <w:r w:rsidRPr="007C528B">
        <w:rPr>
          <w:lang w:val="en-US"/>
        </w:rPr>
        <w:t xml:space="preserve"> Truxal &amp; Drew, </w:t>
      </w:r>
      <w:r w:rsidRPr="007C528B">
        <w:rPr>
          <w:i/>
          <w:iCs/>
          <w:lang w:val="en-US"/>
        </w:rPr>
        <w:t>Air &amp; Space Law</w:t>
      </w:r>
      <w:r w:rsidRPr="007C528B">
        <w:rPr>
          <w:lang w:val="en-US"/>
        </w:rPr>
        <w:t xml:space="preserve"> </w:t>
      </w:r>
      <w:r w:rsidR="00D81E28" w:rsidRPr="007C528B">
        <w:rPr>
          <w:lang w:val="en-US"/>
        </w:rPr>
        <w:t>2022</w:t>
      </w:r>
      <w:r w:rsidRPr="007C528B">
        <w:rPr>
          <w:lang w:val="en-US"/>
        </w:rPr>
        <w:t>, p. 115.</w:t>
      </w:r>
      <w:r w:rsidR="00DA63BA" w:rsidRPr="007C528B">
        <w:rPr>
          <w:lang w:val="en-US"/>
        </w:rPr>
        <w:t xml:space="preserve"> </w:t>
      </w:r>
      <w:r w:rsidR="00DA63BA" w:rsidRPr="007C528B">
        <w:t>Een hoog niveau van consumentenbescherming</w:t>
      </w:r>
      <w:r w:rsidR="00AC24E9" w:rsidRPr="007C528B">
        <w:t xml:space="preserve"> in de gehele EU</w:t>
      </w:r>
      <w:r w:rsidR="00956B82" w:rsidRPr="007C528B">
        <w:t xml:space="preserve"> </w:t>
      </w:r>
      <w:r w:rsidR="00DA63BA" w:rsidRPr="007C528B">
        <w:t xml:space="preserve">bevordert immers de </w:t>
      </w:r>
      <w:r w:rsidR="00AC24E9" w:rsidRPr="007C528B">
        <w:t>interstatelijke</w:t>
      </w:r>
      <w:r w:rsidR="00DA63BA" w:rsidRPr="007C528B">
        <w:t xml:space="preserve"> handel</w:t>
      </w:r>
      <w:r w:rsidR="003D52DA" w:rsidRPr="007C528B">
        <w:t>.</w:t>
      </w:r>
    </w:p>
  </w:footnote>
  <w:footnote w:id="98">
    <w:p w14:paraId="345400F7" w14:textId="47AD5793" w:rsidR="003D52DA" w:rsidRPr="007C528B" w:rsidRDefault="003D52DA" w:rsidP="003820BE">
      <w:pPr>
        <w:pStyle w:val="FootnoteText"/>
        <w:jc w:val="both"/>
      </w:pPr>
      <w:r w:rsidRPr="007C528B">
        <w:rPr>
          <w:rStyle w:val="FootnoteReference"/>
        </w:rPr>
        <w:footnoteRef/>
      </w:r>
      <w:r w:rsidRPr="007C528B">
        <w:t xml:space="preserve"> </w:t>
      </w:r>
      <w:r w:rsidR="008B7084">
        <w:t>H</w:t>
      </w:r>
      <w:r w:rsidRPr="007C528B">
        <w:t xml:space="preserve">et Hof </w:t>
      </w:r>
      <w:r w:rsidR="008B7084">
        <w:t xml:space="preserve">overwoog </w:t>
      </w:r>
      <w:r w:rsidRPr="007C528B">
        <w:t xml:space="preserve">expliciet </w:t>
      </w:r>
      <w:r w:rsidR="000B3077">
        <w:t>(</w:t>
      </w:r>
      <w:r w:rsidR="000B3077" w:rsidRPr="007C528B">
        <w:t>r.o. 49-50</w:t>
      </w:r>
      <w:r w:rsidR="000B3077">
        <w:t>)</w:t>
      </w:r>
      <w:r w:rsidR="000B3077" w:rsidRPr="007C528B">
        <w:t xml:space="preserve"> </w:t>
      </w:r>
      <w:r w:rsidRPr="007C528B">
        <w:t>dat artikel 16 Hv in lijn moe</w:t>
      </w:r>
      <w:r w:rsidR="002D6B0B">
        <w:t>s</w:t>
      </w:r>
      <w:r w:rsidRPr="007C528B">
        <w:t>t worden gebracht met (enkel) artikel 38 Hv</w:t>
      </w:r>
      <w:r w:rsidR="008B7084">
        <w:t xml:space="preserve"> en dat</w:t>
      </w:r>
      <w:r w:rsidRPr="007C528B">
        <w:t xml:space="preserve"> (louter) het belang van consumentenbescherming (aanzienlijke) negatieve economische gevolgen </w:t>
      </w:r>
      <w:r w:rsidR="008B7084">
        <w:t xml:space="preserve">voor de luchtvaartmaatschappij </w:t>
      </w:r>
      <w:r w:rsidRPr="007C528B">
        <w:t>k</w:t>
      </w:r>
      <w:r w:rsidR="002D6B0B">
        <w:t>o</w:t>
      </w:r>
      <w:r w:rsidRPr="007C528B">
        <w:t>n rechtvaardigen.</w:t>
      </w:r>
    </w:p>
  </w:footnote>
  <w:footnote w:id="99">
    <w:p w14:paraId="68C36826" w14:textId="149BF787" w:rsidR="00BA4877" w:rsidRPr="007C528B" w:rsidRDefault="00BA4877" w:rsidP="003820BE">
      <w:pPr>
        <w:pStyle w:val="FootnoteText"/>
        <w:jc w:val="both"/>
      </w:pPr>
      <w:r w:rsidRPr="007C528B">
        <w:rPr>
          <w:rStyle w:val="FootnoteReference"/>
        </w:rPr>
        <w:footnoteRef/>
      </w:r>
      <w:r w:rsidRPr="007C528B">
        <w:t xml:space="preserve"> Dorssemont, </w:t>
      </w:r>
      <w:r w:rsidRPr="007C528B">
        <w:rPr>
          <w:i/>
          <w:iCs/>
        </w:rPr>
        <w:t xml:space="preserve">ArA </w:t>
      </w:r>
      <w:r w:rsidRPr="007C528B">
        <w:t>2021, p. 49-51.</w:t>
      </w:r>
    </w:p>
  </w:footnote>
  <w:footnote w:id="100">
    <w:p w14:paraId="30702D6B" w14:textId="148EE021" w:rsidR="00F5730B" w:rsidRPr="007C528B" w:rsidRDefault="00F5730B" w:rsidP="003820BE">
      <w:pPr>
        <w:pStyle w:val="FootnoteText"/>
        <w:jc w:val="both"/>
      </w:pPr>
      <w:r w:rsidRPr="007C528B">
        <w:rPr>
          <w:rStyle w:val="FootnoteReference"/>
        </w:rPr>
        <w:footnoteRef/>
      </w:r>
      <w:r w:rsidRPr="007C528B">
        <w:t xml:space="preserve"> Zoals gezegd (par. 2.3) is het toetsingskader uit </w:t>
      </w:r>
      <w:r w:rsidRPr="007C528B">
        <w:rPr>
          <w:i/>
          <w:iCs/>
        </w:rPr>
        <w:t xml:space="preserve">Laval </w:t>
      </w:r>
      <w:r w:rsidRPr="007C528B">
        <w:t>mijns inziens onveranderd gebleven, daar</w:t>
      </w:r>
      <w:r w:rsidRPr="007C528B">
        <w:rPr>
          <w:i/>
          <w:iCs/>
        </w:rPr>
        <w:t xml:space="preserve"> </w:t>
      </w:r>
      <w:r w:rsidRPr="007C528B">
        <w:t>het afdwingen van arbeidsvoorwaarden boven het plafond van artikel 3 lid 1 Detacheringsrichtlijn in strijd komt met de rechtszekerheid.</w:t>
      </w:r>
    </w:p>
  </w:footnote>
  <w:footnote w:id="101">
    <w:p w14:paraId="69CBF3D6" w14:textId="45DD8B97" w:rsidR="004B12B9" w:rsidRPr="007C528B" w:rsidRDefault="004B12B9" w:rsidP="003820BE">
      <w:pPr>
        <w:pStyle w:val="FootnoteText"/>
        <w:jc w:val="both"/>
      </w:pPr>
      <w:r w:rsidRPr="007C528B">
        <w:rPr>
          <w:rStyle w:val="FootnoteReference"/>
        </w:rPr>
        <w:footnoteRef/>
      </w:r>
      <w:r w:rsidRPr="007C528B">
        <w:t xml:space="preserve"> </w:t>
      </w:r>
      <w:r w:rsidR="00E8462C">
        <w:t>Zie bijvoorbeeld</w:t>
      </w:r>
      <w:r w:rsidRPr="007C528B">
        <w:t xml:space="preserve"> </w:t>
      </w:r>
      <w:r w:rsidR="006C4759">
        <w:t>HvJ EU 25 juli 1991, C-76/90 (</w:t>
      </w:r>
      <w:r w:rsidR="006C4759" w:rsidRPr="006C4759">
        <w:rPr>
          <w:i/>
          <w:iCs/>
        </w:rPr>
        <w:t>Säger</w:t>
      </w:r>
      <w:r w:rsidR="006C4759">
        <w:t xml:space="preserve">); </w:t>
      </w:r>
      <w:r w:rsidRPr="006C4759">
        <w:t>HvJ</w:t>
      </w:r>
      <w:r w:rsidRPr="007C528B">
        <w:t xml:space="preserve"> EU 30 november 1995, C-55/94</w:t>
      </w:r>
      <w:r w:rsidR="008132AB">
        <w:t xml:space="preserve"> </w:t>
      </w:r>
      <w:r w:rsidRPr="007C528B">
        <w:t>(</w:t>
      </w:r>
      <w:r w:rsidRPr="007C528B">
        <w:rPr>
          <w:i/>
          <w:iCs/>
        </w:rPr>
        <w:t>Gebhard</w:t>
      </w:r>
      <w:r w:rsidRPr="007C528B">
        <w:t>).</w:t>
      </w:r>
    </w:p>
  </w:footnote>
  <w:footnote w:id="102">
    <w:p w14:paraId="659F669D" w14:textId="562DE128" w:rsidR="005C5C45" w:rsidRPr="007C528B" w:rsidRDefault="005C5C45" w:rsidP="003820BE">
      <w:pPr>
        <w:pStyle w:val="FootnoteText"/>
        <w:jc w:val="both"/>
      </w:pPr>
      <w:r w:rsidRPr="007C528B">
        <w:rPr>
          <w:rStyle w:val="FootnoteReference"/>
        </w:rPr>
        <w:footnoteRef/>
      </w:r>
      <w:r w:rsidRPr="007C528B">
        <w:t xml:space="preserve"> Van Peijpe, </w:t>
      </w:r>
      <w:r w:rsidR="002D6B0B">
        <w:rPr>
          <w:i/>
          <w:iCs/>
        </w:rPr>
        <w:t xml:space="preserve">TRA (archief </w:t>
      </w:r>
      <w:r w:rsidRPr="007C528B">
        <w:rPr>
          <w:i/>
          <w:iCs/>
        </w:rPr>
        <w:t>SMA</w:t>
      </w:r>
      <w:r w:rsidR="002D6B0B">
        <w:rPr>
          <w:i/>
          <w:iCs/>
        </w:rPr>
        <w:t>)</w:t>
      </w:r>
      <w:r w:rsidR="002D6B0B" w:rsidRPr="002D6B0B">
        <w:t xml:space="preserve"> </w:t>
      </w:r>
      <w:r w:rsidRPr="007C528B">
        <w:t>2008</w:t>
      </w:r>
      <w:r w:rsidR="002D6B0B">
        <w:t>,</w:t>
      </w:r>
      <w:r w:rsidRPr="007C528B">
        <w:t xml:space="preserve"> beweert dat </w:t>
      </w:r>
      <w:r w:rsidR="00F6240A">
        <w:t xml:space="preserve">de </w:t>
      </w:r>
      <w:r w:rsidRPr="007C528B">
        <w:t xml:space="preserve">benadering van het Hof in </w:t>
      </w:r>
      <w:r w:rsidRPr="007C528B">
        <w:rPr>
          <w:i/>
          <w:iCs/>
        </w:rPr>
        <w:t xml:space="preserve">Viking </w:t>
      </w:r>
      <w:r w:rsidRPr="007C528B">
        <w:t xml:space="preserve">en </w:t>
      </w:r>
      <w:r w:rsidRPr="007C528B">
        <w:rPr>
          <w:i/>
          <w:iCs/>
        </w:rPr>
        <w:t>Laval</w:t>
      </w:r>
      <w:r w:rsidRPr="007C528B">
        <w:t xml:space="preserve">, waarin de verhouding tussen collectieve werknemersrechten en het vrij verkeer in de sleutel van een uitzondering op een beginsel </w:t>
      </w:r>
      <w:r w:rsidR="009B0713">
        <w:t>werd</w:t>
      </w:r>
      <w:r w:rsidRPr="007C528B">
        <w:t xml:space="preserve"> geplaatst, net zo goed andersom had gekund. Ik deel zijn opvatting niet, gelet op de</w:t>
      </w:r>
      <w:r w:rsidR="00F9599C" w:rsidRPr="007C528B">
        <w:t xml:space="preserve"> uit artikel 51 lid 1 Hv voortvloeiende</w:t>
      </w:r>
      <w:r w:rsidRPr="007C528B">
        <w:t xml:space="preserve"> systematiek</w:t>
      </w:r>
      <w:r w:rsidR="00EE4283" w:rsidRPr="007C528B">
        <w:t xml:space="preserve"> en beperkte inroepbaarheid</w:t>
      </w:r>
      <w:r w:rsidRPr="007C528B">
        <w:t xml:space="preserve"> van het Handvest</w:t>
      </w:r>
      <w:r w:rsidR="00BE7D1D">
        <w:t xml:space="preserve"> (zie </w:t>
      </w:r>
      <w:r w:rsidR="0015271B">
        <w:t>hoofdstuk</w:t>
      </w:r>
      <w:r w:rsidR="00BE7D1D">
        <w:t xml:space="preserve"> 4)</w:t>
      </w:r>
      <w:r w:rsidR="009B0713">
        <w:t>.</w:t>
      </w:r>
    </w:p>
  </w:footnote>
  <w:footnote w:id="103">
    <w:p w14:paraId="7A99DB44" w14:textId="572A46FF" w:rsidR="009E273C" w:rsidRPr="007C528B" w:rsidRDefault="009E273C" w:rsidP="003820BE">
      <w:pPr>
        <w:pStyle w:val="FootnoteText"/>
        <w:jc w:val="both"/>
      </w:pPr>
      <w:r w:rsidRPr="007C528B">
        <w:rPr>
          <w:rStyle w:val="FootnoteReference"/>
        </w:rPr>
        <w:footnoteRef/>
      </w:r>
      <w:r w:rsidRPr="007C528B">
        <w:t xml:space="preserve"> </w:t>
      </w:r>
      <w:r>
        <w:t>Zie voor e</w:t>
      </w:r>
      <w:r w:rsidRPr="007C528B">
        <w:t xml:space="preserve">en overzicht van </w:t>
      </w:r>
      <w:r>
        <w:t xml:space="preserve">de verdragsstaten </w:t>
      </w:r>
      <w:r w:rsidRPr="007C528B">
        <w:t>(inclusief ratificaties)</w:t>
      </w:r>
      <w:r w:rsidR="00C10D6C">
        <w:t xml:space="preserve"> </w:t>
      </w:r>
      <w:r>
        <w:t>de website van de Raad van Europa (</w:t>
      </w:r>
      <w:r w:rsidR="00747401">
        <w:t xml:space="preserve">voor het EVRM: </w:t>
      </w:r>
      <w:hyperlink r:id="rId7" w:history="1">
        <w:r w:rsidR="004844CF">
          <w:rPr>
            <w:rStyle w:val="Hyperlink"/>
          </w:rPr>
          <w:t>coe.int</w:t>
        </w:r>
      </w:hyperlink>
      <w:r w:rsidR="00747401">
        <w:t>;</w:t>
      </w:r>
      <w:r w:rsidR="004844CF">
        <w:t xml:space="preserve"> </w:t>
      </w:r>
      <w:r w:rsidR="00747401">
        <w:t>voor het ESH:</w:t>
      </w:r>
      <w:r w:rsidR="004844CF">
        <w:t xml:space="preserve"> </w:t>
      </w:r>
      <w:hyperlink r:id="rId8" w:history="1">
        <w:r w:rsidR="004844CF">
          <w:rPr>
            <w:rStyle w:val="Hyperlink"/>
          </w:rPr>
          <w:t>coe.int</w:t>
        </w:r>
      </w:hyperlink>
      <w:r w:rsidR="00747401">
        <w:t xml:space="preserve"> en</w:t>
      </w:r>
      <w:r w:rsidR="004844CF">
        <w:t xml:space="preserve"> de</w:t>
      </w:r>
      <w:r w:rsidR="00950689">
        <w:t xml:space="preserve"> overzichtstabel</w:t>
      </w:r>
      <w:r w:rsidR="00747401">
        <w:t xml:space="preserve"> op</w:t>
      </w:r>
      <w:r w:rsidR="00950689">
        <w:t xml:space="preserve"> </w:t>
      </w:r>
      <w:hyperlink r:id="rId9" w:history="1">
        <w:r w:rsidR="00950689">
          <w:rPr>
            <w:rStyle w:val="Hyperlink"/>
          </w:rPr>
          <w:t>rm.coe.int</w:t>
        </w:r>
      </w:hyperlink>
      <w:r>
        <w:t>)</w:t>
      </w:r>
      <w:r w:rsidR="00C10D6C">
        <w:t xml:space="preserve"> en </w:t>
      </w:r>
      <w:r>
        <w:t>de</w:t>
      </w:r>
      <w:r w:rsidR="004844CF">
        <w:t xml:space="preserve"> website</w:t>
      </w:r>
      <w:r>
        <w:t xml:space="preserve"> van de ILO</w:t>
      </w:r>
      <w:r w:rsidR="004844CF">
        <w:t xml:space="preserve"> (</w:t>
      </w:r>
      <w:hyperlink r:id="rId10" w:history="1">
        <w:r w:rsidR="004844CF">
          <w:rPr>
            <w:rStyle w:val="Hyperlink"/>
          </w:rPr>
          <w:t>ilo.org</w:t>
        </w:r>
      </w:hyperlink>
      <w:r w:rsidR="004844CF">
        <w:t>).</w:t>
      </w:r>
    </w:p>
  </w:footnote>
  <w:footnote w:id="104">
    <w:p w14:paraId="261B1769" w14:textId="675124F2" w:rsidR="001933B0" w:rsidRPr="007C528B" w:rsidRDefault="001933B0" w:rsidP="003820BE">
      <w:pPr>
        <w:pStyle w:val="FootnoteText"/>
        <w:jc w:val="both"/>
      </w:pPr>
      <w:r w:rsidRPr="007C528B">
        <w:rPr>
          <w:rStyle w:val="FootnoteReference"/>
        </w:rPr>
        <w:footnoteRef/>
      </w:r>
      <w:r w:rsidRPr="007C528B">
        <w:t xml:space="preserve"> </w:t>
      </w:r>
      <w:r w:rsidR="00411A63">
        <w:t>De</w:t>
      </w:r>
      <w:r w:rsidRPr="007C528B">
        <w:t xml:space="preserve"> </w:t>
      </w:r>
      <w:r w:rsidR="00BF7479">
        <w:t>nationale</w:t>
      </w:r>
      <w:r w:rsidRPr="007C528B">
        <w:t xml:space="preserve"> rechter </w:t>
      </w:r>
      <w:r w:rsidR="00411A63">
        <w:t xml:space="preserve">moet </w:t>
      </w:r>
      <w:r w:rsidRPr="007C528B">
        <w:t xml:space="preserve">de rechtspraak van het EHRM </w:t>
      </w:r>
      <w:r w:rsidR="007E2199">
        <w:t xml:space="preserve">dus steeds </w:t>
      </w:r>
      <w:r w:rsidRPr="007C528B">
        <w:t>in acht nemen</w:t>
      </w:r>
      <w:r w:rsidR="00411A63">
        <w:t>, terwijl afwijking van</w:t>
      </w:r>
      <w:r w:rsidRPr="007C528B">
        <w:t xml:space="preserve"> de overwegingen van de CoE/CFA en het ECSR</w:t>
      </w:r>
      <w:r w:rsidR="00161E13">
        <w:t xml:space="preserve"> </w:t>
      </w:r>
      <w:r w:rsidRPr="007C528B">
        <w:t>in theorie</w:t>
      </w:r>
      <w:r w:rsidR="00161E13">
        <w:t xml:space="preserve"> – hoewel omstreden, zie Barentsen 2020, p. 417</w:t>
      </w:r>
      <w:r w:rsidRPr="007C528B">
        <w:t xml:space="preserve"> </w:t>
      </w:r>
      <w:r w:rsidR="00161E13">
        <w:t xml:space="preserve">– </w:t>
      </w:r>
      <w:r w:rsidRPr="007C528B">
        <w:t>mogelijk</w:t>
      </w:r>
      <w:r w:rsidR="00411A63">
        <w:t xml:space="preserve"> is</w:t>
      </w:r>
      <w:r w:rsidRPr="007C528B">
        <w:t xml:space="preserve">. Zo week de Hoge Raad lange tijd af van </w:t>
      </w:r>
      <w:r w:rsidR="007E2199">
        <w:t>de conclusies</w:t>
      </w:r>
      <w:r w:rsidRPr="007C528B">
        <w:t xml:space="preserve"> van het ECSR</w:t>
      </w:r>
      <w:r w:rsidR="007E2199">
        <w:t xml:space="preserve"> doordat </w:t>
      </w:r>
      <w:r w:rsidRPr="007C528B">
        <w:t xml:space="preserve">als procedureregel gold dat een staking slechts als </w:t>
      </w:r>
      <w:r w:rsidRPr="007C528B">
        <w:rPr>
          <w:i/>
          <w:iCs/>
        </w:rPr>
        <w:t>ultimum remedium</w:t>
      </w:r>
      <w:r w:rsidRPr="007C528B">
        <w:t xml:space="preserve"> toelaatbaar </w:t>
      </w:r>
      <w:r w:rsidR="001B0C81">
        <w:t>was</w:t>
      </w:r>
      <w:r w:rsidRPr="007C528B">
        <w:t xml:space="preserve">. Pas met de arresten HR 31 oktober 2014, </w:t>
      </w:r>
      <w:r w:rsidR="008132AB" w:rsidRPr="008132AB">
        <w:rPr>
          <w:i/>
          <w:iCs/>
        </w:rPr>
        <w:t>NJB</w:t>
      </w:r>
      <w:r w:rsidR="008132AB" w:rsidRPr="008132AB">
        <w:t xml:space="preserve"> 2014/2013 </w:t>
      </w:r>
      <w:r w:rsidRPr="007C528B">
        <w:t>(</w:t>
      </w:r>
      <w:r w:rsidRPr="007C528B">
        <w:rPr>
          <w:i/>
          <w:iCs/>
        </w:rPr>
        <w:t>Enerco</w:t>
      </w:r>
      <w:r w:rsidRPr="007C528B">
        <w:t xml:space="preserve">) en HR 19 juni 2015, </w:t>
      </w:r>
      <w:r w:rsidR="008132AB">
        <w:rPr>
          <w:i/>
          <w:iCs/>
        </w:rPr>
        <w:t xml:space="preserve">NJB </w:t>
      </w:r>
      <w:r w:rsidR="008132AB">
        <w:t>2015/1260</w:t>
      </w:r>
      <w:r w:rsidRPr="007C528B">
        <w:t xml:space="preserve"> (</w:t>
      </w:r>
      <w:r w:rsidRPr="007C528B">
        <w:rPr>
          <w:i/>
          <w:iCs/>
        </w:rPr>
        <w:t>Amsta</w:t>
      </w:r>
      <w:r w:rsidRPr="007C528B">
        <w:t>)</w:t>
      </w:r>
      <w:r w:rsidR="00540472">
        <w:t xml:space="preserve"> </w:t>
      </w:r>
      <w:r w:rsidRPr="007C528B">
        <w:t xml:space="preserve">is de </w:t>
      </w:r>
      <w:r w:rsidR="007E2199">
        <w:t xml:space="preserve">Hoge </w:t>
      </w:r>
      <w:r w:rsidRPr="007C528B">
        <w:t>Raad een andere, ESH-conforme koers gaan varen.</w:t>
      </w:r>
    </w:p>
  </w:footnote>
  <w:footnote w:id="105">
    <w:p w14:paraId="117E40EA" w14:textId="63A13494" w:rsidR="00A45329" w:rsidRPr="006D0F2F" w:rsidRDefault="00A45329" w:rsidP="00A45329">
      <w:pPr>
        <w:pStyle w:val="FootnoteText"/>
        <w:jc w:val="both"/>
      </w:pPr>
      <w:r>
        <w:rPr>
          <w:rStyle w:val="FootnoteReference"/>
        </w:rPr>
        <w:footnoteRef/>
      </w:r>
      <w:r w:rsidRPr="006D0F2F">
        <w:t xml:space="preserve"> </w:t>
      </w:r>
      <w:r>
        <w:t xml:space="preserve">De mogelijkheid van een </w:t>
      </w:r>
      <w:r>
        <w:rPr>
          <w:i/>
          <w:iCs/>
        </w:rPr>
        <w:t>ad hoc</w:t>
      </w:r>
      <w:r>
        <w:t xml:space="preserve"> landenrapportage, die sinds 2023 onder het ESH bestaat, blijft </w:t>
      </w:r>
      <w:r w:rsidR="00173E2E">
        <w:t>bij</w:t>
      </w:r>
      <w:r>
        <w:t xml:space="preserve"> deze bespreking buiten beschouwing.</w:t>
      </w:r>
    </w:p>
  </w:footnote>
  <w:footnote w:id="106">
    <w:p w14:paraId="407B6266" w14:textId="0C01E0E2" w:rsidR="00D77641" w:rsidRPr="007C528B" w:rsidRDefault="00D77641" w:rsidP="003820BE">
      <w:pPr>
        <w:pStyle w:val="FootnoteText"/>
        <w:jc w:val="both"/>
      </w:pPr>
      <w:r w:rsidRPr="007C528B">
        <w:rPr>
          <w:rStyle w:val="FootnoteReference"/>
        </w:rPr>
        <w:footnoteRef/>
      </w:r>
      <w:r w:rsidRPr="007C528B">
        <w:t xml:space="preserve"> Dit ontvankelijkheidsvereiste is terug te vinden in de artikelen 1 en 2 Aanvullend Protocol bij het Europees Sociaal Handvest betreffende een systeem voor collectieve klachten (1995</w:t>
      </w:r>
      <w:r w:rsidR="00E11CBB">
        <w:t>)</w:t>
      </w:r>
      <w:r w:rsidR="00353F07">
        <w:t>. G</w:t>
      </w:r>
      <w:r w:rsidR="00353F07" w:rsidRPr="007C528B">
        <w:t>edacht kan worden aan (inter)nationale werkgevers- en werknemersorganisaties en non-gouvernementele organisaties (ngo’s).</w:t>
      </w:r>
    </w:p>
  </w:footnote>
  <w:footnote w:id="107">
    <w:p w14:paraId="37AF6490" w14:textId="13288451" w:rsidR="00153281" w:rsidRPr="00A872BE" w:rsidRDefault="00153281" w:rsidP="003820BE">
      <w:pPr>
        <w:pStyle w:val="FootnoteText"/>
        <w:jc w:val="both"/>
      </w:pPr>
      <w:r w:rsidRPr="007C528B">
        <w:rPr>
          <w:rStyle w:val="FootnoteReference"/>
        </w:rPr>
        <w:footnoteRef/>
      </w:r>
      <w:r w:rsidRPr="00A872BE">
        <w:t xml:space="preserve"> Vanwijngaerden, </w:t>
      </w:r>
      <w:r w:rsidR="00505162" w:rsidRPr="00A872BE">
        <w:rPr>
          <w:i/>
          <w:iCs/>
        </w:rPr>
        <w:t>JF</w:t>
      </w:r>
      <w:r w:rsidRPr="00A872BE">
        <w:rPr>
          <w:i/>
          <w:iCs/>
        </w:rPr>
        <w:t xml:space="preserve"> </w:t>
      </w:r>
      <w:r w:rsidRPr="00A872BE">
        <w:t>2007-2008, p. 221-222; De Vos 2010, par. 2.2.4</w:t>
      </w:r>
      <w:r w:rsidR="00504D6C" w:rsidRPr="00A872BE">
        <w:t>.</w:t>
      </w:r>
    </w:p>
  </w:footnote>
  <w:footnote w:id="108">
    <w:p w14:paraId="3D9DF6F8" w14:textId="42C4B633" w:rsidR="00B94F12" w:rsidRPr="007C528B" w:rsidRDefault="00B94F12" w:rsidP="003820BE">
      <w:pPr>
        <w:pStyle w:val="FootnoteText"/>
        <w:jc w:val="both"/>
      </w:pPr>
      <w:r w:rsidRPr="007C528B">
        <w:rPr>
          <w:rStyle w:val="FootnoteReference"/>
        </w:rPr>
        <w:footnoteRef/>
      </w:r>
      <w:r w:rsidR="003C403D" w:rsidRPr="005027E3">
        <w:t xml:space="preserve"> De Schutter 2013, p. 105-139</w:t>
      </w:r>
      <w:r w:rsidR="004B5B93" w:rsidRPr="005027E3">
        <w:t>; De Mol 2014, par. 7.4</w:t>
      </w:r>
      <w:r w:rsidR="001B0C81">
        <w:t xml:space="preserve">; </w:t>
      </w:r>
      <w:r w:rsidR="001B0C81" w:rsidRPr="00261C62">
        <w:t>S</w:t>
      </w:r>
      <w:r w:rsidR="001B0C81">
        <w:t xml:space="preserve">ieburgh, </w:t>
      </w:r>
      <w:r w:rsidR="001B0C81">
        <w:rPr>
          <w:i/>
          <w:iCs/>
        </w:rPr>
        <w:t>RM Themis</w:t>
      </w:r>
      <w:r w:rsidR="001B0C81">
        <w:t xml:space="preserve"> 2015, p. 7</w:t>
      </w:r>
      <w:r w:rsidR="004B5B93" w:rsidRPr="005027E3">
        <w:t>.</w:t>
      </w:r>
      <w:r w:rsidRPr="005027E3">
        <w:t xml:space="preserve"> </w:t>
      </w:r>
      <w:r w:rsidRPr="007C528B">
        <w:t xml:space="preserve">Zie specifiek over horizontaal effect van collectieve werknemersrechten </w:t>
      </w:r>
      <w:r w:rsidR="00DB7F9C">
        <w:t>(</w:t>
      </w:r>
      <w:r w:rsidRPr="007C528B">
        <w:t>artikel 11 EVRM</w:t>
      </w:r>
      <w:r w:rsidR="00DB7F9C">
        <w:t>)</w:t>
      </w:r>
      <w:r w:rsidRPr="007C528B">
        <w:t xml:space="preserve">: Concurring Opinion rechter </w:t>
      </w:r>
      <w:r w:rsidR="000C420A" w:rsidRPr="007C528B">
        <w:t>De</w:t>
      </w:r>
      <w:r w:rsidRPr="007C528B">
        <w:t xml:space="preserve"> Albuquerque</w:t>
      </w:r>
      <w:r w:rsidR="00A71C41">
        <w:t xml:space="preserve"> bij</w:t>
      </w:r>
      <w:r w:rsidRPr="007C528B">
        <w:t xml:space="preserve"> EHRM 27 november 2014, 36701/09</w:t>
      </w:r>
      <w:r w:rsidR="000D43FD" w:rsidRPr="007C528B">
        <w:t xml:space="preserve">, </w:t>
      </w:r>
      <w:r w:rsidRPr="007C528B">
        <w:t>par. 10, voetnoot 36</w:t>
      </w:r>
      <w:r w:rsidR="001B0C81">
        <w:t>,</w:t>
      </w:r>
      <w:r w:rsidR="009A2595" w:rsidRPr="007C528B">
        <w:t xml:space="preserve"> met verdere verwijzingen</w:t>
      </w:r>
      <w:r w:rsidRPr="007C528B">
        <w:t xml:space="preserve"> (</w:t>
      </w:r>
      <w:r w:rsidRPr="007C528B">
        <w:rPr>
          <w:i/>
          <w:iCs/>
        </w:rPr>
        <w:t>Hrvatski</w:t>
      </w:r>
      <w:r w:rsidRPr="007C528B">
        <w:t>)</w:t>
      </w:r>
      <w:r w:rsidR="00465823" w:rsidRPr="007C528B">
        <w:t>.</w:t>
      </w:r>
    </w:p>
  </w:footnote>
  <w:footnote w:id="109">
    <w:p w14:paraId="382854C3" w14:textId="2F0334AD" w:rsidR="0097163A" w:rsidRPr="007C528B" w:rsidRDefault="0097163A" w:rsidP="003820BE">
      <w:pPr>
        <w:pStyle w:val="FootnoteText"/>
        <w:jc w:val="both"/>
      </w:pPr>
      <w:r w:rsidRPr="007C528B">
        <w:rPr>
          <w:rStyle w:val="FootnoteReference"/>
        </w:rPr>
        <w:footnoteRef/>
      </w:r>
      <w:r w:rsidRPr="007C528B">
        <w:t xml:space="preserve"> In het kader van de ontvankelijkheidsvraag wordt echter al een zekere inhoudelijke beoordeling gemaakt</w:t>
      </w:r>
      <w:r w:rsidR="00F05CEF" w:rsidRPr="007C528B">
        <w:t>, z</w:t>
      </w:r>
      <w:r w:rsidR="00D20472" w:rsidRPr="007C528B">
        <w:t>ie EHRM 16 december 2008, 23883/06, r.o. 33 (</w:t>
      </w:r>
      <w:r w:rsidR="00D20472" w:rsidRPr="007C528B">
        <w:rPr>
          <w:i/>
          <w:iCs/>
        </w:rPr>
        <w:t>Khurshid</w:t>
      </w:r>
      <w:r w:rsidR="00D20472" w:rsidRPr="007C528B">
        <w:t>)</w:t>
      </w:r>
      <w:r w:rsidR="00B73AC0" w:rsidRPr="007C528B">
        <w:t>.</w:t>
      </w:r>
    </w:p>
  </w:footnote>
  <w:footnote w:id="110">
    <w:p w14:paraId="58321EC8" w14:textId="09900384" w:rsidR="009133CD" w:rsidRPr="007C528B" w:rsidRDefault="009133CD" w:rsidP="003820BE">
      <w:pPr>
        <w:pStyle w:val="FootnoteText"/>
        <w:jc w:val="both"/>
        <w:rPr>
          <w:i/>
          <w:iCs/>
        </w:rPr>
      </w:pPr>
      <w:r w:rsidRPr="007C528B">
        <w:rPr>
          <w:rStyle w:val="FootnoteReference"/>
        </w:rPr>
        <w:footnoteRef/>
      </w:r>
      <w:r w:rsidRPr="007C528B">
        <w:t xml:space="preserve"> D</w:t>
      </w:r>
      <w:r w:rsidR="003C35EA" w:rsidRPr="007C528B">
        <w:t>eze constatering geldt onverminderd de ontwikkeling op nationaal</w:t>
      </w:r>
      <w:r w:rsidR="003C403D" w:rsidRPr="007C528B">
        <w:t xml:space="preserve"> (</w:t>
      </w:r>
      <w:r w:rsidR="003C35EA" w:rsidRPr="007C528B">
        <w:t>Nederlands</w:t>
      </w:r>
      <w:r w:rsidR="003C403D" w:rsidRPr="007C528B">
        <w:t>)</w:t>
      </w:r>
      <w:r w:rsidR="003C35EA" w:rsidRPr="007C528B">
        <w:t xml:space="preserve"> niveau, alwaar de Hoge </w:t>
      </w:r>
      <w:r w:rsidRPr="007C528B">
        <w:t>Raad, bij gebrek aan nationale</w:t>
      </w:r>
      <w:r w:rsidR="003C403D" w:rsidRPr="007C528B">
        <w:t xml:space="preserve"> </w:t>
      </w:r>
      <w:r w:rsidRPr="007C528B">
        <w:t>stakingswetgeving</w:t>
      </w:r>
      <w:r w:rsidR="00A13A43">
        <w:t>,</w:t>
      </w:r>
      <w:r w:rsidRPr="007C528B">
        <w:t xml:space="preserve"> aan artikel 6 lid 4</w:t>
      </w:r>
      <w:r w:rsidR="003C403D" w:rsidRPr="007C528B">
        <w:t xml:space="preserve"> </w:t>
      </w:r>
      <w:r w:rsidRPr="007C528B">
        <w:t>ESH (herzien)</w:t>
      </w:r>
      <w:r w:rsidR="003C35EA" w:rsidRPr="007C528B">
        <w:t xml:space="preserve"> </w:t>
      </w:r>
      <w:r w:rsidR="00A13A43">
        <w:t xml:space="preserve">verticale en horizontale </w:t>
      </w:r>
      <w:r w:rsidR="003C35EA" w:rsidRPr="007C528B">
        <w:t>rechtstreekse</w:t>
      </w:r>
      <w:r w:rsidR="00A13A43">
        <w:t xml:space="preserve"> </w:t>
      </w:r>
      <w:r w:rsidR="003C35EA" w:rsidRPr="007C528B">
        <w:t>werking</w:t>
      </w:r>
      <w:r w:rsidRPr="007C528B">
        <w:t xml:space="preserve"> heeft toegekend. </w:t>
      </w:r>
      <w:r w:rsidR="00E52386">
        <w:t>Dit geschiedde voor het eerst in</w:t>
      </w:r>
      <w:r w:rsidR="00E52386" w:rsidRPr="007C528B">
        <w:t xml:space="preserve"> HR 30 mei 1986, </w:t>
      </w:r>
      <w:r w:rsidR="00E52386">
        <w:rPr>
          <w:i/>
          <w:iCs/>
        </w:rPr>
        <w:t>NJ</w:t>
      </w:r>
      <w:r w:rsidR="00E52386">
        <w:t xml:space="preserve"> 1986/688</w:t>
      </w:r>
      <w:r w:rsidR="00E52386" w:rsidRPr="007C528B">
        <w:t xml:space="preserve"> (</w:t>
      </w:r>
      <w:r w:rsidR="00E52386" w:rsidRPr="007C528B">
        <w:rPr>
          <w:i/>
          <w:iCs/>
        </w:rPr>
        <w:t>NS</w:t>
      </w:r>
      <w:r w:rsidR="00E52386" w:rsidRPr="007C528B">
        <w:t>)</w:t>
      </w:r>
      <w:r w:rsidR="00E52386">
        <w:t>.</w:t>
      </w:r>
    </w:p>
  </w:footnote>
  <w:footnote w:id="111">
    <w:p w14:paraId="1DF36851" w14:textId="4AFE8116" w:rsidR="00C169C2" w:rsidRPr="007C528B" w:rsidRDefault="00C169C2" w:rsidP="003820BE">
      <w:pPr>
        <w:pStyle w:val="FootnoteText"/>
        <w:jc w:val="both"/>
      </w:pPr>
      <w:r w:rsidRPr="007C528B">
        <w:rPr>
          <w:rStyle w:val="FootnoteReference"/>
        </w:rPr>
        <w:footnoteRef/>
      </w:r>
      <w:r w:rsidRPr="004D7551">
        <w:t xml:space="preserve"> </w:t>
      </w:r>
      <w:r w:rsidR="00D97663" w:rsidRPr="00D97663">
        <w:t xml:space="preserve">CoE, Report III (Part 1B) 2012, p. 46; </w:t>
      </w:r>
      <w:bookmarkStart w:id="49" w:name="_Hlk163066328"/>
      <w:r w:rsidR="00D97663" w:rsidRPr="00D97663">
        <w:t>CFA-</w:t>
      </w:r>
      <w:r w:rsidR="00D97663" w:rsidRPr="0080665C">
        <w:t>decisions</w:t>
      </w:r>
      <w:r w:rsidR="00D97663" w:rsidRPr="00D97663">
        <w:t xml:space="preserve"> 2018, nr. 754</w:t>
      </w:r>
      <w:bookmarkEnd w:id="49"/>
      <w:r w:rsidR="00D97663" w:rsidRPr="00D97663">
        <w:t>.</w:t>
      </w:r>
      <w:r w:rsidR="00D97663">
        <w:t xml:space="preserve"> </w:t>
      </w:r>
      <w:r w:rsidR="00EF4983" w:rsidRPr="00EF4983">
        <w:t>Het stakingsrecht wordt met name afgeleid uit de artikelen 3 en 10 ILO-Verdrag 87, eventueel bezien in samenhang met ILO-Verdrag 98.</w:t>
      </w:r>
    </w:p>
  </w:footnote>
  <w:footnote w:id="112">
    <w:p w14:paraId="4EE9DE1D" w14:textId="63A4AAA7" w:rsidR="00434B61" w:rsidRPr="00434B61" w:rsidRDefault="00434B61" w:rsidP="003820BE">
      <w:pPr>
        <w:pStyle w:val="FootnoteText"/>
        <w:jc w:val="both"/>
      </w:pPr>
      <w:r>
        <w:rPr>
          <w:rStyle w:val="FootnoteReference"/>
        </w:rPr>
        <w:footnoteRef/>
      </w:r>
      <w:r>
        <w:t xml:space="preserve"> Artikel 11 lid 2 EVRM</w:t>
      </w:r>
      <w:r w:rsidR="00F5497A">
        <w:t xml:space="preserve">, </w:t>
      </w:r>
      <w:r>
        <w:t>artikel 31 ESH (oud) en artikel G ESH (herzien) bevatten een expliciete beperkingsclausule. In artikel 8 ILO-Verdrag 87 staat</w:t>
      </w:r>
      <w:r w:rsidR="00014F2C">
        <w:t xml:space="preserve"> </w:t>
      </w:r>
      <w:r w:rsidR="00724F56">
        <w:t>slechts</w:t>
      </w:r>
      <w:r>
        <w:t xml:space="preserve"> dat werkgevers en werknemers bij de uitoefening van hun recht gehouden zijn de grenzen van het nationale recht te respecteren. Die grenzen mogen, aldus Barentsen 2020, p. 423, echter niet zo strikt zijn dat afbreuk wordt gedaan aan de verdragsrechtelijke waarborgen.</w:t>
      </w:r>
    </w:p>
  </w:footnote>
  <w:footnote w:id="113">
    <w:p w14:paraId="547F0800" w14:textId="24D23C96" w:rsidR="005033CC" w:rsidRPr="00D85133" w:rsidRDefault="005033CC" w:rsidP="003820BE">
      <w:pPr>
        <w:pStyle w:val="FootnoteText"/>
        <w:jc w:val="both"/>
      </w:pPr>
      <w:r w:rsidRPr="00D85133">
        <w:rPr>
          <w:rStyle w:val="FootnoteReference"/>
        </w:rPr>
        <w:footnoteRef/>
      </w:r>
      <w:r w:rsidRPr="00B252AD">
        <w:rPr>
          <w:lang w:val="de-DE"/>
        </w:rPr>
        <w:t xml:space="preserve"> EHRM </w:t>
      </w:r>
      <w:r w:rsidRPr="0080665C">
        <w:rPr>
          <w:lang w:val="de-DE"/>
        </w:rPr>
        <w:t>6 februari 1976</w:t>
      </w:r>
      <w:r w:rsidRPr="00B252AD">
        <w:rPr>
          <w:lang w:val="de-DE"/>
        </w:rPr>
        <w:t>, 5589/72</w:t>
      </w:r>
      <w:r w:rsidR="00905080" w:rsidRPr="00B252AD">
        <w:rPr>
          <w:lang w:val="de-DE"/>
        </w:rPr>
        <w:t xml:space="preserve"> </w:t>
      </w:r>
      <w:r w:rsidRPr="00B252AD">
        <w:rPr>
          <w:lang w:val="de-DE"/>
        </w:rPr>
        <w:t>(</w:t>
      </w:r>
      <w:r w:rsidRPr="00B252AD">
        <w:rPr>
          <w:i/>
          <w:iCs/>
          <w:lang w:val="de-DE"/>
        </w:rPr>
        <w:t>Schmidt en Dahlström</w:t>
      </w:r>
      <w:r w:rsidRPr="00B252AD">
        <w:rPr>
          <w:lang w:val="de-DE"/>
        </w:rPr>
        <w:t>).</w:t>
      </w:r>
      <w:r w:rsidR="000969B7" w:rsidRPr="00B252AD">
        <w:rPr>
          <w:lang w:val="de-DE"/>
        </w:rPr>
        <w:t xml:space="preserve"> </w:t>
      </w:r>
      <w:r w:rsidR="008056D0" w:rsidRPr="00D85133">
        <w:t xml:space="preserve">Het Hof oordeelde dat </w:t>
      </w:r>
      <w:r w:rsidR="000C004D" w:rsidRPr="00D85133">
        <w:t xml:space="preserve">lidstaten </w:t>
      </w:r>
      <w:r w:rsidR="00C41083">
        <w:t>vrij zijn de middelen te kiezen</w:t>
      </w:r>
      <w:r w:rsidR="000C004D" w:rsidRPr="00D85133">
        <w:t xml:space="preserve"> om te verzekeren dat vakbonden </w:t>
      </w:r>
      <w:r w:rsidR="00B26948" w:rsidRPr="00D85133">
        <w:t>de</w:t>
      </w:r>
      <w:r w:rsidR="000C004D" w:rsidRPr="00D85133">
        <w:t xml:space="preserve"> </w:t>
      </w:r>
      <w:r w:rsidR="008056D0" w:rsidRPr="00D85133">
        <w:t xml:space="preserve">beroepsbelangen van </w:t>
      </w:r>
      <w:r w:rsidR="007C4A82" w:rsidRPr="00D85133">
        <w:t xml:space="preserve">hun </w:t>
      </w:r>
      <w:r w:rsidR="008056D0" w:rsidRPr="00D85133">
        <w:t xml:space="preserve">leden </w:t>
      </w:r>
      <w:r w:rsidR="00C41083">
        <w:t>kunnen</w:t>
      </w:r>
      <w:r w:rsidR="008056D0" w:rsidRPr="00D85133">
        <w:t xml:space="preserve"> beschermen.</w:t>
      </w:r>
    </w:p>
  </w:footnote>
  <w:footnote w:id="114">
    <w:p w14:paraId="1C004730" w14:textId="6D6FD85F" w:rsidR="00E337AA" w:rsidRPr="00D85133" w:rsidRDefault="00E337AA" w:rsidP="003820BE">
      <w:pPr>
        <w:pStyle w:val="FootnoteText"/>
        <w:jc w:val="both"/>
      </w:pPr>
      <w:r w:rsidRPr="00D85133">
        <w:rPr>
          <w:rStyle w:val="FootnoteReference"/>
        </w:rPr>
        <w:footnoteRef/>
      </w:r>
      <w:r w:rsidRPr="00D85133">
        <w:t xml:space="preserve"> EHRM 10 januari 2002, 53574/99 (</w:t>
      </w:r>
      <w:r w:rsidRPr="00D85133">
        <w:rPr>
          <w:i/>
          <w:iCs/>
        </w:rPr>
        <w:t>Unison</w:t>
      </w:r>
      <w:r w:rsidRPr="00D85133">
        <w:t>).</w:t>
      </w:r>
    </w:p>
  </w:footnote>
  <w:footnote w:id="115">
    <w:p w14:paraId="2DFBCE64" w14:textId="6BDF10C3" w:rsidR="0060731A" w:rsidRPr="00D85133" w:rsidRDefault="0060731A" w:rsidP="003820BE">
      <w:pPr>
        <w:pStyle w:val="FootnoteText"/>
        <w:jc w:val="both"/>
      </w:pPr>
      <w:r w:rsidRPr="00D85133">
        <w:rPr>
          <w:rStyle w:val="FootnoteReference"/>
        </w:rPr>
        <w:footnoteRef/>
      </w:r>
      <w:r w:rsidRPr="00D85133">
        <w:t xml:space="preserve"> </w:t>
      </w:r>
      <w:r w:rsidR="00C24E4D" w:rsidRPr="00D85133">
        <w:t xml:space="preserve">Deze </w:t>
      </w:r>
      <w:r w:rsidR="00511C53">
        <w:t>overweging</w:t>
      </w:r>
      <w:r w:rsidR="00C24E4D" w:rsidRPr="00D85133">
        <w:t xml:space="preserve"> is forst bekritiseerd, zie </w:t>
      </w:r>
      <w:r w:rsidR="00965334" w:rsidRPr="00D85133">
        <w:t xml:space="preserve">Dorssemont, </w:t>
      </w:r>
      <w:r w:rsidR="00965334" w:rsidRPr="00D85133">
        <w:rPr>
          <w:i/>
          <w:iCs/>
        </w:rPr>
        <w:t xml:space="preserve">ELLJ </w:t>
      </w:r>
      <w:r w:rsidR="00965334" w:rsidRPr="00D85133">
        <w:t xml:space="preserve">2010, p. 224-228; Hendy 2013, p. 82-83; Dorssemont 2013, p. 357-358; </w:t>
      </w:r>
      <w:r w:rsidR="00C24E4D" w:rsidRPr="00D85133">
        <w:t>EHRM 8 april 2014, 31045/10, r.o. 80 (</w:t>
      </w:r>
      <w:r w:rsidR="00C24E4D" w:rsidRPr="00D85133">
        <w:rPr>
          <w:i/>
          <w:iCs/>
        </w:rPr>
        <w:t>RMT</w:t>
      </w:r>
      <w:r w:rsidR="00C24E4D" w:rsidRPr="00D85133">
        <w:t>);</w:t>
      </w:r>
      <w:r w:rsidRPr="00D85133">
        <w:t xml:space="preserve"> Concurring Opinion </w:t>
      </w:r>
      <w:r w:rsidR="00D90E0F" w:rsidRPr="00D85133">
        <w:t xml:space="preserve">rechter De Albuquerque </w:t>
      </w:r>
      <w:r w:rsidRPr="00D85133">
        <w:t>bij EHRM 27 november 2014, 36701/09, voetnoot 33 (</w:t>
      </w:r>
      <w:r w:rsidRPr="00D85133">
        <w:rPr>
          <w:i/>
          <w:iCs/>
        </w:rPr>
        <w:t>Hrvatski</w:t>
      </w:r>
      <w:r w:rsidRPr="00D85133">
        <w:t>).</w:t>
      </w:r>
    </w:p>
  </w:footnote>
  <w:footnote w:id="116">
    <w:p w14:paraId="6224B325" w14:textId="03DC2DF4" w:rsidR="00F52E93" w:rsidRPr="00D85133" w:rsidRDefault="00F52E93" w:rsidP="003820BE">
      <w:pPr>
        <w:pStyle w:val="FootnoteText"/>
        <w:jc w:val="both"/>
      </w:pPr>
      <w:r w:rsidRPr="00D85133">
        <w:rPr>
          <w:rStyle w:val="FootnoteReference"/>
        </w:rPr>
        <w:footnoteRef/>
      </w:r>
      <w:r w:rsidRPr="00D85133">
        <w:t xml:space="preserve"> Volgens Concurring Opinion </w:t>
      </w:r>
      <w:r w:rsidR="00965334" w:rsidRPr="00D85133">
        <w:t xml:space="preserve">rechter De Albuquerque </w:t>
      </w:r>
      <w:r w:rsidRPr="00D85133">
        <w:t>bij EHRM 27 november 2014, 36701/09, par. 10 (</w:t>
      </w:r>
      <w:r w:rsidRPr="00D85133">
        <w:rPr>
          <w:i/>
          <w:iCs/>
        </w:rPr>
        <w:t>Hrvatski</w:t>
      </w:r>
      <w:r w:rsidRPr="00D85133">
        <w:t>)</w:t>
      </w:r>
      <w:r w:rsidR="00965334" w:rsidRPr="00D85133">
        <w:t>,</w:t>
      </w:r>
      <w:r w:rsidRPr="00D85133">
        <w:t xml:space="preserve"> heeft het EHRM hiermee zijn eigen norm voor de belangenafweging vastgesteld</w:t>
      </w:r>
      <w:r w:rsidR="00511C53">
        <w:t>.</w:t>
      </w:r>
      <w:r w:rsidRPr="00D85133">
        <w:t xml:space="preserve"> </w:t>
      </w:r>
      <w:r w:rsidR="00511C53">
        <w:t>A</w:t>
      </w:r>
      <w:r w:rsidRPr="00D85133">
        <w:t xml:space="preserve">ls ondergrens </w:t>
      </w:r>
      <w:r w:rsidR="00F1214F" w:rsidRPr="00D85133">
        <w:t>mag een beperking van het stakingsrecht niet ertoe leiden dat</w:t>
      </w:r>
      <w:r w:rsidRPr="00D85133">
        <w:t xml:space="preserve"> vakbondsleden </w:t>
      </w:r>
      <w:r w:rsidR="00EC070C" w:rsidRPr="00D85133">
        <w:t xml:space="preserve">worden blootgesteld </w:t>
      </w:r>
      <w:r w:rsidR="0009085C" w:rsidRPr="00D85133">
        <w:t xml:space="preserve">aan </w:t>
      </w:r>
      <w:r w:rsidRPr="00D85133">
        <w:t xml:space="preserve">een reëel </w:t>
      </w:r>
      <w:r w:rsidR="00F1214F" w:rsidRPr="00D85133">
        <w:t>benadelings</w:t>
      </w:r>
      <w:r w:rsidRPr="00D85133">
        <w:t>risico.</w:t>
      </w:r>
    </w:p>
  </w:footnote>
  <w:footnote w:id="117">
    <w:p w14:paraId="1BED74CE" w14:textId="1282BB9A" w:rsidR="002E6224" w:rsidRPr="00022097" w:rsidRDefault="002E6224" w:rsidP="003820BE">
      <w:pPr>
        <w:pStyle w:val="FootnoteText"/>
        <w:jc w:val="both"/>
      </w:pPr>
      <w:r w:rsidRPr="00022097">
        <w:rPr>
          <w:rStyle w:val="FootnoteReference"/>
        </w:rPr>
        <w:footnoteRef/>
      </w:r>
      <w:r w:rsidRPr="00022097">
        <w:t xml:space="preserve"> </w:t>
      </w:r>
      <w:r w:rsidR="00C84CB5" w:rsidRPr="00022097">
        <w:t>Dit wettelijk minimum wordt gereguleerd door</w:t>
      </w:r>
      <w:r w:rsidR="00F70B49" w:rsidRPr="00022097">
        <w:t xml:space="preserve"> </w:t>
      </w:r>
      <w:r w:rsidRPr="00022097">
        <w:t>Richtlijn 2001/23/EG betreffende het behoud van de rechten van werknemers bij overgang van onderneming.</w:t>
      </w:r>
    </w:p>
  </w:footnote>
  <w:footnote w:id="118">
    <w:p w14:paraId="41CD0DE0" w14:textId="0988DC89" w:rsidR="00C64A9F" w:rsidRPr="00022097" w:rsidRDefault="00C64A9F" w:rsidP="003820BE">
      <w:pPr>
        <w:pStyle w:val="FootnoteText"/>
        <w:jc w:val="both"/>
      </w:pPr>
      <w:r w:rsidRPr="00022097">
        <w:rPr>
          <w:rStyle w:val="FootnoteReference"/>
        </w:rPr>
        <w:footnoteRef/>
      </w:r>
      <w:r w:rsidRPr="00022097">
        <w:t xml:space="preserve"> In HvJ EU 27 april 2017, C-680/15, r.o. 27-28 (</w:t>
      </w:r>
      <w:r w:rsidRPr="00022097">
        <w:rPr>
          <w:i/>
          <w:iCs/>
        </w:rPr>
        <w:t>Asklepios</w:t>
      </w:r>
      <w:r w:rsidRPr="00022097">
        <w:t xml:space="preserve">) nuanceerde het Hof zijn standpunt enigszins door te overwegen dat geen sprake is van strijd met artikel 16 Hv indien de verkrijgende vennootschap de mogelijkheid heeft om de bestaande arbeidsvoorwaarden na </w:t>
      </w:r>
      <w:r w:rsidR="00E92CC5">
        <w:t xml:space="preserve">de </w:t>
      </w:r>
      <w:r w:rsidRPr="00022097">
        <w:t xml:space="preserve">overgang van </w:t>
      </w:r>
      <w:r>
        <w:t xml:space="preserve">de </w:t>
      </w:r>
      <w:r w:rsidRPr="00022097">
        <w:t>onderneming consensueel of eenzijdig te wijzigen.</w:t>
      </w:r>
    </w:p>
  </w:footnote>
  <w:footnote w:id="119">
    <w:p w14:paraId="1E71A293" w14:textId="458A995E" w:rsidR="00340941" w:rsidRPr="0080665C" w:rsidRDefault="00340941" w:rsidP="003820BE">
      <w:pPr>
        <w:pStyle w:val="FootnoteText"/>
        <w:jc w:val="both"/>
        <w:rPr>
          <w:lang w:val="en-US"/>
        </w:rPr>
      </w:pPr>
      <w:r w:rsidRPr="0085730D">
        <w:rPr>
          <w:rStyle w:val="FootnoteReference"/>
        </w:rPr>
        <w:footnoteRef/>
      </w:r>
      <w:r w:rsidRPr="0080665C">
        <w:rPr>
          <w:lang w:val="en-US"/>
        </w:rPr>
        <w:t xml:space="preserve"> EHRM 21 april 2009, 68959/01 (</w:t>
      </w:r>
      <w:r w:rsidRPr="0080665C">
        <w:rPr>
          <w:i/>
          <w:iCs/>
          <w:lang w:val="en-US"/>
        </w:rPr>
        <w:t>Enerji</w:t>
      </w:r>
      <w:r w:rsidR="009B7EC8" w:rsidRPr="0080665C">
        <w:rPr>
          <w:i/>
          <w:iCs/>
          <w:lang w:val="en-US"/>
        </w:rPr>
        <w:t xml:space="preserve"> Yapi-Yol Sen</w:t>
      </w:r>
      <w:r w:rsidRPr="0080665C">
        <w:rPr>
          <w:lang w:val="en-US"/>
        </w:rPr>
        <w:t>).</w:t>
      </w:r>
    </w:p>
  </w:footnote>
  <w:footnote w:id="120">
    <w:p w14:paraId="4CA9BA53" w14:textId="56C38E56" w:rsidR="00340941" w:rsidRPr="0080665C" w:rsidRDefault="00340941" w:rsidP="003820BE">
      <w:pPr>
        <w:pStyle w:val="FootnoteText"/>
        <w:jc w:val="both"/>
        <w:rPr>
          <w:lang w:val="de-DE"/>
        </w:rPr>
      </w:pPr>
      <w:r w:rsidRPr="00C64A9F">
        <w:rPr>
          <w:rStyle w:val="FootnoteReference"/>
        </w:rPr>
        <w:footnoteRef/>
      </w:r>
      <w:r w:rsidRPr="0080665C">
        <w:rPr>
          <w:lang w:val="de-DE"/>
        </w:rPr>
        <w:t xml:space="preserve"> EHRM 12 november 2008, 34503/97, r.o. 65-86 (</w:t>
      </w:r>
      <w:r w:rsidRPr="0080665C">
        <w:rPr>
          <w:i/>
          <w:iCs/>
          <w:lang w:val="de-DE"/>
        </w:rPr>
        <w:t>Demir en Baykara II</w:t>
      </w:r>
      <w:r w:rsidRPr="0080665C">
        <w:rPr>
          <w:lang w:val="de-DE"/>
        </w:rPr>
        <w:t>)</w:t>
      </w:r>
      <w:r w:rsidR="00355C77" w:rsidRPr="0080665C">
        <w:rPr>
          <w:lang w:val="de-DE"/>
        </w:rPr>
        <w:t>; EHRM 14 december 2023, 59433/18, 59477/18, 59481/18 en 59494/18, r.o. 101 (</w:t>
      </w:r>
      <w:r w:rsidR="00355C77" w:rsidRPr="0080665C">
        <w:rPr>
          <w:i/>
          <w:iCs/>
          <w:lang w:val="de-DE"/>
        </w:rPr>
        <w:t>Humpert</w:t>
      </w:r>
      <w:r w:rsidR="00355C77" w:rsidRPr="0080665C">
        <w:rPr>
          <w:lang w:val="de-DE"/>
        </w:rPr>
        <w:t>).</w:t>
      </w:r>
    </w:p>
  </w:footnote>
  <w:footnote w:id="121">
    <w:p w14:paraId="265DF159" w14:textId="5E1B826A" w:rsidR="00340941" w:rsidRPr="0080665C" w:rsidRDefault="00340941" w:rsidP="003820BE">
      <w:pPr>
        <w:pStyle w:val="FootnoteText"/>
        <w:jc w:val="both"/>
        <w:rPr>
          <w:i/>
          <w:iCs/>
          <w:lang w:val="fr-BE"/>
        </w:rPr>
      </w:pPr>
      <w:r w:rsidRPr="00C64A9F">
        <w:rPr>
          <w:rStyle w:val="FootnoteReference"/>
        </w:rPr>
        <w:footnoteRef/>
      </w:r>
      <w:r w:rsidRPr="0080665C">
        <w:rPr>
          <w:lang w:val="fr-BE"/>
        </w:rPr>
        <w:t xml:space="preserve"> Laagland, </w:t>
      </w:r>
      <w:r w:rsidRPr="0080665C">
        <w:rPr>
          <w:i/>
          <w:iCs/>
          <w:lang w:val="fr-BE"/>
        </w:rPr>
        <w:t xml:space="preserve">AR </w:t>
      </w:r>
      <w:r w:rsidR="00511C53">
        <w:rPr>
          <w:i/>
          <w:iCs/>
          <w:lang w:val="fr-BE"/>
        </w:rPr>
        <w:t>U</w:t>
      </w:r>
      <w:r w:rsidRPr="0080665C">
        <w:rPr>
          <w:i/>
          <w:iCs/>
          <w:lang w:val="fr-BE"/>
        </w:rPr>
        <w:t>pdates</w:t>
      </w:r>
      <w:r w:rsidRPr="0080665C">
        <w:rPr>
          <w:lang w:val="fr-BE"/>
        </w:rPr>
        <w:t xml:space="preserve"> 2017, par. 3; Dorssemont, </w:t>
      </w:r>
      <w:r w:rsidRPr="0080665C">
        <w:rPr>
          <w:i/>
          <w:iCs/>
          <w:lang w:val="fr-BE"/>
        </w:rPr>
        <w:t xml:space="preserve">EHRC Updates </w:t>
      </w:r>
      <w:r w:rsidRPr="0080665C">
        <w:rPr>
          <w:lang w:val="fr-BE"/>
        </w:rPr>
        <w:t>2022, par. 8.</w:t>
      </w:r>
    </w:p>
  </w:footnote>
  <w:footnote w:id="122">
    <w:p w14:paraId="0E780EF5" w14:textId="2162074F" w:rsidR="00EF053E" w:rsidRPr="00C64A9F" w:rsidRDefault="00EF053E" w:rsidP="003820BE">
      <w:pPr>
        <w:pStyle w:val="FootnoteText"/>
        <w:jc w:val="both"/>
      </w:pPr>
      <w:r w:rsidRPr="00C64A9F">
        <w:rPr>
          <w:rStyle w:val="FootnoteReference"/>
        </w:rPr>
        <w:footnoteRef/>
      </w:r>
      <w:r w:rsidRPr="00C64A9F">
        <w:t xml:space="preserve"> De precieze beoordelingsmarge hangt, </w:t>
      </w:r>
      <w:r w:rsidR="00B340A8" w:rsidRPr="00C64A9F">
        <w:t>aldus</w:t>
      </w:r>
      <w:r w:rsidRPr="00C64A9F">
        <w:t xml:space="preserve"> EHRM 8 april 2014, 31045/10, r.o. 86 (</w:t>
      </w:r>
      <w:r w:rsidRPr="00C64A9F">
        <w:rPr>
          <w:i/>
          <w:iCs/>
        </w:rPr>
        <w:t>RMT</w:t>
      </w:r>
      <w:r w:rsidRPr="00C64A9F">
        <w:t>), af van diverse factoren, waaronder: (1) de aard en omvang van de beperking van het litigieuze vakbondsrecht; (2) het door de</w:t>
      </w:r>
      <w:r w:rsidR="00511C53">
        <w:t>ze</w:t>
      </w:r>
      <w:r w:rsidRPr="00C64A9F">
        <w:t xml:space="preserve"> beperking nagestreefde doel;</w:t>
      </w:r>
      <w:r w:rsidR="00427714" w:rsidRPr="00C64A9F">
        <w:t xml:space="preserve"> en</w:t>
      </w:r>
      <w:r w:rsidRPr="00C64A9F">
        <w:t xml:space="preserve"> (3) de concurrerende rechten en belangen van andere personen in de samenleving. Voorts kan de politieke gevoeligheid van de kwestie</w:t>
      </w:r>
      <w:r w:rsidR="00150D04" w:rsidRPr="00C64A9F">
        <w:t xml:space="preserve"> en</w:t>
      </w:r>
      <w:r w:rsidRPr="00C64A9F">
        <w:t xml:space="preserve"> de aan- of afwezigheid van een Europese of internationale standaard een rol spelen, zie Nieuwenhuis &amp; Dragstra</w:t>
      </w:r>
      <w:r w:rsidR="009E461D" w:rsidRPr="00C64A9F">
        <w:t xml:space="preserve"> 2008</w:t>
      </w:r>
      <w:r w:rsidRPr="00C64A9F">
        <w:t>, p. 40-42.</w:t>
      </w:r>
    </w:p>
  </w:footnote>
  <w:footnote w:id="123">
    <w:p w14:paraId="5529B690" w14:textId="537A53E0" w:rsidR="00F17AC1" w:rsidRPr="00C64A9F" w:rsidRDefault="00F17AC1" w:rsidP="003820BE">
      <w:pPr>
        <w:pStyle w:val="FootnoteText"/>
        <w:jc w:val="both"/>
        <w:rPr>
          <w:color w:val="FF0000"/>
        </w:rPr>
      </w:pPr>
      <w:r w:rsidRPr="00C64A9F">
        <w:rPr>
          <w:rStyle w:val="FootnoteReference"/>
        </w:rPr>
        <w:footnoteRef/>
      </w:r>
      <w:r w:rsidRPr="00C64A9F">
        <w:t xml:space="preserve"> </w:t>
      </w:r>
      <w:r w:rsidR="00A9130F" w:rsidRPr="00C64A9F">
        <w:t>Dorssemont 2013, p. 336; EHRM 14 december 2023, 59433/18, 59477/18, 59481/18 en 59494/18, r.o. 111 (</w:t>
      </w:r>
      <w:r w:rsidR="00A9130F" w:rsidRPr="00C64A9F">
        <w:rPr>
          <w:i/>
          <w:iCs/>
        </w:rPr>
        <w:t>Humpert</w:t>
      </w:r>
      <w:r w:rsidR="00A9130F" w:rsidRPr="00C64A9F">
        <w:t>)</w:t>
      </w:r>
      <w:r w:rsidRPr="00C64A9F">
        <w:t>. Opgemerkt zij</w:t>
      </w:r>
      <w:r w:rsidR="00A8193C" w:rsidRPr="00C64A9F">
        <w:t xml:space="preserve"> </w:t>
      </w:r>
      <w:r w:rsidR="00C216EF">
        <w:t xml:space="preserve">echter </w:t>
      </w:r>
      <w:r w:rsidRPr="00C64A9F">
        <w:t>dat de kernrechtenbenadering van het EHRM</w:t>
      </w:r>
      <w:r w:rsidR="00C216EF">
        <w:t xml:space="preserve"> </w:t>
      </w:r>
      <w:r w:rsidRPr="00C64A9F">
        <w:t>soms</w:t>
      </w:r>
      <w:r w:rsidR="00A8193C" w:rsidRPr="00C64A9F">
        <w:t xml:space="preserve"> </w:t>
      </w:r>
      <w:r w:rsidRPr="00C64A9F">
        <w:t>niet als bijzonder onderdeel van de proportionaliteitstoets is te beschouwen</w:t>
      </w:r>
      <w:r w:rsidR="008638AF">
        <w:t>: h</w:t>
      </w:r>
      <w:r w:rsidR="00B37923">
        <w:t>et EHRM kan hiermee ook beogen</w:t>
      </w:r>
      <w:r w:rsidRPr="00C64A9F">
        <w:t xml:space="preserve"> een absolute ondergrens te trekken</w:t>
      </w:r>
      <w:r w:rsidR="001646E4" w:rsidRPr="00C64A9F">
        <w:t>, z</w:t>
      </w:r>
      <w:r w:rsidRPr="00C64A9F">
        <w:t xml:space="preserve">ie Nieuwenhuis, </w:t>
      </w:r>
      <w:r w:rsidRPr="00C64A9F">
        <w:rPr>
          <w:i/>
          <w:iCs/>
        </w:rPr>
        <w:t xml:space="preserve">TVCR </w:t>
      </w:r>
      <w:r w:rsidRPr="00C64A9F">
        <w:t>2012, par. 3.</w:t>
      </w:r>
    </w:p>
  </w:footnote>
  <w:footnote w:id="124">
    <w:p w14:paraId="2A446238" w14:textId="44581DAB" w:rsidR="006849D6" w:rsidRPr="0080665C" w:rsidRDefault="006849D6" w:rsidP="003820BE">
      <w:pPr>
        <w:pStyle w:val="FootnoteText"/>
        <w:jc w:val="both"/>
        <w:rPr>
          <w:lang w:val="de-DE"/>
        </w:rPr>
      </w:pPr>
      <w:r w:rsidRPr="00C64A9F">
        <w:rPr>
          <w:rStyle w:val="FootnoteReference"/>
        </w:rPr>
        <w:footnoteRef/>
      </w:r>
      <w:r w:rsidRPr="0080665C">
        <w:rPr>
          <w:lang w:val="de-DE"/>
        </w:rPr>
        <w:t xml:space="preserve"> </w:t>
      </w:r>
      <w:r w:rsidR="00D8508D" w:rsidRPr="0080665C">
        <w:rPr>
          <w:lang w:val="de-DE"/>
        </w:rPr>
        <w:t>EHRM 12 november 2008, 34503/97, r.o. 144 (</w:t>
      </w:r>
      <w:r w:rsidR="00D8508D" w:rsidRPr="0080665C">
        <w:rPr>
          <w:i/>
          <w:iCs/>
          <w:lang w:val="de-DE"/>
        </w:rPr>
        <w:t>Demir en Baykara II</w:t>
      </w:r>
      <w:r w:rsidR="00D8508D" w:rsidRPr="0080665C">
        <w:rPr>
          <w:lang w:val="de-DE"/>
        </w:rPr>
        <w:t xml:space="preserve">); </w:t>
      </w:r>
      <w:r w:rsidRPr="0080665C">
        <w:rPr>
          <w:lang w:val="de-DE"/>
        </w:rPr>
        <w:t xml:space="preserve">Velyvyte, </w:t>
      </w:r>
      <w:r w:rsidRPr="0080665C">
        <w:rPr>
          <w:i/>
          <w:iCs/>
          <w:lang w:val="de-DE"/>
        </w:rPr>
        <w:t>HRLR</w:t>
      </w:r>
      <w:r w:rsidRPr="0080665C">
        <w:rPr>
          <w:lang w:val="de-DE"/>
        </w:rPr>
        <w:t xml:space="preserve"> 2015, p. 76-77</w:t>
      </w:r>
      <w:r w:rsidR="00FA251A" w:rsidRPr="0080665C">
        <w:rPr>
          <w:lang w:val="de-DE"/>
        </w:rPr>
        <w:t xml:space="preserve"> &amp; 79</w:t>
      </w:r>
      <w:r w:rsidRPr="0080665C">
        <w:rPr>
          <w:lang w:val="de-DE"/>
        </w:rPr>
        <w:t>.</w:t>
      </w:r>
      <w:r w:rsidR="007124D9" w:rsidRPr="0080665C">
        <w:rPr>
          <w:lang w:val="de-DE"/>
        </w:rPr>
        <w:t xml:space="preserve"> </w:t>
      </w:r>
    </w:p>
  </w:footnote>
  <w:footnote w:id="125">
    <w:p w14:paraId="0DFB559C" w14:textId="13CC1BA5" w:rsidR="00EF053E" w:rsidRPr="0080665C" w:rsidRDefault="00EF053E" w:rsidP="003820BE">
      <w:pPr>
        <w:pStyle w:val="FootnoteText"/>
        <w:jc w:val="both"/>
        <w:rPr>
          <w:lang w:val="de-DE"/>
        </w:rPr>
      </w:pPr>
      <w:r w:rsidRPr="00B05249">
        <w:rPr>
          <w:rStyle w:val="FootnoteReference"/>
        </w:rPr>
        <w:footnoteRef/>
      </w:r>
      <w:r w:rsidRPr="0080665C">
        <w:rPr>
          <w:lang w:val="de-DE"/>
        </w:rPr>
        <w:t xml:space="preserve"> Stylogiannis, </w:t>
      </w:r>
      <w:r w:rsidRPr="0080665C">
        <w:rPr>
          <w:i/>
          <w:iCs/>
          <w:lang w:val="de-DE"/>
        </w:rPr>
        <w:t>CLL&amp;PJ</w:t>
      </w:r>
      <w:r w:rsidRPr="0080665C">
        <w:rPr>
          <w:lang w:val="de-DE"/>
        </w:rPr>
        <w:t xml:space="preserve"> 2021, p. 8.</w:t>
      </w:r>
    </w:p>
  </w:footnote>
  <w:footnote w:id="126">
    <w:p w14:paraId="4C3D3519" w14:textId="73E81CB0" w:rsidR="00394CEB" w:rsidRPr="0080665C" w:rsidRDefault="00394CEB" w:rsidP="003820BE">
      <w:pPr>
        <w:pStyle w:val="FootnoteText"/>
        <w:jc w:val="both"/>
        <w:rPr>
          <w:lang w:val="de-DE"/>
        </w:rPr>
      </w:pPr>
      <w:r w:rsidRPr="00394CEB">
        <w:rPr>
          <w:rStyle w:val="FootnoteReference"/>
        </w:rPr>
        <w:footnoteRef/>
      </w:r>
      <w:r w:rsidRPr="0080665C">
        <w:rPr>
          <w:lang w:val="de-DE"/>
        </w:rPr>
        <w:t xml:space="preserve"> EHRM 27 november 2014, 36701/09, r.o. 59 (</w:t>
      </w:r>
      <w:r w:rsidRPr="0080665C">
        <w:rPr>
          <w:i/>
          <w:iCs/>
          <w:lang w:val="de-DE"/>
        </w:rPr>
        <w:t>Hrvatski</w:t>
      </w:r>
      <w:r w:rsidRPr="0080665C">
        <w:rPr>
          <w:lang w:val="de-DE"/>
        </w:rPr>
        <w:t>).</w:t>
      </w:r>
    </w:p>
  </w:footnote>
  <w:footnote w:id="127">
    <w:p w14:paraId="36AC7810" w14:textId="059D4609" w:rsidR="008B3DD3" w:rsidRPr="0080665C" w:rsidRDefault="008B3DD3" w:rsidP="003820BE">
      <w:pPr>
        <w:pStyle w:val="FootnoteText"/>
        <w:jc w:val="both"/>
        <w:rPr>
          <w:lang w:val="de-DE"/>
        </w:rPr>
      </w:pPr>
      <w:r w:rsidRPr="00B05249">
        <w:rPr>
          <w:rStyle w:val="FootnoteReference"/>
        </w:rPr>
        <w:footnoteRef/>
      </w:r>
      <w:r w:rsidRPr="0080665C">
        <w:rPr>
          <w:lang w:val="de-DE"/>
        </w:rPr>
        <w:t xml:space="preserve"> Dorssemont, </w:t>
      </w:r>
      <w:r w:rsidRPr="0080665C">
        <w:rPr>
          <w:i/>
          <w:iCs/>
          <w:lang w:val="de-DE"/>
        </w:rPr>
        <w:t xml:space="preserve">EHRC Updates </w:t>
      </w:r>
      <w:r w:rsidRPr="0080665C">
        <w:rPr>
          <w:lang w:val="de-DE"/>
        </w:rPr>
        <w:t>2022, par. 9.</w:t>
      </w:r>
    </w:p>
  </w:footnote>
  <w:footnote w:id="128">
    <w:p w14:paraId="0E17884D" w14:textId="1C9E9555" w:rsidR="00105E0D" w:rsidRPr="00A872BE" w:rsidRDefault="00105E0D" w:rsidP="003820BE">
      <w:pPr>
        <w:pStyle w:val="FootnoteText"/>
        <w:jc w:val="both"/>
      </w:pPr>
      <w:r w:rsidRPr="00B05249">
        <w:rPr>
          <w:rStyle w:val="FootnoteReference"/>
        </w:rPr>
        <w:footnoteRef/>
      </w:r>
      <w:r w:rsidRPr="00A872BE">
        <w:t xml:space="preserve"> Concurring Opinion rechter </w:t>
      </w:r>
      <w:r w:rsidR="000C420A" w:rsidRPr="00A872BE">
        <w:t>De</w:t>
      </w:r>
      <w:r w:rsidRPr="00A872BE">
        <w:t xml:space="preserve"> Albuquerque</w:t>
      </w:r>
      <w:r w:rsidR="000968AC" w:rsidRPr="00A872BE">
        <w:t xml:space="preserve"> bij</w:t>
      </w:r>
      <w:r w:rsidRPr="00A872BE">
        <w:t xml:space="preserve"> EHRM 27 november 2014, 36701/09</w:t>
      </w:r>
      <w:r w:rsidR="000D43FD" w:rsidRPr="00A872BE">
        <w:t xml:space="preserve"> </w:t>
      </w:r>
      <w:r w:rsidRPr="00A872BE">
        <w:t>(</w:t>
      </w:r>
      <w:r w:rsidRPr="00A872BE">
        <w:rPr>
          <w:i/>
          <w:iCs/>
        </w:rPr>
        <w:t>Hrvatski</w:t>
      </w:r>
      <w:r w:rsidRPr="00A872BE">
        <w:t>).</w:t>
      </w:r>
    </w:p>
  </w:footnote>
  <w:footnote w:id="129">
    <w:p w14:paraId="519FBAC2" w14:textId="4D23DEA8" w:rsidR="003C7624" w:rsidRPr="00A872BE" w:rsidRDefault="003C7624" w:rsidP="003820BE">
      <w:pPr>
        <w:pStyle w:val="FootnoteText"/>
        <w:jc w:val="both"/>
      </w:pPr>
      <w:r w:rsidRPr="00B05249">
        <w:rPr>
          <w:rStyle w:val="FootnoteReference"/>
        </w:rPr>
        <w:footnoteRef/>
      </w:r>
      <w:r w:rsidRPr="00A872BE">
        <w:t xml:space="preserve"> Dissenting Opinion rechter Serghides</w:t>
      </w:r>
      <w:r w:rsidR="000968AC" w:rsidRPr="00A872BE">
        <w:t xml:space="preserve"> bij</w:t>
      </w:r>
      <w:r w:rsidRPr="00A872BE">
        <w:t xml:space="preserve"> EHRM 14 december 2023, 59433/18, </w:t>
      </w:r>
      <w:r w:rsidR="000968AC" w:rsidRPr="00A872BE">
        <w:t>[</w:t>
      </w:r>
      <w:r w:rsidRPr="00A872BE">
        <w:t>…</w:t>
      </w:r>
      <w:r w:rsidR="000968AC" w:rsidRPr="00A872BE">
        <w:t>]</w:t>
      </w:r>
      <w:r w:rsidR="009A0070" w:rsidRPr="00A872BE">
        <w:t>, par. 5-14</w:t>
      </w:r>
      <w:r w:rsidRPr="00A872BE">
        <w:t xml:space="preserve"> (</w:t>
      </w:r>
      <w:r w:rsidRPr="00A872BE">
        <w:rPr>
          <w:i/>
          <w:iCs/>
        </w:rPr>
        <w:t>Humpert</w:t>
      </w:r>
      <w:r w:rsidRPr="00A872BE">
        <w:t>).</w:t>
      </w:r>
    </w:p>
  </w:footnote>
  <w:footnote w:id="130">
    <w:p w14:paraId="41AB4B16" w14:textId="77777777" w:rsidR="002F4B10" w:rsidRPr="00A872BE" w:rsidRDefault="002F4B10" w:rsidP="003820BE">
      <w:pPr>
        <w:pStyle w:val="FootnoteText"/>
        <w:jc w:val="both"/>
      </w:pPr>
      <w:r w:rsidRPr="00B05249">
        <w:rPr>
          <w:rStyle w:val="FootnoteReference"/>
        </w:rPr>
        <w:footnoteRef/>
      </w:r>
      <w:r w:rsidRPr="00A872BE">
        <w:t xml:space="preserve"> EHRM 10 juni 2021, 45487/17 (</w:t>
      </w:r>
      <w:r w:rsidRPr="00A872BE">
        <w:rPr>
          <w:i/>
          <w:iCs/>
        </w:rPr>
        <w:t>Holship</w:t>
      </w:r>
      <w:r w:rsidRPr="00A872BE">
        <w:t xml:space="preserve">). </w:t>
      </w:r>
    </w:p>
  </w:footnote>
  <w:footnote w:id="131">
    <w:p w14:paraId="78EF9106" w14:textId="371FD27B" w:rsidR="007E5CFC" w:rsidRPr="007C528B" w:rsidRDefault="007E5CFC" w:rsidP="003820BE">
      <w:pPr>
        <w:pStyle w:val="FootnoteText"/>
        <w:jc w:val="both"/>
      </w:pPr>
      <w:r w:rsidRPr="007C528B">
        <w:rPr>
          <w:rStyle w:val="FootnoteReference"/>
        </w:rPr>
        <w:footnoteRef/>
      </w:r>
      <w:r w:rsidRPr="007C528B">
        <w:t xml:space="preserve"> </w:t>
      </w:r>
      <w:r w:rsidR="00842A0C">
        <w:t>Zie</w:t>
      </w:r>
      <w:r w:rsidRPr="007C528B">
        <w:t xml:space="preserve"> artikel 31 van de Overeenkomst betreffende de Europese Economische Ruimte (EER-Overeenkomst)</w:t>
      </w:r>
      <w:r w:rsidR="00D15AAD">
        <w:t>,</w:t>
      </w:r>
      <w:r w:rsidR="00D15AAD" w:rsidRPr="00D15AAD">
        <w:t xml:space="preserve"> </w:t>
      </w:r>
      <w:r w:rsidR="00D15AAD">
        <w:t>dat</w:t>
      </w:r>
      <w:r w:rsidR="00D15AAD" w:rsidRPr="007C528B">
        <w:t xml:space="preserve"> </w:t>
      </w:r>
      <w:r w:rsidR="00D15AAD">
        <w:t>correspondeert</w:t>
      </w:r>
      <w:r w:rsidR="00D15AAD" w:rsidRPr="007C528B">
        <w:t xml:space="preserve"> </w:t>
      </w:r>
      <w:r w:rsidR="00D15AAD">
        <w:t>met</w:t>
      </w:r>
      <w:r w:rsidR="00D15AAD" w:rsidRPr="007C528B">
        <w:t xml:space="preserve"> artikel 49 VwEU</w:t>
      </w:r>
      <w:r w:rsidRPr="007C528B">
        <w:t>.</w:t>
      </w:r>
      <w:r w:rsidR="00C12054" w:rsidRPr="007C528B">
        <w:t xml:space="preserve"> </w:t>
      </w:r>
      <w:r w:rsidR="00D15AAD">
        <w:t>De</w:t>
      </w:r>
      <w:r w:rsidR="00C12054" w:rsidRPr="007C528B">
        <w:t xml:space="preserve"> </w:t>
      </w:r>
      <w:r w:rsidR="00D15AAD">
        <w:t>EER-</w:t>
      </w:r>
      <w:r w:rsidR="00C12054" w:rsidRPr="007C528B">
        <w:t xml:space="preserve">overeenkomst </w:t>
      </w:r>
      <w:r w:rsidR="00D15AAD">
        <w:t>is</w:t>
      </w:r>
      <w:r w:rsidR="00D15AAD" w:rsidRPr="007C528B">
        <w:t xml:space="preserve"> </w:t>
      </w:r>
      <w:r w:rsidR="00C12054" w:rsidRPr="007C528B">
        <w:t>gesloten tussen de E</w:t>
      </w:r>
      <w:r w:rsidR="00FF2895">
        <w:t xml:space="preserve">uropese </w:t>
      </w:r>
      <w:r w:rsidR="00C12054" w:rsidRPr="007C528B">
        <w:t>U</w:t>
      </w:r>
      <w:r w:rsidR="00FF2895">
        <w:t>nie</w:t>
      </w:r>
      <w:r w:rsidR="00C12054" w:rsidRPr="007C528B">
        <w:t xml:space="preserve"> en drie landen van de Europese Vrijhandelsassociatie (EVA), te weten Liechtenstein, Noorwegen en IJsland. De EER-landen hebben toegang tot de interne markt van de EU en zijn zelf ook gebonden aan de </w:t>
      </w:r>
      <w:r w:rsidR="00D15AAD">
        <w:t>vrij</w:t>
      </w:r>
      <w:r w:rsidR="00D15AAD" w:rsidRPr="007C528B">
        <w:t xml:space="preserve"> </w:t>
      </w:r>
      <w:r w:rsidR="00D15AAD">
        <w:t>verkeers</w:t>
      </w:r>
      <w:r w:rsidR="00C12054" w:rsidRPr="007C528B">
        <w:t>regels.</w:t>
      </w:r>
    </w:p>
  </w:footnote>
  <w:footnote w:id="132">
    <w:p w14:paraId="084903DE" w14:textId="7D40A5E9" w:rsidR="007E5CFC" w:rsidRPr="007C528B" w:rsidRDefault="007E5CFC" w:rsidP="003820BE">
      <w:pPr>
        <w:pStyle w:val="FootnoteText"/>
        <w:jc w:val="both"/>
      </w:pPr>
      <w:r w:rsidRPr="007C528B">
        <w:rPr>
          <w:rStyle w:val="FootnoteReference"/>
        </w:rPr>
        <w:footnoteRef/>
      </w:r>
      <w:r w:rsidRPr="007C528B">
        <w:t xml:space="preserve"> </w:t>
      </w:r>
      <w:r w:rsidR="0095125D" w:rsidRPr="007C528B">
        <w:t xml:space="preserve">Ditmaal niet het </w:t>
      </w:r>
      <w:r w:rsidR="00D15AAD">
        <w:t>HvJ</w:t>
      </w:r>
      <w:r w:rsidR="0095125D" w:rsidRPr="007C528B">
        <w:t xml:space="preserve"> </w:t>
      </w:r>
      <w:r w:rsidR="0028771D" w:rsidRPr="007C528B">
        <w:t>EU</w:t>
      </w:r>
      <w:r w:rsidR="0095125D" w:rsidRPr="007C528B">
        <w:t xml:space="preserve">, maar het </w:t>
      </w:r>
      <w:r w:rsidRPr="007C528B">
        <w:t xml:space="preserve">Hof </w:t>
      </w:r>
      <w:r w:rsidR="0095125D" w:rsidRPr="007C528B">
        <w:t>van de Europese Vrijhandelsassociatie</w:t>
      </w:r>
      <w:r w:rsidR="00FF2895">
        <w:t xml:space="preserve"> (EVA-Hof)</w:t>
      </w:r>
      <w:r w:rsidR="0095125D" w:rsidRPr="007C528B">
        <w:t xml:space="preserve">. Het EVA-Hof </w:t>
      </w:r>
      <w:r w:rsidR="0028771D" w:rsidRPr="007C528B">
        <w:t>kan</w:t>
      </w:r>
      <w:r w:rsidR="0095125D" w:rsidRPr="007C528B">
        <w:t xml:space="preserve"> prejudiciële uitspraken doen </w:t>
      </w:r>
      <w:r w:rsidR="00E57516" w:rsidRPr="007C528B">
        <w:t xml:space="preserve">in de vorm van een advies </w:t>
      </w:r>
      <w:r w:rsidR="0011034F" w:rsidRPr="007C528B">
        <w:t>omtrent de interpretatie van de EER-Overeenkomst</w:t>
      </w:r>
      <w:r w:rsidR="0095125D" w:rsidRPr="007C528B">
        <w:t>.</w:t>
      </w:r>
    </w:p>
  </w:footnote>
  <w:footnote w:id="133">
    <w:p w14:paraId="5C009FDF" w14:textId="5EA44A47" w:rsidR="008002B9" w:rsidRPr="007C528B" w:rsidRDefault="008002B9" w:rsidP="003820BE">
      <w:pPr>
        <w:pStyle w:val="FootnoteText"/>
        <w:jc w:val="both"/>
      </w:pPr>
      <w:r w:rsidRPr="007C528B">
        <w:rPr>
          <w:rStyle w:val="FootnoteReference"/>
        </w:rPr>
        <w:footnoteRef/>
      </w:r>
      <w:r w:rsidRPr="007C528B">
        <w:t xml:space="preserve"> EVA-Hof 19 april 2016, E-14/15 (</w:t>
      </w:r>
      <w:r w:rsidRPr="007C528B">
        <w:rPr>
          <w:i/>
          <w:iCs/>
        </w:rPr>
        <w:t>Holship</w:t>
      </w:r>
      <w:r w:rsidRPr="007C528B">
        <w:t>).</w:t>
      </w:r>
    </w:p>
  </w:footnote>
  <w:footnote w:id="134">
    <w:p w14:paraId="03249EB3" w14:textId="62F7D769" w:rsidR="001F1F56" w:rsidRPr="007C528B" w:rsidRDefault="001F1F56" w:rsidP="003820BE">
      <w:pPr>
        <w:pStyle w:val="FootnoteText"/>
        <w:jc w:val="both"/>
      </w:pPr>
      <w:r w:rsidRPr="007C528B">
        <w:rPr>
          <w:rStyle w:val="FootnoteReference"/>
        </w:rPr>
        <w:footnoteRef/>
      </w:r>
      <w:r w:rsidRPr="007C528B">
        <w:t xml:space="preserve"> Opgemerkt zij dat het EVA-Hof uitdrukkelijk </w:t>
      </w:r>
      <w:r w:rsidR="00FF2895">
        <w:t>sprak</w:t>
      </w:r>
      <w:r w:rsidRPr="007C528B">
        <w:t xml:space="preserve"> van ‘</w:t>
      </w:r>
      <w:r w:rsidRPr="007C528B">
        <w:rPr>
          <w:i/>
          <w:iCs/>
        </w:rPr>
        <w:t>verbetering van arbeidsomstandigheden</w:t>
      </w:r>
      <w:r w:rsidRPr="007C528B">
        <w:t xml:space="preserve">’ </w:t>
      </w:r>
      <w:r w:rsidR="0039042B" w:rsidRPr="007C528B">
        <w:t xml:space="preserve">(r.o. 126) </w:t>
      </w:r>
      <w:r w:rsidRPr="007C528B">
        <w:t xml:space="preserve">en </w:t>
      </w:r>
      <w:r w:rsidR="008657DA">
        <w:t xml:space="preserve">van </w:t>
      </w:r>
      <w:r w:rsidRPr="007C528B">
        <w:t>het ‘</w:t>
      </w:r>
      <w:r w:rsidRPr="007C528B">
        <w:rPr>
          <w:i/>
          <w:iCs/>
        </w:rPr>
        <w:t>bevorderen van [werknemers]belangen</w:t>
      </w:r>
      <w:r w:rsidRPr="007C528B">
        <w:t>’</w:t>
      </w:r>
      <w:r w:rsidR="0039042B" w:rsidRPr="0039042B">
        <w:t xml:space="preserve"> </w:t>
      </w:r>
      <w:r w:rsidR="0039042B" w:rsidRPr="007C528B">
        <w:t>(r.o. 127)</w:t>
      </w:r>
      <w:r w:rsidRPr="007C528B">
        <w:t>. Dit ondersteunt Laaglands standpunt (</w:t>
      </w:r>
      <w:r w:rsidR="00492C87">
        <w:t>par. 2.2</w:t>
      </w:r>
      <w:r w:rsidRPr="007C528B">
        <w:t xml:space="preserve">) dat niet alleen </w:t>
      </w:r>
      <w:r w:rsidRPr="007C528B">
        <w:rPr>
          <w:i/>
          <w:iCs/>
        </w:rPr>
        <w:t>bescherming</w:t>
      </w:r>
      <w:r w:rsidRPr="007C528B">
        <w:t xml:space="preserve">, maar ook </w:t>
      </w:r>
      <w:r w:rsidRPr="007C528B">
        <w:rPr>
          <w:i/>
          <w:iCs/>
        </w:rPr>
        <w:t>verbetering</w:t>
      </w:r>
      <w:r w:rsidRPr="007C528B">
        <w:t xml:space="preserve"> van arbeidsvoorwaarden als legitiem doel kan dienen.</w:t>
      </w:r>
    </w:p>
  </w:footnote>
  <w:footnote w:id="135">
    <w:p w14:paraId="72730424" w14:textId="380C9E37" w:rsidR="007D47F7" w:rsidRPr="007C528B" w:rsidRDefault="007D47F7" w:rsidP="003820BE">
      <w:pPr>
        <w:pStyle w:val="FootnoteText"/>
        <w:jc w:val="both"/>
      </w:pPr>
      <w:r w:rsidRPr="007C528B">
        <w:rPr>
          <w:rStyle w:val="FootnoteReference"/>
        </w:rPr>
        <w:footnoteRef/>
      </w:r>
      <w:r w:rsidRPr="007C528B">
        <w:t xml:space="preserve"> Kritisch </w:t>
      </w:r>
      <w:r w:rsidR="00C34C3C">
        <w:t>op dit oordeel</w:t>
      </w:r>
      <w:r w:rsidR="00950689">
        <w:t>:</w:t>
      </w:r>
      <w:r w:rsidRPr="007C528B">
        <w:t xml:space="preserve"> Hendy &amp; Novitz, </w:t>
      </w:r>
      <w:r w:rsidRPr="007C528B">
        <w:rPr>
          <w:i/>
          <w:iCs/>
        </w:rPr>
        <w:t>ILJ</w:t>
      </w:r>
      <w:r w:rsidRPr="007C528B">
        <w:t xml:space="preserve"> 2018, p. 330. Volgens deze auteurs werd </w:t>
      </w:r>
      <w:r w:rsidR="00AF527D" w:rsidRPr="007C528B">
        <w:t xml:space="preserve">door </w:t>
      </w:r>
      <w:r w:rsidR="00AF527D" w:rsidRPr="007C528B">
        <w:rPr>
          <w:i/>
          <w:iCs/>
        </w:rPr>
        <w:t xml:space="preserve">Holship </w:t>
      </w:r>
      <w:r w:rsidRPr="007C528B">
        <w:t xml:space="preserve">gepoogd om met goedkopere en flexibel inzetbare ‘eigen’ arbeidskrachten dokwerkzaamheden uit te voeren, </w:t>
      </w:r>
      <w:r w:rsidR="00BF4D8F">
        <w:t>hetgeen</w:t>
      </w:r>
      <w:r w:rsidRPr="007C528B">
        <w:t xml:space="preserve"> (uiteindelijk) alle werknemers in de betreffende branche</w:t>
      </w:r>
      <w:r w:rsidR="00666D5C" w:rsidRPr="007C528B">
        <w:t xml:space="preserve"> </w:t>
      </w:r>
      <w:r w:rsidR="00666D5C">
        <w:t>benadeelt</w:t>
      </w:r>
      <w:r w:rsidRPr="007C528B">
        <w:t>.</w:t>
      </w:r>
    </w:p>
  </w:footnote>
  <w:footnote w:id="136">
    <w:p w14:paraId="551F37EE" w14:textId="080BA67F" w:rsidR="00914EFB" w:rsidRPr="007C528B" w:rsidRDefault="00914EFB" w:rsidP="003820BE">
      <w:pPr>
        <w:pStyle w:val="FootnoteText"/>
        <w:jc w:val="both"/>
      </w:pPr>
      <w:r w:rsidRPr="007C528B">
        <w:rPr>
          <w:rStyle w:val="FootnoteReference"/>
        </w:rPr>
        <w:footnoteRef/>
      </w:r>
      <w:r w:rsidRPr="007C528B">
        <w:t xml:space="preserve"> </w:t>
      </w:r>
      <w:r w:rsidR="0053538F">
        <w:t>D</w:t>
      </w:r>
      <w:r w:rsidR="006A2958" w:rsidRPr="007C528B">
        <w:t>e minderheidsopvatting</w:t>
      </w:r>
      <w:r w:rsidR="0053538F">
        <w:t xml:space="preserve"> (zeven van de zeventien rechters)</w:t>
      </w:r>
      <w:r w:rsidRPr="007C528B">
        <w:t xml:space="preserve"> </w:t>
      </w:r>
      <w:r w:rsidR="0053538F">
        <w:t xml:space="preserve">was </w:t>
      </w:r>
      <w:r w:rsidRPr="007C528B">
        <w:t xml:space="preserve">dat </w:t>
      </w:r>
      <w:r w:rsidR="0053538F">
        <w:t>de</w:t>
      </w:r>
      <w:r w:rsidRPr="007C528B">
        <w:t xml:space="preserve"> boycot het enige middel was om de op zichtzelf legitieme cao</w:t>
      </w:r>
      <w:r w:rsidR="004C3514" w:rsidRPr="007C528B">
        <w:t>-clausule</w:t>
      </w:r>
      <w:r w:rsidRPr="007C528B">
        <w:t xml:space="preserve"> af te dwingen.</w:t>
      </w:r>
      <w:r w:rsidR="00CA0F53" w:rsidRPr="007C528B">
        <w:t xml:space="preserve"> Op zichzelf legitiem, omdat het Noorse Hooggerechtshof</w:t>
      </w:r>
      <w:r w:rsidR="008566ED" w:rsidRPr="007C528B">
        <w:t xml:space="preserve"> </w:t>
      </w:r>
      <w:r w:rsidR="00D6425D" w:rsidRPr="007C528B">
        <w:t>aldus had overwogen</w:t>
      </w:r>
      <w:r w:rsidR="00CA0F53" w:rsidRPr="007C528B">
        <w:t xml:space="preserve"> in een eerdere uitspraak</w:t>
      </w:r>
      <w:r w:rsidR="004C3514" w:rsidRPr="007C528B">
        <w:t xml:space="preserve"> waarin geen beroep werd gedaan op het vrij verkeer</w:t>
      </w:r>
      <w:r w:rsidR="00FB19FA" w:rsidRPr="007C528B">
        <w:t>.</w:t>
      </w:r>
    </w:p>
  </w:footnote>
  <w:footnote w:id="137">
    <w:p w14:paraId="370B9CDA" w14:textId="44F9EB9B" w:rsidR="00344288" w:rsidRPr="007C528B" w:rsidRDefault="00344288" w:rsidP="003820BE">
      <w:pPr>
        <w:pStyle w:val="FootnoteText"/>
        <w:jc w:val="both"/>
      </w:pPr>
      <w:r w:rsidRPr="007C528B">
        <w:rPr>
          <w:rStyle w:val="FootnoteReference"/>
        </w:rPr>
        <w:footnoteRef/>
      </w:r>
      <w:r w:rsidRPr="007C528B">
        <w:t xml:space="preserve"> Deze formulering is ten opzichte van die in </w:t>
      </w:r>
      <w:r w:rsidR="00063258">
        <w:t xml:space="preserve">het </w:t>
      </w:r>
      <w:r w:rsidRPr="007C528B">
        <w:rPr>
          <w:i/>
          <w:iCs/>
        </w:rPr>
        <w:t>Hrvatski</w:t>
      </w:r>
      <w:r w:rsidR="00063258">
        <w:t>-arrest (r.o. 59)</w:t>
      </w:r>
      <w:r w:rsidR="00C76CA2">
        <w:t xml:space="preserve"> </w:t>
      </w:r>
      <w:r w:rsidRPr="007C528B">
        <w:t xml:space="preserve">nog </w:t>
      </w:r>
      <w:r w:rsidR="00EA6C98" w:rsidRPr="007C528B">
        <w:t>sterker</w:t>
      </w:r>
      <w:r w:rsidRPr="007C528B">
        <w:t>.</w:t>
      </w:r>
    </w:p>
  </w:footnote>
  <w:footnote w:id="138">
    <w:p w14:paraId="24CEC6BC" w14:textId="3F68A7C2" w:rsidR="00C80E83" w:rsidRPr="007C528B" w:rsidRDefault="00C80E83" w:rsidP="003820BE">
      <w:pPr>
        <w:pStyle w:val="FootnoteText"/>
        <w:jc w:val="both"/>
      </w:pPr>
      <w:r w:rsidRPr="007C528B">
        <w:rPr>
          <w:rStyle w:val="FootnoteReference"/>
        </w:rPr>
        <w:footnoteRef/>
      </w:r>
      <w:r w:rsidRPr="007C528B">
        <w:t xml:space="preserve"> Dit sluit aan bij het </w:t>
      </w:r>
      <w:r w:rsidRPr="007C528B">
        <w:rPr>
          <w:i/>
          <w:iCs/>
        </w:rPr>
        <w:t>Unison</w:t>
      </w:r>
      <w:r w:rsidR="00CB786C">
        <w:t>-</w:t>
      </w:r>
      <w:r w:rsidR="00CB786C" w:rsidRPr="007C528B">
        <w:t>arrest</w:t>
      </w:r>
      <w:r w:rsidRPr="007C528B">
        <w:t>, waarin het economisch belang van de werkgever kwalificeerde als legitiem doel.</w:t>
      </w:r>
    </w:p>
  </w:footnote>
  <w:footnote w:id="139">
    <w:p w14:paraId="0969B2B2" w14:textId="66F31334" w:rsidR="00E54F60" w:rsidRPr="007C528B" w:rsidRDefault="00E54F60" w:rsidP="003820BE">
      <w:pPr>
        <w:pStyle w:val="FootnoteText"/>
        <w:jc w:val="both"/>
      </w:pPr>
      <w:r w:rsidRPr="007C528B">
        <w:rPr>
          <w:rStyle w:val="FootnoteReference"/>
        </w:rPr>
        <w:footnoteRef/>
      </w:r>
      <w:r w:rsidRPr="007C528B">
        <w:t xml:space="preserve"> EHRM 30 juni 2005, 45036/98 (</w:t>
      </w:r>
      <w:r w:rsidRPr="007C528B">
        <w:rPr>
          <w:i/>
          <w:iCs/>
        </w:rPr>
        <w:t>Bosphorus</w:t>
      </w:r>
      <w:r w:rsidRPr="007C528B">
        <w:t>).</w:t>
      </w:r>
    </w:p>
  </w:footnote>
  <w:footnote w:id="140">
    <w:p w14:paraId="36F90652" w14:textId="3F30CDD7" w:rsidR="00E54F60" w:rsidRPr="007C528B" w:rsidRDefault="00E54F60" w:rsidP="003820BE">
      <w:pPr>
        <w:pStyle w:val="FootnoteText"/>
        <w:jc w:val="both"/>
      </w:pPr>
      <w:r w:rsidRPr="007C528B">
        <w:rPr>
          <w:rStyle w:val="FootnoteReference"/>
        </w:rPr>
        <w:footnoteRef/>
      </w:r>
      <w:r w:rsidRPr="007C528B">
        <w:t xml:space="preserve"> Ondanks dat dit een hoge drempel </w:t>
      </w:r>
      <w:r w:rsidR="00743D6E">
        <w:t>is</w:t>
      </w:r>
      <w:r w:rsidRPr="007C528B">
        <w:t>, valt mijns inziens niet uit te sluiten dat deze uitzondering van toepassing is op een geval waarin het HvJ de bescherming van grondrechten plaatst in het kader van de interne markt. Zie</w:t>
      </w:r>
      <w:r w:rsidR="00DC7692">
        <w:t xml:space="preserve"> hierover</w:t>
      </w:r>
      <w:r w:rsidRPr="007C528B">
        <w:t xml:space="preserve"> </w:t>
      </w:r>
      <w:r w:rsidR="007E0776">
        <w:t xml:space="preserve">ook </w:t>
      </w:r>
      <w:r w:rsidR="008657DA" w:rsidRPr="007C528B">
        <w:t xml:space="preserve">Stylogiannis, </w:t>
      </w:r>
      <w:r w:rsidR="008657DA" w:rsidRPr="007C528B">
        <w:rPr>
          <w:i/>
          <w:iCs/>
        </w:rPr>
        <w:t>CLL&amp;PJ</w:t>
      </w:r>
      <w:r w:rsidR="008657DA" w:rsidRPr="007C528B">
        <w:t xml:space="preserve"> 2021, p. 7-8</w:t>
      </w:r>
      <w:r w:rsidR="008657DA">
        <w:t xml:space="preserve">; </w:t>
      </w:r>
      <w:r w:rsidRPr="007C528B">
        <w:t xml:space="preserve">Graver, </w:t>
      </w:r>
      <w:r w:rsidRPr="007C528B">
        <w:rPr>
          <w:i/>
          <w:iCs/>
        </w:rPr>
        <w:t>ERA Forum</w:t>
      </w:r>
      <w:r w:rsidRPr="007C528B">
        <w:t xml:space="preserve"> 2022, p. 31; Ellingsen, </w:t>
      </w:r>
      <w:r w:rsidRPr="007C528B">
        <w:rPr>
          <w:i/>
          <w:iCs/>
        </w:rPr>
        <w:t>CMLR</w:t>
      </w:r>
      <w:r w:rsidRPr="007C528B">
        <w:t xml:space="preserve"> 2022, p. 602-603.</w:t>
      </w:r>
    </w:p>
  </w:footnote>
  <w:footnote w:id="141">
    <w:p w14:paraId="4B795514" w14:textId="77777777" w:rsidR="00AC6602" w:rsidRPr="007C528B" w:rsidRDefault="00AC6602" w:rsidP="003820BE">
      <w:pPr>
        <w:pStyle w:val="FootnoteText"/>
        <w:jc w:val="both"/>
      </w:pPr>
      <w:r w:rsidRPr="007C528B">
        <w:rPr>
          <w:rStyle w:val="FootnoteReference"/>
        </w:rPr>
        <w:footnoteRef/>
      </w:r>
      <w:r w:rsidRPr="007C528B">
        <w:t xml:space="preserve"> Een definitief oordeel </w:t>
      </w:r>
      <w:r>
        <w:t>hierover</w:t>
      </w:r>
      <w:r w:rsidRPr="007C528B">
        <w:t xml:space="preserve"> bewaarde het EHRM voor een andere zaak.</w:t>
      </w:r>
    </w:p>
  </w:footnote>
  <w:footnote w:id="142">
    <w:p w14:paraId="23B5E409" w14:textId="00D7B393" w:rsidR="0055455A" w:rsidRPr="007C528B" w:rsidRDefault="0055455A" w:rsidP="003820BE">
      <w:pPr>
        <w:pStyle w:val="FootnoteText"/>
        <w:jc w:val="both"/>
      </w:pPr>
      <w:r w:rsidRPr="007C528B">
        <w:rPr>
          <w:rStyle w:val="FootnoteReference"/>
        </w:rPr>
        <w:footnoteRef/>
      </w:r>
      <w:r w:rsidRPr="007C528B">
        <w:t xml:space="preserve"> Graver, </w:t>
      </w:r>
      <w:r w:rsidRPr="007C528B">
        <w:rPr>
          <w:i/>
          <w:iCs/>
        </w:rPr>
        <w:t>ERA Forum</w:t>
      </w:r>
      <w:r w:rsidRPr="007C528B">
        <w:t xml:space="preserve"> 2022, p. 29, schrijft de</w:t>
      </w:r>
      <w:r w:rsidR="00C20B4B">
        <w:t>ze</w:t>
      </w:r>
      <w:r w:rsidRPr="007C528B">
        <w:t xml:space="preserve"> ruime beoordelingsmarge toe aan de specifieke omstandigheden van </w:t>
      </w:r>
      <w:r w:rsidR="00FA2863" w:rsidRPr="007C528B">
        <w:t>het geval</w:t>
      </w:r>
      <w:r w:rsidRPr="007C528B">
        <w:t xml:space="preserve">: </w:t>
      </w:r>
      <w:r w:rsidR="00FA2863" w:rsidRPr="007C528B">
        <w:t xml:space="preserve">(1) </w:t>
      </w:r>
      <w:r w:rsidRPr="007C528B">
        <w:t>de boycot was gericht tegen een derde partij (</w:t>
      </w:r>
      <w:r w:rsidRPr="007C528B">
        <w:rPr>
          <w:i/>
          <w:iCs/>
        </w:rPr>
        <w:t>Holship</w:t>
      </w:r>
      <w:r w:rsidRPr="007C528B">
        <w:t>)</w:t>
      </w:r>
      <w:r w:rsidR="00FA2863" w:rsidRPr="007C528B">
        <w:t>; (2)</w:t>
      </w:r>
      <w:r w:rsidRPr="007C528B">
        <w:t xml:space="preserve"> de </w:t>
      </w:r>
      <w:r w:rsidR="00B04F96" w:rsidRPr="007C528B">
        <w:t>prioriteits</w:t>
      </w:r>
      <w:r w:rsidRPr="007C528B">
        <w:t xml:space="preserve">clausule benadeelde werknemers in dienst van </w:t>
      </w:r>
      <w:r w:rsidRPr="007C528B">
        <w:rPr>
          <w:i/>
          <w:iCs/>
        </w:rPr>
        <w:t>Holship</w:t>
      </w:r>
      <w:r w:rsidR="00FA2863" w:rsidRPr="007C528B">
        <w:t>;</w:t>
      </w:r>
      <w:r w:rsidRPr="007C528B">
        <w:t xml:space="preserve"> en </w:t>
      </w:r>
      <w:r w:rsidR="00FA2863" w:rsidRPr="007C528B">
        <w:t xml:space="preserve">(3) </w:t>
      </w:r>
      <w:r w:rsidRPr="007C528B">
        <w:t xml:space="preserve">partijen hadden ná de uitspraak van het Hooggerechtshof een nieuwe cao gesloten, waardoor de boycot klaarblijkelijk niet in de weg </w:t>
      </w:r>
      <w:r w:rsidR="00340BE6" w:rsidRPr="007C528B">
        <w:t>had gestaan</w:t>
      </w:r>
      <w:r w:rsidRPr="007C528B">
        <w:t xml:space="preserve"> aan het collectie</w:t>
      </w:r>
      <w:r w:rsidR="002F0DD3" w:rsidRPr="007C528B">
        <w:t>f</w:t>
      </w:r>
      <w:r w:rsidRPr="007C528B">
        <w:t xml:space="preserve"> onderhandelingsproces als zodanig. </w:t>
      </w:r>
      <w:r w:rsidR="00953429" w:rsidRPr="007C528B">
        <w:t xml:space="preserve">Gelet op de onderlinge verschillen tussen </w:t>
      </w:r>
      <w:r w:rsidR="00C20B4B">
        <w:t xml:space="preserve">de </w:t>
      </w:r>
      <w:r w:rsidR="00953429" w:rsidRPr="007C528B">
        <w:t>lidstaten in de manier waarop tegen het stakingsrecht wordt aangekeken</w:t>
      </w:r>
      <w:r w:rsidR="00651763">
        <w:t>,</w:t>
      </w:r>
      <w:r w:rsidR="006041F2" w:rsidRPr="007C528B">
        <w:t xml:space="preserve"> alsmede het </w:t>
      </w:r>
      <w:r w:rsidR="003B23FB" w:rsidRPr="007C528B">
        <w:t xml:space="preserve">politiek </w:t>
      </w:r>
      <w:r w:rsidR="006041F2" w:rsidRPr="007C528B">
        <w:t>gevoelige karakter van dit onderwerp,</w:t>
      </w:r>
      <w:r w:rsidR="00953429" w:rsidRPr="007C528B">
        <w:t xml:space="preserve"> is mijns inziens niet uitgesloten dat het </w:t>
      </w:r>
      <w:r w:rsidR="006041F2" w:rsidRPr="007C528B">
        <w:t>EHRM ook bij een ander feitencomplex aan lidstaten een</w:t>
      </w:r>
      <w:r w:rsidR="00901CD0" w:rsidRPr="007C528B">
        <w:t xml:space="preserve"> (net zo)</w:t>
      </w:r>
      <w:r w:rsidR="006041F2" w:rsidRPr="007C528B">
        <w:t xml:space="preserve"> ruime appreciatiemarge zal toekennen.</w:t>
      </w:r>
      <w:r w:rsidR="003F241C" w:rsidRPr="007C528B">
        <w:t xml:space="preserve"> </w:t>
      </w:r>
      <w:r w:rsidR="00166362" w:rsidRPr="007C528B">
        <w:t>Tegelijkertijd</w:t>
      </w:r>
      <w:r w:rsidR="003F241C" w:rsidRPr="007C528B">
        <w:t xml:space="preserve"> moet worden geconstateerd dat voor zover</w:t>
      </w:r>
      <w:r w:rsidR="00C20B4B">
        <w:t xml:space="preserve"> in een casus</w:t>
      </w:r>
      <w:r w:rsidR="003F241C" w:rsidRPr="007C528B">
        <w:t xml:space="preserve"> </w:t>
      </w:r>
      <w:r w:rsidR="002F6C74">
        <w:t xml:space="preserve">de </w:t>
      </w:r>
      <w:r w:rsidR="009C6959" w:rsidRPr="007C528B">
        <w:t>effectieve</w:t>
      </w:r>
      <w:r w:rsidR="003F241C" w:rsidRPr="007C528B">
        <w:t xml:space="preserve"> uitoefening van het collectief onderhande</w:t>
      </w:r>
      <w:r w:rsidR="0030011E" w:rsidRPr="007C528B">
        <w:t>lingsrecht</w:t>
      </w:r>
      <w:r w:rsidR="00B8309F" w:rsidRPr="007C528B">
        <w:t>,</w:t>
      </w:r>
      <w:r w:rsidR="00C3188D" w:rsidRPr="007C528B">
        <w:t xml:space="preserve"> </w:t>
      </w:r>
      <w:r w:rsidR="00B8309F" w:rsidRPr="007C528B">
        <w:t xml:space="preserve">welk recht blijkens </w:t>
      </w:r>
      <w:r w:rsidR="00B8309F" w:rsidRPr="007C528B">
        <w:rPr>
          <w:i/>
          <w:iCs/>
        </w:rPr>
        <w:t xml:space="preserve">Demir II </w:t>
      </w:r>
      <w:r w:rsidR="00B8309F" w:rsidRPr="007C528B">
        <w:t xml:space="preserve">een kernaspect is van artikel 11 EVRM, </w:t>
      </w:r>
      <w:r w:rsidR="001E263D">
        <w:t xml:space="preserve">ernstig wordt bemoeilijkt, </w:t>
      </w:r>
      <w:r w:rsidR="00340BE6" w:rsidRPr="007C528B">
        <w:t>niet is uitgesloten dat</w:t>
      </w:r>
      <w:r w:rsidR="003F241C" w:rsidRPr="007C528B">
        <w:t xml:space="preserve"> een intensieve</w:t>
      </w:r>
      <w:r w:rsidR="00A912BB" w:rsidRPr="007C528B">
        <w:t>(</w:t>
      </w:r>
      <w:r w:rsidR="003F241C" w:rsidRPr="007C528B">
        <w:t>re</w:t>
      </w:r>
      <w:r w:rsidR="00A912BB" w:rsidRPr="007C528B">
        <w:t>)</w:t>
      </w:r>
      <w:r w:rsidR="003F241C" w:rsidRPr="007C528B">
        <w:t xml:space="preserve"> toetsing </w:t>
      </w:r>
      <w:r w:rsidR="00C20B4B">
        <w:t>zal plaatsvinden</w:t>
      </w:r>
      <w:r w:rsidR="0044491D" w:rsidRPr="007C528B">
        <w:t>,</w:t>
      </w:r>
      <w:r w:rsidR="009C6959" w:rsidRPr="007C528B">
        <w:t xml:space="preserve"> met </w:t>
      </w:r>
      <w:r w:rsidR="001E263D">
        <w:t xml:space="preserve">mogelijk </w:t>
      </w:r>
      <w:r w:rsidR="009C6959" w:rsidRPr="007C528B">
        <w:t xml:space="preserve">een andere uitkomst </w:t>
      </w:r>
      <w:r w:rsidR="0013637A" w:rsidRPr="007C528B">
        <w:t>als resultaat</w:t>
      </w:r>
      <w:r w:rsidR="003F241C" w:rsidRPr="007C528B">
        <w:t>.</w:t>
      </w:r>
      <w:r w:rsidR="0013637A" w:rsidRPr="007C528B">
        <w:t xml:space="preserve"> </w:t>
      </w:r>
      <w:r w:rsidR="0089431B" w:rsidRPr="007C528B">
        <w:t xml:space="preserve">Zie </w:t>
      </w:r>
      <w:r w:rsidR="001B4076" w:rsidRPr="007C528B">
        <w:t>in die zin</w:t>
      </w:r>
      <w:r w:rsidR="0089431B" w:rsidRPr="007C528B">
        <w:t xml:space="preserve"> Stylogiannis, </w:t>
      </w:r>
      <w:r w:rsidR="0089431B" w:rsidRPr="007C528B">
        <w:rPr>
          <w:i/>
          <w:iCs/>
        </w:rPr>
        <w:t>CLL&amp;PJ</w:t>
      </w:r>
      <w:r w:rsidR="0089431B" w:rsidRPr="007C528B">
        <w:t xml:space="preserve"> 2021, p. 9.</w:t>
      </w:r>
    </w:p>
  </w:footnote>
  <w:footnote w:id="143">
    <w:p w14:paraId="199A5632" w14:textId="0EFF41EA" w:rsidR="00A42E55" w:rsidRPr="007C528B" w:rsidRDefault="00A42E55" w:rsidP="003820BE">
      <w:pPr>
        <w:pStyle w:val="FootnoteText"/>
        <w:jc w:val="both"/>
      </w:pPr>
      <w:r w:rsidRPr="007C528B">
        <w:rPr>
          <w:rStyle w:val="FootnoteReference"/>
        </w:rPr>
        <w:footnoteRef/>
      </w:r>
      <w:r w:rsidRPr="007C528B">
        <w:t xml:space="preserve"> In zekere zin lijkt </w:t>
      </w:r>
      <w:r w:rsidR="00335239" w:rsidRPr="007C528B">
        <w:t xml:space="preserve">het </w:t>
      </w:r>
      <w:r w:rsidR="00C33884">
        <w:t>EHRM</w:t>
      </w:r>
      <w:r w:rsidR="00335239" w:rsidRPr="007C528B">
        <w:t xml:space="preserve"> hiermee </w:t>
      </w:r>
      <w:r w:rsidR="00C33884">
        <w:t>zijn</w:t>
      </w:r>
      <w:r w:rsidR="00A71C41">
        <w:t xml:space="preserve"> </w:t>
      </w:r>
      <w:r w:rsidRPr="007C528B">
        <w:rPr>
          <w:i/>
          <w:iCs/>
        </w:rPr>
        <w:t>Unison</w:t>
      </w:r>
      <w:r w:rsidR="00A71C41">
        <w:t>-arrest</w:t>
      </w:r>
      <w:r w:rsidR="006B7468" w:rsidRPr="007C528B">
        <w:t>, waarin</w:t>
      </w:r>
      <w:r w:rsidR="00F65031" w:rsidRPr="007C528B">
        <w:t xml:space="preserve"> </w:t>
      </w:r>
      <w:r w:rsidR="00DF684B" w:rsidRPr="007C528B">
        <w:t>het</w:t>
      </w:r>
      <w:r w:rsidR="00187C63" w:rsidRPr="007C528B">
        <w:t xml:space="preserve"> economisch</w:t>
      </w:r>
      <w:r w:rsidR="00DF684B" w:rsidRPr="007C528B">
        <w:t xml:space="preserve"> werkgeversbelang nog </w:t>
      </w:r>
      <w:r w:rsidR="006B7468" w:rsidRPr="007C528B">
        <w:t xml:space="preserve">van groot, zo niet </w:t>
      </w:r>
      <w:r w:rsidR="00F50695" w:rsidRPr="007C528B">
        <w:t>doorslaggevend</w:t>
      </w:r>
      <w:r w:rsidR="00F65031" w:rsidRPr="007C528B">
        <w:t xml:space="preserve"> gewicht</w:t>
      </w:r>
      <w:r w:rsidR="006B7468" w:rsidRPr="007C528B">
        <w:t xml:space="preserve"> was</w:t>
      </w:r>
      <w:r w:rsidR="00883E60">
        <w:t>,</w:t>
      </w:r>
      <w:r w:rsidR="00883E60" w:rsidRPr="00883E60">
        <w:t xml:space="preserve"> </w:t>
      </w:r>
      <w:r w:rsidR="00883E60" w:rsidRPr="007C528B">
        <w:t>te nuanceren</w:t>
      </w:r>
      <w:r w:rsidR="00F65031" w:rsidRPr="007C528B">
        <w:t>.</w:t>
      </w:r>
      <w:r w:rsidR="0055455A" w:rsidRPr="007C528B">
        <w:t xml:space="preserve"> Thans onderkent het </w:t>
      </w:r>
      <w:r w:rsidR="00C33884">
        <w:t>Hof</w:t>
      </w:r>
      <w:r w:rsidR="0055455A" w:rsidRPr="007C528B">
        <w:t xml:space="preserve"> </w:t>
      </w:r>
      <w:r w:rsidR="00182C49" w:rsidRPr="007C528B">
        <w:t xml:space="preserve">expliciet </w:t>
      </w:r>
      <w:r w:rsidR="0055455A" w:rsidRPr="007C528B">
        <w:t>dat het in de aard van een staking of boycot ligt om economisch nadeel toe te brengen.</w:t>
      </w:r>
    </w:p>
  </w:footnote>
  <w:footnote w:id="144">
    <w:p w14:paraId="3EAB2BBC" w14:textId="0615BBED" w:rsidR="001A749A" w:rsidRPr="007C528B" w:rsidRDefault="00CF567F" w:rsidP="003820BE">
      <w:pPr>
        <w:pStyle w:val="FootnoteText"/>
        <w:jc w:val="both"/>
      </w:pPr>
      <w:r w:rsidRPr="007C528B">
        <w:rPr>
          <w:rStyle w:val="FootnoteReference"/>
        </w:rPr>
        <w:footnoteRef/>
      </w:r>
      <w:r w:rsidRPr="007C528B">
        <w:t xml:space="preserve"> </w:t>
      </w:r>
      <w:r w:rsidR="001A749A" w:rsidRPr="007C528B">
        <w:t xml:space="preserve">De Vries, </w:t>
      </w:r>
      <w:r w:rsidR="001A749A" w:rsidRPr="007C528B">
        <w:rPr>
          <w:i/>
          <w:iCs/>
        </w:rPr>
        <w:t>NtE</w:t>
      </w:r>
      <w:r w:rsidR="001A749A">
        <w:rPr>
          <w:i/>
          <w:iCs/>
        </w:rPr>
        <w:t>r</w:t>
      </w:r>
      <w:r w:rsidR="001A749A" w:rsidRPr="007C528B">
        <w:t xml:space="preserve"> 2013, p. 130-131</w:t>
      </w:r>
      <w:r w:rsidR="001A749A">
        <w:t xml:space="preserve">; </w:t>
      </w:r>
      <w:r w:rsidR="001A749A" w:rsidRPr="007C528B">
        <w:t xml:space="preserve">Veldman, </w:t>
      </w:r>
      <w:r w:rsidR="001A749A" w:rsidRPr="007C528B">
        <w:rPr>
          <w:i/>
          <w:iCs/>
        </w:rPr>
        <w:t>ULR</w:t>
      </w:r>
      <w:r w:rsidR="001A749A" w:rsidRPr="007C528B">
        <w:t xml:space="preserve"> 2013, p. 113-114</w:t>
      </w:r>
      <w:r w:rsidR="001A749A">
        <w:t xml:space="preserve">; </w:t>
      </w:r>
      <w:r w:rsidR="002C3709" w:rsidRPr="007C528B">
        <w:t xml:space="preserve">Velyvyte, </w:t>
      </w:r>
      <w:r w:rsidR="002C3709" w:rsidRPr="007C528B">
        <w:rPr>
          <w:i/>
          <w:iCs/>
        </w:rPr>
        <w:t>HRLR</w:t>
      </w:r>
      <w:r w:rsidR="002C3709" w:rsidRPr="007C528B">
        <w:t xml:space="preserve"> 2015, p. 74-75</w:t>
      </w:r>
      <w:r w:rsidR="00572BE7" w:rsidRPr="007C528B">
        <w:t>,</w:t>
      </w:r>
      <w:r w:rsidR="00D36833" w:rsidRPr="007C528B">
        <w:t xml:space="preserve"> 92</w:t>
      </w:r>
      <w:r w:rsidR="00205DD1" w:rsidRPr="007C528B">
        <w:t>-93</w:t>
      </w:r>
      <w:r w:rsidR="00572BE7" w:rsidRPr="007C528B">
        <w:t xml:space="preserve"> &amp; 98</w:t>
      </w:r>
      <w:r w:rsidR="00787D00" w:rsidRPr="007C528B">
        <w:t>-99</w:t>
      </w:r>
      <w:r w:rsidR="002C3709" w:rsidRPr="007C528B">
        <w:t xml:space="preserve">; </w:t>
      </w:r>
      <w:r w:rsidR="007A58E4" w:rsidRPr="007C528B">
        <w:t>De Schutter 2017, p. 32-33;</w:t>
      </w:r>
      <w:r w:rsidR="00AC1D22">
        <w:t xml:space="preserve"> </w:t>
      </w:r>
      <w:r w:rsidR="00AC1D22" w:rsidRPr="007C528B">
        <w:t xml:space="preserve">Garben, </w:t>
      </w:r>
      <w:r w:rsidR="00AC1D22" w:rsidRPr="007C528B">
        <w:rPr>
          <w:i/>
          <w:iCs/>
        </w:rPr>
        <w:t xml:space="preserve">ELLJ </w:t>
      </w:r>
      <w:r w:rsidR="00AC1D22" w:rsidRPr="007C528B">
        <w:t>2020, p. 377</w:t>
      </w:r>
      <w:r w:rsidR="00AC1D22">
        <w:t>;</w:t>
      </w:r>
      <w:r w:rsidR="007A58E4" w:rsidRPr="007C528B">
        <w:t xml:space="preserve"> </w:t>
      </w:r>
      <w:r w:rsidR="00841C7C">
        <w:t xml:space="preserve">Barnard 2021, p. 818; </w:t>
      </w:r>
      <w:r w:rsidRPr="007C528B">
        <w:t xml:space="preserve">Stylogiannis, </w:t>
      </w:r>
      <w:r w:rsidRPr="007C528B">
        <w:rPr>
          <w:i/>
          <w:iCs/>
        </w:rPr>
        <w:t>CLL&amp;PJ</w:t>
      </w:r>
      <w:r w:rsidRPr="007C528B">
        <w:t xml:space="preserve"> 2021, p. 7-8; Graver, </w:t>
      </w:r>
      <w:r w:rsidRPr="007C528B">
        <w:rPr>
          <w:i/>
          <w:iCs/>
        </w:rPr>
        <w:t>ERA Forum</w:t>
      </w:r>
      <w:r w:rsidRPr="007C528B">
        <w:t xml:space="preserve"> 2022, par. 7-8; Ellingsen, </w:t>
      </w:r>
      <w:r w:rsidRPr="007C528B">
        <w:rPr>
          <w:i/>
          <w:iCs/>
        </w:rPr>
        <w:t>CMLR</w:t>
      </w:r>
      <w:r w:rsidRPr="007C528B">
        <w:t xml:space="preserve"> 2022, p. 584 &amp; par. 5.4.</w:t>
      </w:r>
    </w:p>
  </w:footnote>
  <w:footnote w:id="145">
    <w:p w14:paraId="39F26843" w14:textId="0BD71314" w:rsidR="00D62D21" w:rsidRPr="007C528B" w:rsidRDefault="00D62D21" w:rsidP="003820BE">
      <w:pPr>
        <w:pStyle w:val="FootnoteText"/>
        <w:jc w:val="both"/>
      </w:pPr>
      <w:r w:rsidRPr="007C528B">
        <w:rPr>
          <w:rStyle w:val="FootnoteReference"/>
        </w:rPr>
        <w:footnoteRef/>
      </w:r>
      <w:r w:rsidRPr="007C528B">
        <w:t xml:space="preserve"> Het ECSR heeft meermaals </w:t>
      </w:r>
      <w:r w:rsidR="00F91167" w:rsidRPr="007C528B">
        <w:t>overwogen</w:t>
      </w:r>
      <w:r w:rsidRPr="007C528B">
        <w:t xml:space="preserve"> dat </w:t>
      </w:r>
      <w:r w:rsidR="00A43445">
        <w:t xml:space="preserve">de </w:t>
      </w:r>
      <w:r w:rsidRPr="007C528B">
        <w:t xml:space="preserve">effectieve uitoefening van het stakingsrecht in gevaar </w:t>
      </w:r>
      <w:r w:rsidR="008D404A">
        <w:t>kan komen</w:t>
      </w:r>
      <w:r w:rsidRPr="007C528B">
        <w:t xml:space="preserve"> </w:t>
      </w:r>
      <w:r w:rsidR="00FC3989" w:rsidRPr="007C528B">
        <w:t>als</w:t>
      </w:r>
      <w:r w:rsidRPr="007C528B">
        <w:t xml:space="preserve"> </w:t>
      </w:r>
      <w:r w:rsidR="00FC3989" w:rsidRPr="007C528B">
        <w:t xml:space="preserve">de </w:t>
      </w:r>
      <w:r w:rsidRPr="007C528B">
        <w:t>nationale rechter</w:t>
      </w:r>
      <w:r w:rsidR="00FC3989" w:rsidRPr="007C528B">
        <w:t xml:space="preserve"> </w:t>
      </w:r>
      <w:r w:rsidRPr="007C528B">
        <w:t>een voorgenomen staking</w:t>
      </w:r>
      <w:r w:rsidR="00F91167" w:rsidRPr="007C528B">
        <w:t xml:space="preserve"> als procedureregel </w:t>
      </w:r>
      <w:r w:rsidR="002A02B7">
        <w:t>(</w:t>
      </w:r>
      <w:r w:rsidR="00FC3989" w:rsidRPr="007C528B">
        <w:t>zelfstandige voorwaarde</w:t>
      </w:r>
      <w:r w:rsidR="002A02B7">
        <w:t>)</w:t>
      </w:r>
      <w:r w:rsidR="00FC3989" w:rsidRPr="007C528B">
        <w:t xml:space="preserve"> kan</w:t>
      </w:r>
      <w:r w:rsidRPr="007C528B">
        <w:t xml:space="preserve"> verbieden omdat </w:t>
      </w:r>
      <w:r w:rsidR="00FC3989" w:rsidRPr="007C528B">
        <w:t>de</w:t>
      </w:r>
      <w:r w:rsidR="002A02B7">
        <w:t>ze</w:t>
      </w:r>
      <w:r w:rsidR="00FC3989" w:rsidRPr="007C528B">
        <w:t xml:space="preserve"> </w:t>
      </w:r>
      <w:r w:rsidRPr="007C528B">
        <w:t xml:space="preserve">in </w:t>
      </w:r>
      <w:r w:rsidR="00B37923">
        <w:t>zijn ogen</w:t>
      </w:r>
      <w:r w:rsidRPr="007C528B">
        <w:t xml:space="preserve"> prematuur is</w:t>
      </w:r>
      <w:r w:rsidR="006C40CE" w:rsidRPr="007C528B">
        <w:t xml:space="preserve">, zie </w:t>
      </w:r>
      <w:r w:rsidR="00AF2F5E" w:rsidRPr="0080665C">
        <w:t>Digest of the ECSR case law 2022</w:t>
      </w:r>
      <w:r w:rsidR="00AF2F5E" w:rsidRPr="007C528B">
        <w:t>, p. 89-90; Dorssemont 2017, p. 277</w:t>
      </w:r>
      <w:r w:rsidRPr="007C528B">
        <w:t>.</w:t>
      </w:r>
    </w:p>
  </w:footnote>
  <w:footnote w:id="146">
    <w:p w14:paraId="1B478274" w14:textId="77777777" w:rsidR="00037EA8" w:rsidRPr="00EF597F" w:rsidRDefault="00037EA8" w:rsidP="003820BE">
      <w:pPr>
        <w:pStyle w:val="FootnoteText"/>
        <w:jc w:val="both"/>
        <w:rPr>
          <w:lang w:val="es-ES"/>
        </w:rPr>
      </w:pPr>
      <w:r w:rsidRPr="007C528B">
        <w:rPr>
          <w:rStyle w:val="FootnoteReference"/>
        </w:rPr>
        <w:footnoteRef/>
      </w:r>
      <w:r w:rsidRPr="00EF597F">
        <w:rPr>
          <w:lang w:val="es-ES"/>
        </w:rPr>
        <w:t xml:space="preserve"> ECSR 3 juli 2013, 85/2012 (</w:t>
      </w:r>
      <w:r w:rsidRPr="00EF597F">
        <w:rPr>
          <w:i/>
          <w:iCs/>
          <w:lang w:val="es-ES"/>
        </w:rPr>
        <w:t>LO en TCO</w:t>
      </w:r>
      <w:r w:rsidRPr="00EF597F">
        <w:rPr>
          <w:lang w:val="es-ES"/>
        </w:rPr>
        <w:t>)</w:t>
      </w:r>
      <w:r>
        <w:rPr>
          <w:lang w:val="es-ES"/>
        </w:rPr>
        <w:t>;</w:t>
      </w:r>
      <w:r w:rsidRPr="00A872BE">
        <w:rPr>
          <w:lang w:val="es-ES"/>
        </w:rPr>
        <w:t xml:space="preserve"> CoE, Report III (Part 1A) 2013, p. 178-179.</w:t>
      </w:r>
    </w:p>
  </w:footnote>
  <w:footnote w:id="147">
    <w:p w14:paraId="18FA3FBE" w14:textId="74A2A007" w:rsidR="007E141A" w:rsidRPr="007C528B" w:rsidRDefault="007E141A" w:rsidP="003820BE">
      <w:pPr>
        <w:pStyle w:val="FootnoteText"/>
        <w:jc w:val="both"/>
      </w:pPr>
      <w:r w:rsidRPr="007C528B">
        <w:rPr>
          <w:rStyle w:val="FootnoteReference"/>
        </w:rPr>
        <w:footnoteRef/>
      </w:r>
      <w:r w:rsidRPr="007C528B">
        <w:t xml:space="preserve"> In ECSR 23 juni 2010, 55/2009, par. 35 (</w:t>
      </w:r>
      <w:r w:rsidRPr="007C528B">
        <w:rPr>
          <w:i/>
          <w:iCs/>
        </w:rPr>
        <w:t>CGT</w:t>
      </w:r>
      <w:r w:rsidRPr="007C528B">
        <w:t xml:space="preserve">) weigerde het ECSR een </w:t>
      </w:r>
      <w:r w:rsidRPr="007C528B">
        <w:rPr>
          <w:i/>
          <w:iCs/>
        </w:rPr>
        <w:t>Bosphorus</w:t>
      </w:r>
      <w:r w:rsidRPr="007C528B">
        <w:t xml:space="preserve">-vermoeden van gelijkwaardige bescherming te aanvaarden, hetgeen (indirecte) toetsing van </w:t>
      </w:r>
      <w:r w:rsidR="004A5206">
        <w:t xml:space="preserve">het </w:t>
      </w:r>
      <w:r w:rsidRPr="007C528B">
        <w:t>EU-recht door het ECSR mogelijk maakt.</w:t>
      </w:r>
    </w:p>
  </w:footnote>
  <w:footnote w:id="148">
    <w:p w14:paraId="536C0CA7" w14:textId="6CBE8D8B" w:rsidR="007E141A" w:rsidRPr="00F82B9D" w:rsidRDefault="007E141A" w:rsidP="003820BE">
      <w:pPr>
        <w:pStyle w:val="FootnoteText"/>
        <w:jc w:val="both"/>
      </w:pPr>
      <w:r w:rsidRPr="007C528B">
        <w:rPr>
          <w:rStyle w:val="FootnoteReference"/>
        </w:rPr>
        <w:footnoteRef/>
      </w:r>
      <w:r w:rsidRPr="007C528B">
        <w:t xml:space="preserve"> Anders: Boonstra, Helmer &amp; Houwerzijl 2014, p. 340</w:t>
      </w:r>
      <w:r w:rsidR="00C364C9">
        <w:t>, die</w:t>
      </w:r>
      <w:r w:rsidRPr="007C528B">
        <w:t xml:space="preserve"> betogen dat de verkeersvrijheden </w:t>
      </w:r>
      <w:r w:rsidR="00F20201">
        <w:t xml:space="preserve">onder het ESH </w:t>
      </w:r>
      <w:r w:rsidRPr="007C528B">
        <w:t xml:space="preserve">slechts een rol kunnen spelen indien een </w:t>
      </w:r>
      <w:r w:rsidRPr="00F20201">
        <w:t xml:space="preserve">derde-onderneming </w:t>
      </w:r>
      <w:r w:rsidRPr="007C528B">
        <w:t xml:space="preserve">zich erop beroept dat </w:t>
      </w:r>
      <w:r w:rsidR="001E14C0">
        <w:t>haar</w:t>
      </w:r>
      <w:r w:rsidRPr="007C528B">
        <w:t xml:space="preserve"> </w:t>
      </w:r>
      <w:r w:rsidR="00224835">
        <w:t>vrij verkeersrecht</w:t>
      </w:r>
      <w:r w:rsidRPr="007C528B">
        <w:t xml:space="preserve"> als gevolg van </w:t>
      </w:r>
      <w:r w:rsidR="00F20201">
        <w:t>een</w:t>
      </w:r>
      <w:r w:rsidRPr="007C528B">
        <w:t xml:space="preserve"> staking in </w:t>
      </w:r>
      <w:r w:rsidR="00224835">
        <w:t xml:space="preserve">het </w:t>
      </w:r>
      <w:r w:rsidRPr="007C528B">
        <w:t xml:space="preserve">gedrang komt. </w:t>
      </w:r>
      <w:r w:rsidR="0058012B" w:rsidRPr="007C528B">
        <w:t>In gelijke zin zij opgemerkt dat</w:t>
      </w:r>
      <w:r w:rsidRPr="007C528B">
        <w:t xml:space="preserve"> (nauw) verweven met de vraag naar </w:t>
      </w:r>
      <w:r w:rsidR="00EA7EA0">
        <w:t xml:space="preserve">de (on)rechtmatigheid van een </w:t>
      </w:r>
      <w:r w:rsidRPr="007C528B">
        <w:t xml:space="preserve">inperking van het stakingsrecht omwille van economische vrijheden </w:t>
      </w:r>
      <w:r w:rsidR="0058012B" w:rsidRPr="007C528B">
        <w:t xml:space="preserve">is </w:t>
      </w:r>
      <w:bookmarkStart w:id="59" w:name="_Hlk163484599"/>
      <w:r w:rsidRPr="007C528B">
        <w:t xml:space="preserve">de vraag of, en zo ja, in hoeverre, de (negatieve) economische consequenties van een staking </w:t>
      </w:r>
      <w:r w:rsidR="00224835">
        <w:t xml:space="preserve">voor de bestaakte werkgever </w:t>
      </w:r>
      <w:r w:rsidRPr="007C528B">
        <w:t xml:space="preserve">een beperking van het stakingsrecht </w:t>
      </w:r>
      <w:r w:rsidR="00224835">
        <w:t xml:space="preserve">onder het ESH </w:t>
      </w:r>
      <w:r w:rsidRPr="007C528B">
        <w:t>kunnen rechtvaardigen</w:t>
      </w:r>
      <w:bookmarkEnd w:id="59"/>
      <w:r w:rsidRPr="007C528B">
        <w:t xml:space="preserve">. </w:t>
      </w:r>
      <w:r w:rsidR="00224835">
        <w:t>Ontkennend:</w:t>
      </w:r>
      <w:r w:rsidRPr="007C528B">
        <w:t xml:space="preserve"> Hendy 2013, p. 83</w:t>
      </w:r>
      <w:r w:rsidR="00224835">
        <w:t>;</w:t>
      </w:r>
      <w:r w:rsidRPr="007C528B">
        <w:t xml:space="preserve"> Dorssemont 2017, p. 278.</w:t>
      </w:r>
      <w:r w:rsidR="00F82B9D">
        <w:t xml:space="preserve"> </w:t>
      </w:r>
      <w:r w:rsidR="00224835">
        <w:t>Anders</w:t>
      </w:r>
      <w:r w:rsidR="00F82B9D">
        <w:t xml:space="preserve">: HR 21 maart 1997, </w:t>
      </w:r>
      <w:r w:rsidR="00F82B9D">
        <w:rPr>
          <w:i/>
          <w:iCs/>
        </w:rPr>
        <w:t>NJ</w:t>
      </w:r>
      <w:r w:rsidR="00F82B9D">
        <w:t xml:space="preserve"> 1997/437 (</w:t>
      </w:r>
      <w:r w:rsidR="00F82B9D">
        <w:rPr>
          <w:i/>
          <w:iCs/>
        </w:rPr>
        <w:t>Staking streekvervoer</w:t>
      </w:r>
      <w:r w:rsidR="00F82B9D">
        <w:t xml:space="preserve">), </w:t>
      </w:r>
      <w:r w:rsidR="00730D13">
        <w:t>waarover nader</w:t>
      </w:r>
      <w:r w:rsidR="00F82B9D">
        <w:t xml:space="preserve"> Barentsen 2020, p. 422.</w:t>
      </w:r>
    </w:p>
  </w:footnote>
  <w:footnote w:id="149">
    <w:p w14:paraId="732E3815" w14:textId="790CBCCC" w:rsidR="007E141A" w:rsidRPr="005027E3" w:rsidRDefault="007E141A" w:rsidP="003820BE">
      <w:pPr>
        <w:pStyle w:val="FootnoteText"/>
        <w:jc w:val="both"/>
        <w:rPr>
          <w:lang w:val="en-US"/>
        </w:rPr>
      </w:pPr>
      <w:r w:rsidRPr="007C528B">
        <w:rPr>
          <w:rStyle w:val="FootnoteReference"/>
        </w:rPr>
        <w:footnoteRef/>
      </w:r>
      <w:r w:rsidRPr="005027E3">
        <w:rPr>
          <w:lang w:val="en-US"/>
        </w:rPr>
        <w:t xml:space="preserve"> Velyvyte, </w:t>
      </w:r>
      <w:r w:rsidRPr="005027E3">
        <w:rPr>
          <w:i/>
          <w:iCs/>
          <w:lang w:val="en-US"/>
        </w:rPr>
        <w:t xml:space="preserve">HRLR </w:t>
      </w:r>
      <w:r w:rsidRPr="005027E3">
        <w:rPr>
          <w:lang w:val="en-US"/>
        </w:rPr>
        <w:t>2015, p. 98.</w:t>
      </w:r>
    </w:p>
  </w:footnote>
  <w:footnote w:id="150">
    <w:p w14:paraId="7353244A" w14:textId="77777777" w:rsidR="00736390" w:rsidRPr="007C528B" w:rsidRDefault="00736390" w:rsidP="003820BE">
      <w:pPr>
        <w:pStyle w:val="FootnoteText"/>
        <w:jc w:val="both"/>
        <w:rPr>
          <w:lang w:val="en-US"/>
        </w:rPr>
      </w:pPr>
      <w:r w:rsidRPr="007C528B">
        <w:rPr>
          <w:rStyle w:val="FootnoteReference"/>
        </w:rPr>
        <w:footnoteRef/>
      </w:r>
      <w:r w:rsidRPr="007C528B">
        <w:rPr>
          <w:lang w:val="en-US"/>
        </w:rPr>
        <w:t xml:space="preserve"> CoE, Report III (Part 1A) 2010, p. 208-209.</w:t>
      </w:r>
    </w:p>
  </w:footnote>
  <w:footnote w:id="151">
    <w:p w14:paraId="786F1B1D" w14:textId="59F490BA" w:rsidR="002C3F9F" w:rsidRPr="007C528B" w:rsidRDefault="002C3F9F" w:rsidP="003820BE">
      <w:pPr>
        <w:pStyle w:val="FootnoteText"/>
        <w:jc w:val="both"/>
      </w:pPr>
      <w:r w:rsidRPr="007C528B">
        <w:rPr>
          <w:rStyle w:val="FootnoteReference"/>
        </w:rPr>
        <w:footnoteRef/>
      </w:r>
      <w:r w:rsidRPr="007C528B">
        <w:t xml:space="preserve"> De Schutter 2017, p. 31.</w:t>
      </w:r>
    </w:p>
  </w:footnote>
  <w:footnote w:id="152">
    <w:p w14:paraId="348C0F2A" w14:textId="24DCF888" w:rsidR="00524691" w:rsidRPr="007C528B" w:rsidRDefault="00524691" w:rsidP="003820BE">
      <w:pPr>
        <w:pStyle w:val="FootnoteText"/>
        <w:jc w:val="both"/>
      </w:pPr>
      <w:r w:rsidRPr="007C528B">
        <w:rPr>
          <w:rStyle w:val="FootnoteReference"/>
        </w:rPr>
        <w:footnoteRef/>
      </w:r>
      <w:r w:rsidRPr="007C528B">
        <w:t xml:space="preserve"> Hoewel vakbonden volgens Jacobs 2023, par. 8.12, conform Nederlands recht niet snel zijn blootgesteld aan het risico op (hoge) schadeclaims, is dit </w:t>
      </w:r>
      <w:r>
        <w:t>op grond van</w:t>
      </w:r>
      <w:r w:rsidRPr="007C528B">
        <w:t xml:space="preserve"> </w:t>
      </w:r>
      <w:r>
        <w:t xml:space="preserve">het </w:t>
      </w:r>
      <w:r w:rsidRPr="007C528B">
        <w:t xml:space="preserve">EU-recht wellicht anders. Naar aanleiding van de </w:t>
      </w:r>
      <w:r w:rsidRPr="007C528B">
        <w:rPr>
          <w:i/>
          <w:iCs/>
        </w:rPr>
        <w:t>Laval</w:t>
      </w:r>
      <w:r w:rsidRPr="007C528B">
        <w:t>-uitspraak overwoog de Zweedse rechter immers dat de</w:t>
      </w:r>
      <w:r w:rsidR="007E138A">
        <w:t xml:space="preserve"> Zweedse</w:t>
      </w:r>
      <w:r w:rsidRPr="007C528B">
        <w:t xml:space="preserve"> vakbond </w:t>
      </w:r>
      <w:r w:rsidRPr="00697706">
        <w:t xml:space="preserve">op grond van het </w:t>
      </w:r>
      <w:r>
        <w:t>Unie</w:t>
      </w:r>
      <w:r w:rsidRPr="00697706">
        <w:t>recht</w:t>
      </w:r>
      <w:r w:rsidRPr="007C528B">
        <w:t xml:space="preserve"> aansprakelijk was voor de door </w:t>
      </w:r>
      <w:r w:rsidRPr="007C528B">
        <w:rPr>
          <w:i/>
          <w:iCs/>
        </w:rPr>
        <w:t xml:space="preserve">Laval </w:t>
      </w:r>
      <w:r w:rsidRPr="007C528B">
        <w:t>geleden schade</w:t>
      </w:r>
      <w:r w:rsidR="008D404A">
        <w:t>.</w:t>
      </w:r>
      <w:r w:rsidRPr="007C528B">
        <w:t xml:space="preserve"> </w:t>
      </w:r>
      <w:r w:rsidR="007E138A">
        <w:t>In mijn opinie is</w:t>
      </w:r>
      <w:r>
        <w:t xml:space="preserve"> </w:t>
      </w:r>
      <w:r w:rsidR="008D404A" w:rsidRPr="007C528B">
        <w:t xml:space="preserve">Malmberg, </w:t>
      </w:r>
      <w:r w:rsidR="008D404A" w:rsidRPr="007C528B">
        <w:rPr>
          <w:i/>
          <w:iCs/>
        </w:rPr>
        <w:t xml:space="preserve">ELLJ </w:t>
      </w:r>
      <w:r w:rsidR="008D404A" w:rsidRPr="007C528B">
        <w:t>2012</w:t>
      </w:r>
      <w:r w:rsidR="008D404A">
        <w:t xml:space="preserve">, </w:t>
      </w:r>
      <w:r w:rsidR="00E12211">
        <w:t>par. 3-5</w:t>
      </w:r>
      <w:r w:rsidR="008D404A">
        <w:t>,</w:t>
      </w:r>
      <w:r w:rsidR="00E12211">
        <w:t xml:space="preserve"> </w:t>
      </w:r>
      <w:r w:rsidR="007E138A">
        <w:t xml:space="preserve">terecht </w:t>
      </w:r>
      <w:r w:rsidRPr="007C528B">
        <w:t xml:space="preserve">kritisch op de redenering van de Zweedse rechter, maar ik sluit niet uit dat het </w:t>
      </w:r>
      <w:r>
        <w:t>HvJ</w:t>
      </w:r>
      <w:r w:rsidRPr="007C528B">
        <w:t xml:space="preserve"> de</w:t>
      </w:r>
      <w:r w:rsidR="009704F6">
        <w:t>ze</w:t>
      </w:r>
      <w:r w:rsidRPr="007C528B">
        <w:t xml:space="preserve"> uitspraak in het licht van </w:t>
      </w:r>
      <w:r w:rsidR="008D404A">
        <w:t xml:space="preserve">het in </w:t>
      </w:r>
      <w:r w:rsidRPr="007C528B">
        <w:t xml:space="preserve">artikel 47 Hv </w:t>
      </w:r>
      <w:r w:rsidR="008D404A">
        <w:t>neergelegde</w:t>
      </w:r>
      <w:r w:rsidRPr="007C528B">
        <w:t xml:space="preserve"> recht op een doeltreffende voorziening in rechte had gesanctioneerd.</w:t>
      </w:r>
    </w:p>
  </w:footnote>
  <w:footnote w:id="153">
    <w:p w14:paraId="2C0B44AD" w14:textId="73509121" w:rsidR="00341965" w:rsidRPr="007C528B" w:rsidRDefault="00341965" w:rsidP="003820BE">
      <w:pPr>
        <w:pStyle w:val="FootnoteText"/>
        <w:jc w:val="both"/>
      </w:pPr>
      <w:r w:rsidRPr="007C528B">
        <w:rPr>
          <w:rStyle w:val="FootnoteReference"/>
        </w:rPr>
        <w:footnoteRef/>
      </w:r>
      <w:r w:rsidRPr="007C528B">
        <w:t xml:space="preserve"> Als evident is dat het stakingsmiddel</w:t>
      </w:r>
      <w:r w:rsidR="001D4007" w:rsidRPr="007C528B">
        <w:t xml:space="preserve"> feitelijk</w:t>
      </w:r>
      <w:r w:rsidRPr="007C528B">
        <w:t xml:space="preserve"> wordt ingezet vanuit protectionistische</w:t>
      </w:r>
      <w:r w:rsidR="0046608E">
        <w:t xml:space="preserve"> </w:t>
      </w:r>
      <w:r w:rsidRPr="007C528B">
        <w:t>overwegingen</w:t>
      </w:r>
      <w:r w:rsidR="000621A5">
        <w:t xml:space="preserve">, </w:t>
      </w:r>
      <w:r w:rsidRPr="007C528B">
        <w:t xml:space="preserve">zal geen sprake zijn van het verdedigen van </w:t>
      </w:r>
      <w:r w:rsidR="000621A5">
        <w:t>werknemers</w:t>
      </w:r>
      <w:r w:rsidR="00321022" w:rsidRPr="007C528B">
        <w:t>belangen</w:t>
      </w:r>
      <w:r w:rsidR="002131C3">
        <w:t xml:space="preserve"> –</w:t>
      </w:r>
      <w:r w:rsidRPr="007C528B">
        <w:t xml:space="preserve"> </w:t>
      </w:r>
      <w:r w:rsidR="00156C0D" w:rsidRPr="007C528B">
        <w:t>een</w:t>
      </w:r>
      <w:r w:rsidRPr="007C528B">
        <w:t xml:space="preserve"> voorwaarde voor </w:t>
      </w:r>
      <w:r w:rsidR="00921537">
        <w:t xml:space="preserve">de </w:t>
      </w:r>
      <w:r w:rsidR="00FE13D3">
        <w:t>bescherming van het</w:t>
      </w:r>
      <w:r w:rsidRPr="007C528B">
        <w:t xml:space="preserve"> stakingsrecht </w:t>
      </w:r>
      <w:r w:rsidR="00A06814">
        <w:t>onder</w:t>
      </w:r>
      <w:r w:rsidR="00A06814" w:rsidRPr="008D1A99">
        <w:t xml:space="preserve"> </w:t>
      </w:r>
      <w:r w:rsidR="00A06814">
        <w:t>ILO-Verdrag</w:t>
      </w:r>
      <w:r w:rsidR="00A06814" w:rsidRPr="008D1A99">
        <w:t xml:space="preserve"> </w:t>
      </w:r>
      <w:r w:rsidR="00A06814">
        <w:t>87</w:t>
      </w:r>
      <w:r w:rsidR="00A06814" w:rsidRPr="008D1A99">
        <w:t xml:space="preserve"> </w:t>
      </w:r>
      <w:r w:rsidRPr="007C528B">
        <w:t>(</w:t>
      </w:r>
      <w:r w:rsidRPr="0080665C">
        <w:t>CFA-decisions 2018,</w:t>
      </w:r>
      <w:r w:rsidRPr="007C528B">
        <w:t xml:space="preserve"> nr. 751).</w:t>
      </w:r>
    </w:p>
  </w:footnote>
  <w:footnote w:id="154">
    <w:p w14:paraId="7FA09AF4" w14:textId="5D960B8F" w:rsidR="008D1A99" w:rsidRDefault="008D1A99" w:rsidP="003820BE">
      <w:pPr>
        <w:pStyle w:val="FootnoteText"/>
        <w:jc w:val="both"/>
      </w:pPr>
      <w:r>
        <w:rPr>
          <w:rStyle w:val="FootnoteReference"/>
        </w:rPr>
        <w:footnoteRef/>
      </w:r>
      <w:r>
        <w:t xml:space="preserve"> </w:t>
      </w:r>
      <w:r w:rsidR="00A06814">
        <w:t>Idem</w:t>
      </w:r>
      <w:r w:rsidRPr="008D1A99">
        <w:t xml:space="preserve">: </w:t>
      </w:r>
      <w:r w:rsidRPr="0080665C">
        <w:t>CFA-decisions 2018</w:t>
      </w:r>
      <w:r w:rsidRPr="008D1A99">
        <w:t>, nr. 791.</w:t>
      </w:r>
    </w:p>
  </w:footnote>
  <w:footnote w:id="155">
    <w:p w14:paraId="0B6458C1" w14:textId="16C58BE9" w:rsidR="001D631C" w:rsidRPr="007C528B" w:rsidRDefault="001D631C" w:rsidP="003820BE">
      <w:pPr>
        <w:pStyle w:val="FootnoteText"/>
        <w:jc w:val="both"/>
      </w:pPr>
      <w:r w:rsidRPr="007C528B">
        <w:rPr>
          <w:rStyle w:val="FootnoteReference"/>
        </w:rPr>
        <w:footnoteRef/>
      </w:r>
      <w:r w:rsidRPr="007C528B">
        <w:t xml:space="preserve"> De Witte 2011, p. 21-22</w:t>
      </w:r>
      <w:r w:rsidR="00A8705D">
        <w:t xml:space="preserve">, </w:t>
      </w:r>
      <w:r w:rsidR="00DD228F">
        <w:t>acht</w:t>
      </w:r>
      <w:r w:rsidR="00A8705D">
        <w:t xml:space="preserve"> daarbij van belang dat EVRM-bepalingen volgens artikel 6 lid 3 VEU algemene beginselen van Unierecht </w:t>
      </w:r>
      <w:r w:rsidR="00A8705D" w:rsidRPr="009114A9">
        <w:rPr>
          <w:i/>
          <w:iCs/>
        </w:rPr>
        <w:t>zijn</w:t>
      </w:r>
      <w:r w:rsidR="00A8705D">
        <w:t xml:space="preserve"> en niet slechts bronnen vormen om deze beginselen te identificeren.</w:t>
      </w:r>
    </w:p>
  </w:footnote>
  <w:footnote w:id="156">
    <w:p w14:paraId="244EBB8C" w14:textId="414BC25A" w:rsidR="00D127DA" w:rsidRPr="007C528B" w:rsidRDefault="00D127DA" w:rsidP="003820BE">
      <w:pPr>
        <w:pStyle w:val="FootnoteText"/>
        <w:jc w:val="both"/>
      </w:pPr>
      <w:r w:rsidRPr="007C528B">
        <w:rPr>
          <w:rStyle w:val="FootnoteReference"/>
        </w:rPr>
        <w:footnoteRef/>
      </w:r>
      <w:r w:rsidRPr="007C528B">
        <w:t xml:space="preserve"> Blijkens de Toelichting op het Handvest correspondeert artikel 12 Hv, dat eveneens de vakverenigingsvrijheid omvat, met artikel 11 EVRM. In zoverre kan worden bepleit dat, gelet op artikel 52 lid 3 Hv, het stakingsrecht van artikel 11 EVRM in artikel 12 Hv moeten worden ‘ingelezen’. Omdat </w:t>
      </w:r>
      <w:r w:rsidR="003304DD" w:rsidRPr="007C528B">
        <w:t xml:space="preserve">het stakingsrecht </w:t>
      </w:r>
      <w:r w:rsidR="003304DD">
        <w:t xml:space="preserve">in </w:t>
      </w:r>
      <w:r w:rsidRPr="007C528B">
        <w:t xml:space="preserve">artikel 28 Hv </w:t>
      </w:r>
      <w:r w:rsidR="0063232B">
        <w:t>echter</w:t>
      </w:r>
      <w:r w:rsidR="0063232B" w:rsidRPr="007C528B">
        <w:t xml:space="preserve"> </w:t>
      </w:r>
      <w:r w:rsidRPr="007C528B">
        <w:t xml:space="preserve">expliciet </w:t>
      </w:r>
      <w:r w:rsidR="003304DD">
        <w:t xml:space="preserve">is </w:t>
      </w:r>
      <w:r w:rsidRPr="007C528B">
        <w:t>erken</w:t>
      </w:r>
      <w:r w:rsidR="003304DD">
        <w:t>d</w:t>
      </w:r>
      <w:r w:rsidRPr="007C528B">
        <w:t xml:space="preserve">, is verdedigbaar dat het stakingsrecht </w:t>
      </w:r>
      <w:r w:rsidR="00A8705D">
        <w:t>van artikel</w:t>
      </w:r>
      <w:r w:rsidRPr="007C528B">
        <w:t xml:space="preserve"> </w:t>
      </w:r>
      <w:r w:rsidR="00A8705D">
        <w:t xml:space="preserve">11 </w:t>
      </w:r>
      <w:r w:rsidRPr="007C528B">
        <w:t>EVRM (ook) moet worden ‘ingelezen’ in artikel</w:t>
      </w:r>
      <w:r w:rsidR="00A8705D">
        <w:t xml:space="preserve"> 28 Hv</w:t>
      </w:r>
      <w:r w:rsidRPr="007C528B">
        <w:t>.</w:t>
      </w:r>
    </w:p>
  </w:footnote>
  <w:footnote w:id="157">
    <w:p w14:paraId="00E86A5A" w14:textId="6A249E06" w:rsidR="00053631" w:rsidRPr="007C528B" w:rsidRDefault="00053631" w:rsidP="003820BE">
      <w:pPr>
        <w:pStyle w:val="FootnoteText"/>
        <w:jc w:val="both"/>
      </w:pPr>
      <w:r w:rsidRPr="007C528B">
        <w:rPr>
          <w:rStyle w:val="FootnoteReference"/>
        </w:rPr>
        <w:footnoteRef/>
      </w:r>
      <w:r w:rsidRPr="007C528B">
        <w:t xml:space="preserve"> Timmermans</w:t>
      </w:r>
      <w:r w:rsidR="00E10EE1">
        <w:t xml:space="preserve"> 2014</w:t>
      </w:r>
      <w:r w:rsidRPr="007C528B">
        <w:t xml:space="preserve">, p. 11; Pecinovsky, </w:t>
      </w:r>
      <w:r w:rsidRPr="007C528B">
        <w:rPr>
          <w:i/>
          <w:iCs/>
        </w:rPr>
        <w:t>ELLJ</w:t>
      </w:r>
      <w:r w:rsidRPr="007C528B">
        <w:t xml:space="preserve"> 2016, p. 299.</w:t>
      </w:r>
      <w:r w:rsidR="007B5143" w:rsidRPr="007B5143">
        <w:t xml:space="preserve"> </w:t>
      </w:r>
      <w:r w:rsidR="007B5143">
        <w:t>Opgemerkt</w:t>
      </w:r>
      <w:r w:rsidR="007B5143" w:rsidRPr="007C528B">
        <w:t xml:space="preserve"> </w:t>
      </w:r>
      <w:r w:rsidR="007B5143">
        <w:t xml:space="preserve">zij dat de </w:t>
      </w:r>
      <w:r w:rsidR="007B5143" w:rsidRPr="007C528B">
        <w:t>binding aan rechtspraak van het EHRM altijd beperkt</w:t>
      </w:r>
      <w:r w:rsidR="007B5143">
        <w:t xml:space="preserve"> is</w:t>
      </w:r>
      <w:r w:rsidR="007B5143" w:rsidRPr="007C528B">
        <w:t xml:space="preserve">, omdat </w:t>
      </w:r>
      <w:r w:rsidR="007B5143">
        <w:t>EHRM-</w:t>
      </w:r>
      <w:r w:rsidR="007B5143" w:rsidRPr="007C528B">
        <w:t xml:space="preserve">arresten </w:t>
      </w:r>
      <w:r w:rsidR="007B5143">
        <w:t>formeel</w:t>
      </w:r>
      <w:r w:rsidR="007B5143" w:rsidRPr="007C528B">
        <w:t xml:space="preserve"> slechts bindend zijn voor </w:t>
      </w:r>
      <w:r w:rsidR="007B5143">
        <w:t>de</w:t>
      </w:r>
      <w:r w:rsidR="007B5143" w:rsidRPr="007C528B">
        <w:t xml:space="preserve"> partijen bij het geschil (artikel 46 lid 1 EVRM). Niettemin hebben </w:t>
      </w:r>
      <w:r w:rsidR="007B5143">
        <w:t>deze</w:t>
      </w:r>
      <w:r w:rsidR="007B5143" w:rsidRPr="007C528B">
        <w:t xml:space="preserve"> uitspraken een zekere precedent- of </w:t>
      </w:r>
      <w:r w:rsidR="007B5143" w:rsidRPr="007C528B">
        <w:rPr>
          <w:i/>
          <w:iCs/>
        </w:rPr>
        <w:t>res interpretata</w:t>
      </w:r>
      <w:r w:rsidR="007B5143" w:rsidRPr="007C528B">
        <w:t xml:space="preserve">-werking (artikel 32 lid 1 EVRM), waarover </w:t>
      </w:r>
      <w:r w:rsidR="00325CF8">
        <w:t>nader</w:t>
      </w:r>
      <w:r w:rsidR="007B5143" w:rsidRPr="007C528B">
        <w:t xml:space="preserve"> Bodnar 2014, p. 223-262.</w:t>
      </w:r>
    </w:p>
  </w:footnote>
  <w:footnote w:id="158">
    <w:p w14:paraId="34934BDE" w14:textId="41B4B438" w:rsidR="00053631" w:rsidRPr="007C528B" w:rsidRDefault="00053631" w:rsidP="003820BE">
      <w:pPr>
        <w:pStyle w:val="FootnoteText"/>
        <w:jc w:val="both"/>
      </w:pPr>
      <w:r w:rsidRPr="007C528B">
        <w:rPr>
          <w:rStyle w:val="FootnoteReference"/>
        </w:rPr>
        <w:footnoteRef/>
      </w:r>
      <w:r w:rsidRPr="007C528B">
        <w:t xml:space="preserve"> Zie over de juridische status van de Toelichting bij het Handvest artikel 6 lid 1 VEU en artikel 52 lid 7 Hv. Volgens Lenaerts, </w:t>
      </w:r>
      <w:bookmarkStart w:id="62" w:name="_Hlk152506331"/>
      <w:r w:rsidRPr="007C528B">
        <w:rPr>
          <w:i/>
          <w:iCs/>
        </w:rPr>
        <w:t xml:space="preserve">EuConst </w:t>
      </w:r>
      <w:r w:rsidRPr="007C528B">
        <w:t>2012</w:t>
      </w:r>
      <w:bookmarkEnd w:id="62"/>
      <w:r w:rsidRPr="007C528B">
        <w:t xml:space="preserve">, p. </w:t>
      </w:r>
      <w:r>
        <w:t>402</w:t>
      </w:r>
      <w:r w:rsidRPr="007C528B">
        <w:t xml:space="preserve">, gaat het om bindende instructies op grond waarvan het HvJ het Handvest moet uitleggen </w:t>
      </w:r>
      <w:r>
        <w:t>in</w:t>
      </w:r>
      <w:r w:rsidRPr="007C528B">
        <w:t xml:space="preserve"> </w:t>
      </w:r>
      <w:r>
        <w:t>overeenstemming</w:t>
      </w:r>
      <w:r w:rsidRPr="007C528B">
        <w:t xml:space="preserve"> met de Toelichting daarop</w:t>
      </w:r>
      <w:r>
        <w:t>.</w:t>
      </w:r>
      <w:r w:rsidRPr="007C528B">
        <w:t xml:space="preserve"> Anders: </w:t>
      </w:r>
      <w:bookmarkStart w:id="63" w:name="_Hlk152529236"/>
      <w:r w:rsidRPr="007C528B">
        <w:t xml:space="preserve">Krommendijk, </w:t>
      </w:r>
      <w:r w:rsidRPr="007C528B">
        <w:rPr>
          <w:i/>
          <w:iCs/>
        </w:rPr>
        <w:t>MFLWP</w:t>
      </w:r>
      <w:r w:rsidRPr="007C528B">
        <w:t xml:space="preserve"> 2015/6</w:t>
      </w:r>
      <w:bookmarkEnd w:id="63"/>
      <w:r w:rsidRPr="007C528B">
        <w:t>, p. 10-11.</w:t>
      </w:r>
    </w:p>
  </w:footnote>
  <w:footnote w:id="159">
    <w:p w14:paraId="2E72985E" w14:textId="2B05939C" w:rsidR="00C01F91" w:rsidRPr="007C528B" w:rsidRDefault="00C01F91" w:rsidP="003820BE">
      <w:pPr>
        <w:pStyle w:val="FootnoteText"/>
        <w:jc w:val="both"/>
      </w:pPr>
      <w:r w:rsidRPr="007C528B">
        <w:rPr>
          <w:rStyle w:val="FootnoteReference"/>
        </w:rPr>
        <w:footnoteRef/>
      </w:r>
      <w:r w:rsidR="004C3899" w:rsidRPr="007C528B">
        <w:t xml:space="preserve"> </w:t>
      </w:r>
      <w:r w:rsidR="00A8705D">
        <w:t>Opvallend</w:t>
      </w:r>
      <w:r w:rsidR="004C3899" w:rsidRPr="007C528B">
        <w:t xml:space="preserve"> </w:t>
      </w:r>
      <w:r w:rsidR="00A8705D">
        <w:t>is</w:t>
      </w:r>
      <w:r w:rsidR="00A8705D" w:rsidRPr="007C528B">
        <w:t xml:space="preserve"> </w:t>
      </w:r>
      <w:r w:rsidR="00A8705D">
        <w:t>dat</w:t>
      </w:r>
      <w:r w:rsidR="00A8705D" w:rsidRPr="007C528B">
        <w:t xml:space="preserve"> </w:t>
      </w:r>
      <w:r w:rsidR="00A8705D">
        <w:t>Ellingsen</w:t>
      </w:r>
      <w:r w:rsidR="00CF7CAA">
        <w:t>,</w:t>
      </w:r>
      <w:r w:rsidR="00CF7CAA" w:rsidRPr="00CF7CAA">
        <w:rPr>
          <w:i/>
          <w:iCs/>
        </w:rPr>
        <w:t xml:space="preserve"> </w:t>
      </w:r>
      <w:r w:rsidR="00CF7CAA" w:rsidRPr="007C528B">
        <w:rPr>
          <w:i/>
          <w:iCs/>
        </w:rPr>
        <w:t>CMLR</w:t>
      </w:r>
      <w:r w:rsidR="00CF7CAA" w:rsidRPr="007C528B">
        <w:t xml:space="preserve"> 2022, p. 600-601</w:t>
      </w:r>
      <w:r w:rsidR="00CF7CAA">
        <w:t>,</w:t>
      </w:r>
      <w:r w:rsidR="00A8705D" w:rsidRPr="007C528B">
        <w:t xml:space="preserve"> </w:t>
      </w:r>
      <w:r w:rsidR="00A8705D">
        <w:t>in</w:t>
      </w:r>
      <w:r w:rsidR="00A8705D" w:rsidRPr="007C528B">
        <w:t xml:space="preserve"> </w:t>
      </w:r>
      <w:r w:rsidR="00A8705D">
        <w:t>haar</w:t>
      </w:r>
      <w:r w:rsidR="00A8705D" w:rsidRPr="007C528B">
        <w:t xml:space="preserve"> </w:t>
      </w:r>
      <w:r w:rsidR="00A8705D">
        <w:t>stelling</w:t>
      </w:r>
      <w:r w:rsidR="00A8705D" w:rsidRPr="007C528B">
        <w:t xml:space="preserve"> </w:t>
      </w:r>
      <w:r w:rsidR="00A8705D">
        <w:t>geen</w:t>
      </w:r>
      <w:r w:rsidR="004C3899" w:rsidRPr="007C528B">
        <w:t xml:space="preserve"> </w:t>
      </w:r>
      <w:r w:rsidR="004B7299" w:rsidRPr="007C528B">
        <w:t xml:space="preserve">onderscheid </w:t>
      </w:r>
      <w:r w:rsidR="00A8705D">
        <w:t>maakt</w:t>
      </w:r>
      <w:r w:rsidR="00A8705D" w:rsidRPr="007C528B">
        <w:t xml:space="preserve"> </w:t>
      </w:r>
      <w:r w:rsidR="004B7299" w:rsidRPr="007C528B">
        <w:t>tussen</w:t>
      </w:r>
      <w:r w:rsidR="004C3899" w:rsidRPr="007C528B">
        <w:t xml:space="preserve"> de rechtssituatie vóór en ná toetreding van de EU tot het EVRM.</w:t>
      </w:r>
    </w:p>
  </w:footnote>
  <w:footnote w:id="160">
    <w:p w14:paraId="35385CE8" w14:textId="19CF432B" w:rsidR="009D604D" w:rsidRPr="007C528B" w:rsidRDefault="009D604D" w:rsidP="003820BE">
      <w:pPr>
        <w:pStyle w:val="FootnoteText"/>
        <w:jc w:val="both"/>
        <w:rPr>
          <w:b/>
          <w:bCs/>
        </w:rPr>
      </w:pPr>
      <w:r w:rsidRPr="007C528B">
        <w:rPr>
          <w:rStyle w:val="FootnoteReference"/>
        </w:rPr>
        <w:footnoteRef/>
      </w:r>
      <w:r w:rsidRPr="007C528B">
        <w:t xml:space="preserve"> </w:t>
      </w:r>
      <w:r w:rsidR="002767A5" w:rsidRPr="007C528B">
        <w:t xml:space="preserve">Krommendijk, </w:t>
      </w:r>
      <w:r w:rsidR="002767A5" w:rsidRPr="007C528B">
        <w:rPr>
          <w:i/>
          <w:iCs/>
        </w:rPr>
        <w:t>MFLWP</w:t>
      </w:r>
      <w:r w:rsidR="002767A5" w:rsidRPr="007C528B">
        <w:t xml:space="preserve"> 2015/6, p. 11, noemt </w:t>
      </w:r>
      <w:r w:rsidR="008D404A">
        <w:t xml:space="preserve">diverse </w:t>
      </w:r>
      <w:r w:rsidR="007E73B2" w:rsidRPr="007C528B">
        <w:t xml:space="preserve">conclusies van A-G’s die dit standpunt ondersteunen. </w:t>
      </w:r>
      <w:r w:rsidR="00873A6F" w:rsidRPr="007C528B">
        <w:t xml:space="preserve">Zie ook </w:t>
      </w:r>
      <w:bookmarkStart w:id="64" w:name="_Hlk155349365"/>
      <w:r w:rsidR="00873A6F" w:rsidRPr="007C528B">
        <w:t xml:space="preserve">Van Peijpe, </w:t>
      </w:r>
      <w:r w:rsidR="00873A6F" w:rsidRPr="007C528B">
        <w:rPr>
          <w:i/>
          <w:iCs/>
        </w:rPr>
        <w:t xml:space="preserve">TRA </w:t>
      </w:r>
      <w:r w:rsidR="00873A6F" w:rsidRPr="007C528B">
        <w:t>2012/76</w:t>
      </w:r>
      <w:bookmarkEnd w:id="64"/>
      <w:r w:rsidR="00873A6F" w:rsidRPr="007C528B">
        <w:t>, par. 3.1</w:t>
      </w:r>
      <w:r w:rsidR="004A7482" w:rsidRPr="007C528B">
        <w:t xml:space="preserve">; Velyvyte, </w:t>
      </w:r>
      <w:r w:rsidR="004A7482" w:rsidRPr="007C528B">
        <w:rPr>
          <w:i/>
          <w:iCs/>
        </w:rPr>
        <w:t>HRLR</w:t>
      </w:r>
      <w:r w:rsidR="004A7482" w:rsidRPr="007C528B">
        <w:t xml:space="preserve"> 2015, p. 91; Teklè, </w:t>
      </w:r>
      <w:r w:rsidR="004A7482" w:rsidRPr="007C528B">
        <w:rPr>
          <w:i/>
          <w:iCs/>
        </w:rPr>
        <w:t>ELLJ</w:t>
      </w:r>
      <w:r w:rsidR="004A7482" w:rsidRPr="007C528B">
        <w:t xml:space="preserve"> 2018, p. 259.</w:t>
      </w:r>
    </w:p>
  </w:footnote>
  <w:footnote w:id="161">
    <w:p w14:paraId="5C86CBBB" w14:textId="2A225C76" w:rsidR="00A83C5E" w:rsidRPr="007C528B" w:rsidRDefault="00A83C5E" w:rsidP="003820BE">
      <w:pPr>
        <w:pStyle w:val="FootnoteText"/>
        <w:jc w:val="both"/>
      </w:pPr>
      <w:r w:rsidRPr="007C528B">
        <w:rPr>
          <w:rStyle w:val="FootnoteReference"/>
        </w:rPr>
        <w:footnoteRef/>
      </w:r>
      <w:r w:rsidRPr="00B252AD">
        <w:rPr>
          <w:lang w:val="fr-BE"/>
        </w:rPr>
        <w:t xml:space="preserve"> Lenaerts, </w:t>
      </w:r>
      <w:r w:rsidRPr="00B252AD">
        <w:rPr>
          <w:i/>
          <w:iCs/>
          <w:lang w:val="fr-BE"/>
        </w:rPr>
        <w:t xml:space="preserve">EuConst </w:t>
      </w:r>
      <w:r w:rsidRPr="00B252AD">
        <w:rPr>
          <w:lang w:val="fr-BE"/>
        </w:rPr>
        <w:t>2012, p. 394-395</w:t>
      </w:r>
      <w:r w:rsidR="003751D4" w:rsidRPr="00B252AD">
        <w:rPr>
          <w:lang w:val="fr-BE"/>
        </w:rPr>
        <w:t xml:space="preserve">; Teklè, </w:t>
      </w:r>
      <w:r w:rsidR="003751D4" w:rsidRPr="00B252AD">
        <w:rPr>
          <w:i/>
          <w:iCs/>
          <w:lang w:val="fr-BE"/>
        </w:rPr>
        <w:t>ELLJ</w:t>
      </w:r>
      <w:r w:rsidR="003751D4" w:rsidRPr="00B252AD">
        <w:rPr>
          <w:lang w:val="fr-BE"/>
        </w:rPr>
        <w:t xml:space="preserve"> 2018, p. 259-260.</w:t>
      </w:r>
      <w:r w:rsidR="004B5210" w:rsidRPr="00B252AD">
        <w:rPr>
          <w:lang w:val="fr-BE"/>
        </w:rPr>
        <w:t xml:space="preserve"> </w:t>
      </w:r>
      <w:r w:rsidR="009C2DDF">
        <w:t xml:space="preserve">Bovendien </w:t>
      </w:r>
      <w:r w:rsidR="004B5210" w:rsidRPr="007C528B">
        <w:t xml:space="preserve">beargumenteert Weiβ, </w:t>
      </w:r>
      <w:r w:rsidR="004B5210" w:rsidRPr="007C528B">
        <w:rPr>
          <w:i/>
          <w:iCs/>
        </w:rPr>
        <w:t>EuConst</w:t>
      </w:r>
      <w:r w:rsidR="004B5210" w:rsidRPr="007C528B">
        <w:t xml:space="preserve"> 2011, p. 69-70 &amp; 80-81, dat de verwijzing naar de autonomie van het EU-recht louter een punt van jurisdictie betreft, vanwege het gebrek aan formele onderwerping van de EU aan de rechtsmacht van het EHRM.</w:t>
      </w:r>
    </w:p>
  </w:footnote>
  <w:footnote w:id="162">
    <w:p w14:paraId="417D7961" w14:textId="3919268B" w:rsidR="00B769C4" w:rsidRDefault="00B769C4" w:rsidP="003820BE">
      <w:pPr>
        <w:pStyle w:val="FootnoteText"/>
        <w:jc w:val="both"/>
      </w:pPr>
      <w:r>
        <w:rPr>
          <w:rStyle w:val="FootnoteReference"/>
        </w:rPr>
        <w:footnoteRef/>
      </w:r>
      <w:r>
        <w:t xml:space="preserve"> </w:t>
      </w:r>
      <w:r w:rsidR="00A0745D">
        <w:t>N</w:t>
      </w:r>
      <w:r w:rsidR="00927BB7">
        <w:t>a</w:t>
      </w:r>
      <w:r w:rsidR="00950689">
        <w:t xml:space="preserve"> de</w:t>
      </w:r>
      <w:r w:rsidR="00927BB7">
        <w:t xml:space="preserve"> toetreding </w:t>
      </w:r>
      <w:r w:rsidR="00A0745D">
        <w:t xml:space="preserve">gaat </w:t>
      </w:r>
      <w:r w:rsidR="00927BB7">
        <w:t>artikel 11 EVRM direct werken in de EU-rechtsorde, waardoor artikel 28 Hv mogelijk naar de achtergrond verdwijnt</w:t>
      </w:r>
      <w:r w:rsidR="00DE69DF">
        <w:t>. Dit punt blijft hierna verder buiten beschouwing.</w:t>
      </w:r>
    </w:p>
  </w:footnote>
  <w:footnote w:id="163">
    <w:p w14:paraId="4021CFAC" w14:textId="338C21B6" w:rsidR="006859DB" w:rsidRPr="007C528B" w:rsidRDefault="006859DB" w:rsidP="003820BE">
      <w:pPr>
        <w:pStyle w:val="FootnoteText"/>
        <w:jc w:val="both"/>
      </w:pPr>
      <w:r w:rsidRPr="007C528B">
        <w:rPr>
          <w:rStyle w:val="FootnoteReference"/>
        </w:rPr>
        <w:footnoteRef/>
      </w:r>
      <w:r w:rsidRPr="007C528B">
        <w:t xml:space="preserve"> </w:t>
      </w:r>
      <w:r w:rsidR="00402394" w:rsidRPr="007C528B">
        <w:t xml:space="preserve">Zie </w:t>
      </w:r>
      <w:r w:rsidR="00097E36">
        <w:t>voor een historisch overzicht van</w:t>
      </w:r>
      <w:r w:rsidR="00402394" w:rsidRPr="007C528B">
        <w:t xml:space="preserve"> de </w:t>
      </w:r>
      <w:r w:rsidR="00097E36">
        <w:t xml:space="preserve">belangrijkste </w:t>
      </w:r>
      <w:r w:rsidR="00402394" w:rsidRPr="007C528B">
        <w:t xml:space="preserve">ontwikkelingen: Lawson 2013, p. 47-59. </w:t>
      </w:r>
    </w:p>
  </w:footnote>
  <w:footnote w:id="164">
    <w:p w14:paraId="6C8F80CE" w14:textId="15D5807B" w:rsidR="00E6056F" w:rsidRPr="00C869AE" w:rsidRDefault="00E6056F" w:rsidP="003820BE">
      <w:pPr>
        <w:pStyle w:val="FootnoteText"/>
        <w:jc w:val="both"/>
        <w:rPr>
          <w:lang w:val="en-US"/>
        </w:rPr>
      </w:pPr>
      <w:r w:rsidRPr="007C528B">
        <w:rPr>
          <w:rStyle w:val="FootnoteReference"/>
        </w:rPr>
        <w:footnoteRef/>
      </w:r>
      <w:r w:rsidRPr="00C869AE">
        <w:rPr>
          <w:lang w:val="en-US"/>
        </w:rPr>
        <w:t xml:space="preserve"> </w:t>
      </w:r>
      <w:bookmarkStart w:id="65" w:name="_Hlk152513759"/>
      <w:r w:rsidRPr="00C869AE">
        <w:rPr>
          <w:lang w:val="en-US"/>
        </w:rPr>
        <w:t>CDDH ad hoc negotiation group (‘46+1’)</w:t>
      </w:r>
      <w:bookmarkEnd w:id="65"/>
      <w:r w:rsidR="00BD1F5F">
        <w:rPr>
          <w:lang w:val="en-US"/>
        </w:rPr>
        <w:t>, ‘</w:t>
      </w:r>
      <w:r w:rsidR="00BD1F5F" w:rsidRPr="00BD1F5F">
        <w:rPr>
          <w:lang w:val="en-US"/>
        </w:rPr>
        <w:t>Final consolidated version of the draft accession instruments’, Strasbourg: 17 March 2023</w:t>
      </w:r>
      <w:r w:rsidR="00BD1F5F">
        <w:rPr>
          <w:lang w:val="en-US"/>
        </w:rPr>
        <w:t xml:space="preserve"> (</w:t>
      </w:r>
      <w:r w:rsidR="00000000">
        <w:fldChar w:fldCharType="begin"/>
      </w:r>
      <w:r w:rsidR="00000000" w:rsidRPr="00495BF6">
        <w:rPr>
          <w:lang w:val="en-US"/>
        </w:rPr>
        <w:instrText>HYPERLINK "https://rm.coe.int/final-consolidatedversion-of-the-draft-accession-instruments/1680aaaecd"</w:instrText>
      </w:r>
      <w:r w:rsidR="00000000">
        <w:fldChar w:fldCharType="separate"/>
      </w:r>
      <w:r w:rsidR="00BD1F5F">
        <w:rPr>
          <w:rStyle w:val="Hyperlink"/>
          <w:lang w:val="en-US"/>
        </w:rPr>
        <w:t>rm.coe.int</w:t>
      </w:r>
      <w:r w:rsidR="00000000">
        <w:rPr>
          <w:rStyle w:val="Hyperlink"/>
          <w:lang w:val="en-US"/>
        </w:rPr>
        <w:fldChar w:fldCharType="end"/>
      </w:r>
      <w:r w:rsidR="00BD1F5F">
        <w:rPr>
          <w:lang w:val="en-US"/>
        </w:rPr>
        <w:t xml:space="preserve">). </w:t>
      </w:r>
    </w:p>
  </w:footnote>
  <w:footnote w:id="165">
    <w:p w14:paraId="3E9BCD68" w14:textId="465DD890" w:rsidR="00A930DB" w:rsidRPr="007C528B" w:rsidRDefault="00A930DB" w:rsidP="003820BE">
      <w:pPr>
        <w:pStyle w:val="FootnoteText"/>
        <w:jc w:val="both"/>
      </w:pPr>
      <w:r w:rsidRPr="007C528B">
        <w:rPr>
          <w:rStyle w:val="FootnoteReference"/>
        </w:rPr>
        <w:footnoteRef/>
      </w:r>
      <w:r w:rsidRPr="007C528B">
        <w:t xml:space="preserve"> Zie over de nodige obstakels die nog moeten worden overwonnen: Krommendijk, </w:t>
      </w:r>
      <w:r w:rsidRPr="007C528B">
        <w:rPr>
          <w:i/>
          <w:iCs/>
        </w:rPr>
        <w:t>NJB</w:t>
      </w:r>
      <w:r w:rsidRPr="007C528B">
        <w:t xml:space="preserve"> 2023/</w:t>
      </w:r>
      <w:r w:rsidR="004B1236">
        <w:t>2123</w:t>
      </w:r>
      <w:r w:rsidRPr="007C528B">
        <w:t xml:space="preserve">, </w:t>
      </w:r>
      <w:r w:rsidR="00BB1B40" w:rsidRPr="007C528B">
        <w:t>par. 1</w:t>
      </w:r>
      <w:r w:rsidRPr="007C528B">
        <w:t>.</w:t>
      </w:r>
    </w:p>
  </w:footnote>
  <w:footnote w:id="166">
    <w:p w14:paraId="23B06A22" w14:textId="6F3139A5" w:rsidR="00CC040B" w:rsidRPr="007C528B" w:rsidRDefault="00CC040B" w:rsidP="003820BE">
      <w:pPr>
        <w:pStyle w:val="FootnoteText"/>
        <w:jc w:val="both"/>
      </w:pPr>
      <w:r w:rsidRPr="007C528B">
        <w:rPr>
          <w:rStyle w:val="FootnoteReference"/>
        </w:rPr>
        <w:footnoteRef/>
      </w:r>
      <w:r w:rsidRPr="007C528B">
        <w:t xml:space="preserve"> </w:t>
      </w:r>
      <w:bookmarkStart w:id="66" w:name="_Hlk155348026"/>
      <w:r w:rsidRPr="007C528B">
        <w:t>Stijnen 2011</w:t>
      </w:r>
      <w:bookmarkEnd w:id="66"/>
      <w:r w:rsidRPr="007C528B">
        <w:t>, p. 226.</w:t>
      </w:r>
      <w:r w:rsidR="00324535" w:rsidRPr="00324535">
        <w:t xml:space="preserve"> </w:t>
      </w:r>
      <w:r w:rsidR="00324535">
        <w:t>Anders</w:t>
      </w:r>
      <w:r w:rsidR="00324535" w:rsidRPr="00324535">
        <w:t xml:space="preserve"> </w:t>
      </w:r>
      <w:r w:rsidR="00324535">
        <w:t>(genuanceerder):</w:t>
      </w:r>
      <w:r w:rsidR="00324535" w:rsidRPr="00324535">
        <w:t xml:space="preserve"> </w:t>
      </w:r>
      <w:r w:rsidR="00324535" w:rsidRPr="007C528B">
        <w:t>Timmermans</w:t>
      </w:r>
      <w:r w:rsidR="00E10EE1">
        <w:t xml:space="preserve"> 2014,</w:t>
      </w:r>
      <w:r w:rsidR="00324535" w:rsidRPr="007C528B">
        <w:t xml:space="preserve"> p.</w:t>
      </w:r>
      <w:r w:rsidR="00324535" w:rsidRPr="00324535">
        <w:t xml:space="preserve"> </w:t>
      </w:r>
      <w:r w:rsidR="00324535">
        <w:t>18-19.</w:t>
      </w:r>
    </w:p>
  </w:footnote>
  <w:footnote w:id="167">
    <w:p w14:paraId="2D0F1F48" w14:textId="226A0B4F" w:rsidR="00D41CF9" w:rsidRPr="007C528B" w:rsidRDefault="00D41CF9" w:rsidP="003820BE">
      <w:pPr>
        <w:pStyle w:val="FootnoteText"/>
        <w:jc w:val="both"/>
      </w:pPr>
      <w:r w:rsidRPr="007C528B">
        <w:rPr>
          <w:rStyle w:val="FootnoteReference"/>
        </w:rPr>
        <w:footnoteRef/>
      </w:r>
      <w:r w:rsidRPr="007C528B">
        <w:t xml:space="preserve"> </w:t>
      </w:r>
      <w:r w:rsidR="006849D6" w:rsidRPr="007C528B">
        <w:t xml:space="preserve">Velyvyte, </w:t>
      </w:r>
      <w:r w:rsidR="006849D6" w:rsidRPr="007C528B">
        <w:rPr>
          <w:i/>
          <w:iCs/>
        </w:rPr>
        <w:t>HRLR</w:t>
      </w:r>
      <w:r w:rsidR="006849D6" w:rsidRPr="007C528B">
        <w:t xml:space="preserve"> 2015, p. </w:t>
      </w:r>
      <w:r w:rsidR="00652DF1" w:rsidRPr="007C528B">
        <w:t>91</w:t>
      </w:r>
      <w:r w:rsidR="006849D6" w:rsidRPr="007C528B">
        <w:t xml:space="preserve">; </w:t>
      </w:r>
      <w:r w:rsidR="0054034A" w:rsidRPr="007C528B">
        <w:t xml:space="preserve">Krommendijk, </w:t>
      </w:r>
      <w:r w:rsidR="0054034A" w:rsidRPr="007C528B">
        <w:rPr>
          <w:i/>
          <w:iCs/>
        </w:rPr>
        <w:t>NJB</w:t>
      </w:r>
      <w:r w:rsidR="0054034A" w:rsidRPr="007C528B">
        <w:t xml:space="preserve"> 2023/</w:t>
      </w:r>
      <w:r w:rsidR="004B1236">
        <w:t>2123</w:t>
      </w:r>
      <w:r w:rsidR="0054034A" w:rsidRPr="007C528B">
        <w:t>, p</w:t>
      </w:r>
      <w:r w:rsidR="007F6A4C" w:rsidRPr="007C528B">
        <w:t>.</w:t>
      </w:r>
      <w:r w:rsidR="0054034A" w:rsidRPr="007C528B">
        <w:t xml:space="preserve"> 2471</w:t>
      </w:r>
      <w:r w:rsidRPr="007C528B">
        <w:t>.</w:t>
      </w:r>
      <w:r w:rsidR="005A5BCC" w:rsidRPr="007C528B">
        <w:t xml:space="preserve"> </w:t>
      </w:r>
      <w:r w:rsidR="007F22BD" w:rsidRPr="007C528B">
        <w:t xml:space="preserve">Of het HvJ onder alle omstandigheden EHRM-uitspraken zal erkennen, is evenwel </w:t>
      </w:r>
      <w:r w:rsidR="00934149" w:rsidRPr="007C528B">
        <w:t>niet zeker</w:t>
      </w:r>
      <w:r w:rsidR="007F22BD" w:rsidRPr="007C528B">
        <w:t>.</w:t>
      </w:r>
      <w:r w:rsidR="00402394" w:rsidRPr="007C528B">
        <w:t xml:space="preserve"> </w:t>
      </w:r>
      <w:r w:rsidR="00934149" w:rsidRPr="007C528B">
        <w:t>G</w:t>
      </w:r>
      <w:r w:rsidR="00402394" w:rsidRPr="007C528B">
        <w:t xml:space="preserve">elet op de specifieke kenmerken en </w:t>
      </w:r>
      <w:r w:rsidR="00FB74A9">
        <w:t xml:space="preserve">de </w:t>
      </w:r>
      <w:r w:rsidR="00402394" w:rsidRPr="007C528B">
        <w:t>autonomie van</w:t>
      </w:r>
      <w:r w:rsidR="007F22BD" w:rsidRPr="007C528B">
        <w:t xml:space="preserve"> </w:t>
      </w:r>
      <w:r w:rsidR="00402394" w:rsidRPr="007C528B">
        <w:t xml:space="preserve">het </w:t>
      </w:r>
      <w:r w:rsidR="00937559">
        <w:t>Unie</w:t>
      </w:r>
      <w:r w:rsidR="00402394" w:rsidRPr="007C528B">
        <w:t>recht</w:t>
      </w:r>
      <w:r w:rsidR="00934149" w:rsidRPr="007C528B">
        <w:t xml:space="preserve"> is niet ondenkbaar dat het HvJ zich</w:t>
      </w:r>
      <w:r w:rsidR="00402394" w:rsidRPr="007C528B">
        <w:t xml:space="preserve"> </w:t>
      </w:r>
      <w:r w:rsidR="007F22BD" w:rsidRPr="007C528B">
        <w:t xml:space="preserve">een bepaalde discretionaire ruimte </w:t>
      </w:r>
      <w:r w:rsidR="00402394" w:rsidRPr="007C528B">
        <w:t>zal blijven</w:t>
      </w:r>
      <w:r w:rsidR="007F22BD" w:rsidRPr="007C528B">
        <w:t xml:space="preserve"> toe-eigenen, zie HvJ EU 18 december 2014, Advies 2/13, r.o. </w:t>
      </w:r>
      <w:r w:rsidR="009C2DDF">
        <w:t xml:space="preserve">170-172 &amp; </w:t>
      </w:r>
      <w:r w:rsidR="00E860E8">
        <w:t>183-</w:t>
      </w:r>
      <w:r w:rsidR="007F22BD" w:rsidRPr="007C528B">
        <w:t>1</w:t>
      </w:r>
      <w:r w:rsidR="00E42D68">
        <w:t>90</w:t>
      </w:r>
      <w:r w:rsidR="007F22BD" w:rsidRPr="007C528B">
        <w:t xml:space="preserve"> (</w:t>
      </w:r>
      <w:r w:rsidR="007F22BD" w:rsidRPr="007C528B">
        <w:rPr>
          <w:i/>
          <w:iCs/>
        </w:rPr>
        <w:t xml:space="preserve">Toetreding </w:t>
      </w:r>
      <w:r w:rsidR="009E3407">
        <w:rPr>
          <w:i/>
          <w:iCs/>
        </w:rPr>
        <w:t xml:space="preserve">van de </w:t>
      </w:r>
      <w:r w:rsidR="007F22BD" w:rsidRPr="007C528B">
        <w:rPr>
          <w:i/>
          <w:iCs/>
        </w:rPr>
        <w:t xml:space="preserve">EU tot </w:t>
      </w:r>
      <w:r w:rsidR="009E3407">
        <w:rPr>
          <w:i/>
          <w:iCs/>
        </w:rPr>
        <w:t xml:space="preserve">het </w:t>
      </w:r>
      <w:r w:rsidR="007F22BD" w:rsidRPr="007C528B">
        <w:rPr>
          <w:i/>
          <w:iCs/>
        </w:rPr>
        <w:t>EVRM</w:t>
      </w:r>
      <w:r w:rsidR="007F22BD" w:rsidRPr="007C528B">
        <w:t>)</w:t>
      </w:r>
      <w:r w:rsidR="006C6253" w:rsidRPr="007C528B">
        <w:t>.</w:t>
      </w:r>
    </w:p>
  </w:footnote>
  <w:footnote w:id="168">
    <w:p w14:paraId="6A218E8A" w14:textId="7169B053" w:rsidR="00294FE3" w:rsidRPr="007C528B" w:rsidRDefault="00294FE3" w:rsidP="003820BE">
      <w:pPr>
        <w:pStyle w:val="FootnoteText"/>
        <w:jc w:val="both"/>
      </w:pPr>
      <w:r w:rsidRPr="007C528B">
        <w:rPr>
          <w:rStyle w:val="FootnoteReference"/>
        </w:rPr>
        <w:footnoteRef/>
      </w:r>
      <w:r w:rsidRPr="007C528B">
        <w:t xml:space="preserve"> Barkhuysen, Bos &amp; Ten Have, </w:t>
      </w:r>
      <w:r w:rsidRPr="007C528B">
        <w:rPr>
          <w:i/>
          <w:iCs/>
        </w:rPr>
        <w:t>NTBR</w:t>
      </w:r>
      <w:r w:rsidRPr="007C528B">
        <w:t xml:space="preserve"> 2011/76, par. 2.1; Pennings &amp; Peters</w:t>
      </w:r>
      <w:r w:rsidR="006E4AE5" w:rsidRPr="007C528B">
        <w:t xml:space="preserve"> 2021, par. 2.3.1</w:t>
      </w:r>
      <w:r w:rsidRPr="007C528B">
        <w:t>.</w:t>
      </w:r>
    </w:p>
  </w:footnote>
  <w:footnote w:id="169">
    <w:p w14:paraId="7D268F1B" w14:textId="2A9C5DCB" w:rsidR="005A6D3D" w:rsidRDefault="005A6D3D" w:rsidP="003820BE">
      <w:pPr>
        <w:pStyle w:val="FootnoteText"/>
        <w:jc w:val="both"/>
      </w:pPr>
      <w:r>
        <w:rPr>
          <w:rStyle w:val="FootnoteReference"/>
        </w:rPr>
        <w:footnoteRef/>
      </w:r>
      <w:r>
        <w:t xml:space="preserve"> Zie in soortgelijke zin de zesde alinea van de preambule van het VEU, waarin EU-lidstaten (zonder meer) </w:t>
      </w:r>
      <w:r w:rsidRPr="00802E49">
        <w:t xml:space="preserve">hun </w:t>
      </w:r>
      <w:r>
        <w:t>gebondenheid</w:t>
      </w:r>
      <w:r w:rsidRPr="00802E49">
        <w:t xml:space="preserve"> aan </w:t>
      </w:r>
      <w:r>
        <w:t>(alle)</w:t>
      </w:r>
      <w:r w:rsidRPr="00802E49">
        <w:t xml:space="preserve"> sociale grondrechten </w:t>
      </w:r>
      <w:r>
        <w:t>uit</w:t>
      </w:r>
      <w:r w:rsidRPr="00802E49">
        <w:t xml:space="preserve"> het </w:t>
      </w:r>
      <w:r>
        <w:t>ESH</w:t>
      </w:r>
      <w:r w:rsidRPr="00802E49">
        <w:t xml:space="preserve"> </w:t>
      </w:r>
      <w:r>
        <w:t>hebben bevestigd.</w:t>
      </w:r>
    </w:p>
  </w:footnote>
  <w:footnote w:id="170">
    <w:p w14:paraId="2BDD173E" w14:textId="452D274D" w:rsidR="00DA3650" w:rsidRPr="007C528B" w:rsidRDefault="00DA3650" w:rsidP="003820BE">
      <w:pPr>
        <w:pStyle w:val="FootnoteText"/>
        <w:jc w:val="both"/>
      </w:pPr>
      <w:r w:rsidRPr="007C528B">
        <w:rPr>
          <w:rStyle w:val="FootnoteReference"/>
        </w:rPr>
        <w:footnoteRef/>
      </w:r>
      <w:r w:rsidRPr="007C528B">
        <w:t xml:space="preserve"> </w:t>
      </w:r>
      <w:bookmarkStart w:id="69" w:name="_Hlk155958640"/>
      <w:r w:rsidRPr="007C528B">
        <w:t>De Schutter 2017, p. 21</w:t>
      </w:r>
      <w:r w:rsidR="00D83263" w:rsidRPr="007C528B">
        <w:t>, 25</w:t>
      </w:r>
      <w:r w:rsidR="003F0B9C" w:rsidRPr="007C528B">
        <w:t xml:space="preserve"> &amp; 41-43. </w:t>
      </w:r>
      <w:bookmarkEnd w:id="69"/>
    </w:p>
  </w:footnote>
  <w:footnote w:id="171">
    <w:p w14:paraId="74443C9C" w14:textId="574179BD" w:rsidR="00C2742B" w:rsidRPr="007C528B" w:rsidRDefault="00C2742B" w:rsidP="003820BE">
      <w:pPr>
        <w:pStyle w:val="FootnoteText"/>
        <w:jc w:val="both"/>
      </w:pPr>
      <w:r w:rsidRPr="007C528B">
        <w:rPr>
          <w:rStyle w:val="FootnoteReference"/>
        </w:rPr>
        <w:footnoteRef/>
      </w:r>
      <w:r w:rsidRPr="007C528B">
        <w:t xml:space="preserve"> </w:t>
      </w:r>
      <w:r w:rsidR="00F20B6F" w:rsidRPr="007C528B">
        <w:t>A</w:t>
      </w:r>
      <w:r w:rsidRPr="007C528B">
        <w:t xml:space="preserve">lleen Oostenrijk, Luxemburg en Polen </w:t>
      </w:r>
      <w:r w:rsidR="00F20B6F" w:rsidRPr="007C528B">
        <w:t xml:space="preserve">hebben </w:t>
      </w:r>
      <w:r w:rsidR="00986C81" w:rsidRPr="007C528B">
        <w:t xml:space="preserve">(de herziene versie van) </w:t>
      </w:r>
      <w:r w:rsidRPr="007C528B">
        <w:t>artikel 6 lid 4 ESH niet geratificeerd</w:t>
      </w:r>
      <w:r w:rsidR="00840107" w:rsidRPr="007C528B">
        <w:t>.</w:t>
      </w:r>
    </w:p>
  </w:footnote>
  <w:footnote w:id="172">
    <w:p w14:paraId="475879F0" w14:textId="0AFB8A6A" w:rsidR="00B30C2E" w:rsidRPr="007C528B" w:rsidRDefault="00B30C2E" w:rsidP="003820BE">
      <w:pPr>
        <w:pStyle w:val="FootnoteText"/>
        <w:jc w:val="both"/>
      </w:pPr>
      <w:r w:rsidRPr="007C528B">
        <w:rPr>
          <w:rStyle w:val="FootnoteReference"/>
        </w:rPr>
        <w:footnoteRef/>
      </w:r>
      <w:r w:rsidRPr="007C528B">
        <w:t xml:space="preserve"> </w:t>
      </w:r>
      <w:r w:rsidR="00706916" w:rsidRPr="007C528B">
        <w:t xml:space="preserve">Peers &amp; Prechal 2021, p. 1645-1646; </w:t>
      </w:r>
      <w:r w:rsidR="00F81185" w:rsidRPr="007C528B">
        <w:t>De</w:t>
      </w:r>
      <w:r w:rsidRPr="007C528B">
        <w:t xml:space="preserve"> Witte</w:t>
      </w:r>
      <w:r w:rsidR="00F81185" w:rsidRPr="007C528B">
        <w:t xml:space="preserve"> 2021</w:t>
      </w:r>
      <w:r w:rsidRPr="007C528B">
        <w:t>, p. 1678</w:t>
      </w:r>
      <w:r w:rsidR="006C069F" w:rsidRPr="007C528B">
        <w:t>.</w:t>
      </w:r>
    </w:p>
  </w:footnote>
  <w:footnote w:id="173">
    <w:p w14:paraId="145E1557" w14:textId="341929FF" w:rsidR="00E857D6" w:rsidRPr="007C528B" w:rsidRDefault="00E857D6" w:rsidP="003820BE">
      <w:pPr>
        <w:pStyle w:val="FootnoteText"/>
        <w:jc w:val="both"/>
        <w:rPr>
          <w:lang w:val="de-DE"/>
        </w:rPr>
      </w:pPr>
      <w:r w:rsidRPr="007C528B">
        <w:rPr>
          <w:rStyle w:val="FootnoteReference"/>
        </w:rPr>
        <w:footnoteRef/>
      </w:r>
      <w:r w:rsidRPr="007C528B">
        <w:rPr>
          <w:lang w:val="de-DE"/>
        </w:rPr>
        <w:t xml:space="preserve"> Lörcher 2013, p. 16.</w:t>
      </w:r>
    </w:p>
  </w:footnote>
  <w:footnote w:id="174">
    <w:p w14:paraId="52496E89" w14:textId="77777777" w:rsidR="00B20B73" w:rsidRPr="007C528B" w:rsidRDefault="00B20B73" w:rsidP="003820BE">
      <w:pPr>
        <w:pStyle w:val="FootnoteText"/>
        <w:jc w:val="both"/>
        <w:rPr>
          <w:lang w:val="de-DE"/>
        </w:rPr>
      </w:pPr>
      <w:r w:rsidRPr="007C528B">
        <w:rPr>
          <w:rStyle w:val="FootnoteReference"/>
        </w:rPr>
        <w:footnoteRef/>
      </w:r>
      <w:r w:rsidRPr="007C528B">
        <w:rPr>
          <w:lang w:val="de-DE"/>
        </w:rPr>
        <w:t xml:space="preserve"> Sychenko &amp; Perulli 2023, p. 6, 13-15, 18 &amp; 86-87.</w:t>
      </w:r>
    </w:p>
  </w:footnote>
  <w:footnote w:id="175">
    <w:p w14:paraId="1B60DC90" w14:textId="6C097E7D" w:rsidR="00F14AB5" w:rsidRPr="007C528B" w:rsidRDefault="00F14AB5" w:rsidP="003820BE">
      <w:pPr>
        <w:pStyle w:val="FootnoteText"/>
        <w:jc w:val="both"/>
      </w:pPr>
      <w:r w:rsidRPr="007C528B">
        <w:rPr>
          <w:rStyle w:val="FootnoteReference"/>
        </w:rPr>
        <w:footnoteRef/>
      </w:r>
      <w:r w:rsidRPr="007C528B">
        <w:t xml:space="preserve"> </w:t>
      </w:r>
      <w:r w:rsidR="00D451D3" w:rsidRPr="007C528B">
        <w:t xml:space="preserve">Het WVV is op zich juridisch </w:t>
      </w:r>
      <w:r w:rsidR="003E184A">
        <w:t>niet-</w:t>
      </w:r>
      <w:r w:rsidR="00D451D3" w:rsidRPr="007C528B">
        <w:t>bindend voor het EHRM</w:t>
      </w:r>
      <w:r w:rsidR="006F18DE">
        <w:t>,</w:t>
      </w:r>
      <w:r w:rsidR="006F18DE" w:rsidRPr="007C528B">
        <w:t xml:space="preserve"> </w:t>
      </w:r>
      <w:r w:rsidR="006F18DE">
        <w:t>aangezien</w:t>
      </w:r>
      <w:r w:rsidR="00D451D3" w:rsidRPr="007C528B">
        <w:t xml:space="preserve"> </w:t>
      </w:r>
      <w:r w:rsidR="00A67061" w:rsidRPr="007C528B">
        <w:t xml:space="preserve">de Raad van Europa </w:t>
      </w:r>
      <w:r w:rsidR="006F18DE">
        <w:t>geen</w:t>
      </w:r>
      <w:r w:rsidR="006F18DE" w:rsidRPr="007C528B">
        <w:t xml:space="preserve"> </w:t>
      </w:r>
      <w:r w:rsidR="00D451D3" w:rsidRPr="007C528B">
        <w:t xml:space="preserve">partij </w:t>
      </w:r>
      <w:r w:rsidR="006F18DE">
        <w:t>is</w:t>
      </w:r>
      <w:r w:rsidR="006F18DE" w:rsidRPr="007C528B">
        <w:t xml:space="preserve"> </w:t>
      </w:r>
      <w:r w:rsidR="00D451D3" w:rsidRPr="007C528B">
        <w:t>bij dit verdrag. Niettemin wordt volgens Lörcher 2013, p. 12, algemeen aanvaard dat veel van de beginselen die zijn vastgelegd in het WVV</w:t>
      </w:r>
      <w:r w:rsidR="00E7276E" w:rsidRPr="007C528B">
        <w:t>, in het bijzonder de bepalingen omtrent interpretatiekwesties zoals artikel 31</w:t>
      </w:r>
      <w:r w:rsidR="006F18DE" w:rsidRPr="007C528B">
        <w:t xml:space="preserve"> </w:t>
      </w:r>
      <w:r w:rsidR="006F18DE">
        <w:t>WVV</w:t>
      </w:r>
      <w:r w:rsidR="00E7276E" w:rsidRPr="007C528B">
        <w:t>,</w:t>
      </w:r>
      <w:r w:rsidR="00D451D3" w:rsidRPr="007C528B">
        <w:t xml:space="preserve"> bindend internationaal recht </w:t>
      </w:r>
      <w:r w:rsidR="006F18DE">
        <w:t>vertegenwoordigen</w:t>
      </w:r>
      <w:r w:rsidR="00D451D3" w:rsidRPr="007C528B">
        <w:t xml:space="preserve">. </w:t>
      </w:r>
      <w:r w:rsidR="00412C73">
        <w:t>H</w:t>
      </w:r>
      <w:r w:rsidR="00D451D3" w:rsidRPr="007C528B">
        <w:t xml:space="preserve">et EHRM </w:t>
      </w:r>
      <w:r w:rsidR="00412C73">
        <w:t xml:space="preserve">verwijst dan ook </w:t>
      </w:r>
      <w:r w:rsidR="00D451D3" w:rsidRPr="007C528B">
        <w:t>geregeld naar het WVV, zij het in formuleringen die duidelijk maken dat het Hof zich</w:t>
      </w:r>
      <w:r w:rsidR="008D5310" w:rsidRPr="007C528B">
        <w:t xml:space="preserve"> </w:t>
      </w:r>
      <w:r w:rsidR="006F18DE" w:rsidRPr="006F18DE">
        <w:t>–</w:t>
      </w:r>
      <w:r w:rsidR="006F18DE" w:rsidRPr="007C528B">
        <w:t xml:space="preserve"> </w:t>
      </w:r>
      <w:r w:rsidR="008D5310" w:rsidRPr="007C528B">
        <w:t>overeenkomstig artikel 5 WVV</w:t>
      </w:r>
      <w:r w:rsidR="00D451D3" w:rsidRPr="007C528B">
        <w:t xml:space="preserve"> </w:t>
      </w:r>
      <w:r w:rsidR="006F18DE" w:rsidRPr="006F18DE">
        <w:t>–</w:t>
      </w:r>
      <w:r w:rsidR="006F18DE" w:rsidRPr="007C528B">
        <w:t xml:space="preserve"> </w:t>
      </w:r>
      <w:r w:rsidR="00D451D3" w:rsidRPr="007C528B">
        <w:t>de nodige flexibiliteit voorbehoudt.</w:t>
      </w:r>
    </w:p>
  </w:footnote>
  <w:footnote w:id="176">
    <w:p w14:paraId="35CD20C3" w14:textId="2E2D488F" w:rsidR="005F021A" w:rsidRPr="007C528B" w:rsidRDefault="005F021A" w:rsidP="003820BE">
      <w:pPr>
        <w:pStyle w:val="FootnoteText"/>
        <w:jc w:val="both"/>
      </w:pPr>
      <w:r w:rsidRPr="007C528B">
        <w:rPr>
          <w:rStyle w:val="FootnoteReference"/>
        </w:rPr>
        <w:footnoteRef/>
      </w:r>
      <w:r w:rsidRPr="007C528B">
        <w:t xml:space="preserve"> </w:t>
      </w:r>
      <w:r w:rsidR="007F3FEC" w:rsidRPr="007C528B">
        <w:t xml:space="preserve">Ewing &amp; Hendy, </w:t>
      </w:r>
      <w:r w:rsidR="007F3FEC" w:rsidRPr="007C528B">
        <w:rPr>
          <w:i/>
          <w:iCs/>
        </w:rPr>
        <w:t xml:space="preserve">ILJ </w:t>
      </w:r>
      <w:r w:rsidR="007F3FEC" w:rsidRPr="007C528B">
        <w:t>2010, p. 11-13</w:t>
      </w:r>
      <w:r w:rsidR="007F3FEC">
        <w:t xml:space="preserve">; </w:t>
      </w:r>
      <w:r w:rsidR="007F3FEC" w:rsidRPr="007C528B">
        <w:t xml:space="preserve">Velyvyte, </w:t>
      </w:r>
      <w:r w:rsidR="007F3FEC" w:rsidRPr="007C528B">
        <w:rPr>
          <w:i/>
          <w:iCs/>
        </w:rPr>
        <w:t>HRLR</w:t>
      </w:r>
      <w:r w:rsidR="007F3FEC" w:rsidRPr="007C528B">
        <w:t xml:space="preserve"> 2015, p. 73 &amp; 78</w:t>
      </w:r>
      <w:r w:rsidR="007F3FEC">
        <w:t xml:space="preserve">; </w:t>
      </w:r>
      <w:r w:rsidRPr="007C528B">
        <w:t>Dorssemont 2017, p. 265</w:t>
      </w:r>
      <w:r w:rsidR="009528C9" w:rsidRPr="007C528B">
        <w:t>.</w:t>
      </w:r>
    </w:p>
  </w:footnote>
  <w:footnote w:id="177">
    <w:p w14:paraId="199D5D00" w14:textId="53A28FCF" w:rsidR="00814FF4" w:rsidRPr="007C528B" w:rsidRDefault="00814FF4" w:rsidP="003820BE">
      <w:pPr>
        <w:pStyle w:val="FootnoteText"/>
        <w:jc w:val="both"/>
      </w:pPr>
      <w:r w:rsidRPr="007C528B">
        <w:rPr>
          <w:rStyle w:val="FootnoteReference"/>
        </w:rPr>
        <w:footnoteRef/>
      </w:r>
      <w:r w:rsidRPr="007C528B">
        <w:t xml:space="preserve"> Teklè, </w:t>
      </w:r>
      <w:r w:rsidRPr="007C528B">
        <w:rPr>
          <w:i/>
          <w:iCs/>
        </w:rPr>
        <w:t>ELLJ</w:t>
      </w:r>
      <w:r w:rsidRPr="007C528B">
        <w:t xml:space="preserve"> 2018, p. 240</w:t>
      </w:r>
      <w:r w:rsidR="00DE2979" w:rsidRPr="007C528B">
        <w:t xml:space="preserve"> &amp; 256-257</w:t>
      </w:r>
      <w:r w:rsidR="00C03080">
        <w:t>,</w:t>
      </w:r>
      <w:r w:rsidR="00FD1D33" w:rsidRPr="007C528B">
        <w:t xml:space="preserve"> </w:t>
      </w:r>
      <w:r w:rsidR="00C03080">
        <w:t>wijst b</w:t>
      </w:r>
      <w:r w:rsidR="00FD1D33">
        <w:t>ehalve</w:t>
      </w:r>
      <w:r w:rsidR="00FD1D33" w:rsidRPr="007C528B">
        <w:t xml:space="preserve"> </w:t>
      </w:r>
      <w:r w:rsidR="00FD1D33">
        <w:t>op</w:t>
      </w:r>
      <w:r w:rsidR="00FD1D33" w:rsidRPr="007C528B">
        <w:t xml:space="preserve"> </w:t>
      </w:r>
      <w:r w:rsidR="00A0369F" w:rsidRPr="007C528B">
        <w:t xml:space="preserve">artikel 53 Hv </w:t>
      </w:r>
      <w:r w:rsidR="00C03080">
        <w:t>tevens</w:t>
      </w:r>
      <w:r w:rsidR="00E56529" w:rsidRPr="007C528B">
        <w:t xml:space="preserve"> </w:t>
      </w:r>
      <w:r w:rsidR="00C14F42" w:rsidRPr="007C528B">
        <w:t>op</w:t>
      </w:r>
      <w:r w:rsidR="00A0369F" w:rsidRPr="007C528B">
        <w:t xml:space="preserve"> artikel 6 lid 3 VEU</w:t>
      </w:r>
      <w:r w:rsidR="00C14F42" w:rsidRPr="007C528B">
        <w:t>.</w:t>
      </w:r>
      <w:r w:rsidR="00E56529" w:rsidRPr="007C528B">
        <w:t xml:space="preserve"> </w:t>
      </w:r>
      <w:r w:rsidR="00E56529">
        <w:t>Volgens</w:t>
      </w:r>
      <w:r w:rsidR="00E56529" w:rsidRPr="007C528B">
        <w:t xml:space="preserve"> </w:t>
      </w:r>
      <w:r w:rsidR="00E56529">
        <w:t>haar</w:t>
      </w:r>
      <w:r w:rsidR="00E56529" w:rsidRPr="007C528B">
        <w:t xml:space="preserve"> </w:t>
      </w:r>
      <w:r w:rsidR="00A957CE">
        <w:t>behoren de</w:t>
      </w:r>
      <w:r w:rsidR="00E56529" w:rsidRPr="007C528B">
        <w:t xml:space="preserve"> </w:t>
      </w:r>
      <w:r w:rsidR="00E56529">
        <w:t>ILO-Verdrag</w:t>
      </w:r>
      <w:r w:rsidR="00A957CE">
        <w:t>en</w:t>
      </w:r>
      <w:r w:rsidR="00E56529" w:rsidRPr="007C528B">
        <w:t xml:space="preserve"> </w:t>
      </w:r>
      <w:r w:rsidR="00E56529">
        <w:t>87</w:t>
      </w:r>
      <w:r w:rsidR="00E56529" w:rsidRPr="007C528B">
        <w:t xml:space="preserve"> </w:t>
      </w:r>
      <w:r w:rsidR="00A957CE">
        <w:t xml:space="preserve">en 98 </w:t>
      </w:r>
      <w:r w:rsidR="00E56529">
        <w:t>tot</w:t>
      </w:r>
      <w:r w:rsidR="00E56529" w:rsidRPr="007C528B">
        <w:t xml:space="preserve"> </w:t>
      </w:r>
      <w:r w:rsidR="00E56529">
        <w:t>de</w:t>
      </w:r>
      <w:r w:rsidR="00E56529" w:rsidRPr="007C528B">
        <w:t xml:space="preserve"> </w:t>
      </w:r>
      <w:r w:rsidR="008A1C43">
        <w:t>‘</w:t>
      </w:r>
      <w:r w:rsidR="00E56529" w:rsidRPr="00C03080">
        <w:rPr>
          <w:i/>
          <w:iCs/>
        </w:rPr>
        <w:t>constitutionele tradities van de lidstaten</w:t>
      </w:r>
      <w:r w:rsidR="008A1C43">
        <w:t>’</w:t>
      </w:r>
      <w:r w:rsidR="00E56529" w:rsidRPr="007C528B">
        <w:t xml:space="preserve"> </w:t>
      </w:r>
      <w:r w:rsidR="00E56529">
        <w:t>in</w:t>
      </w:r>
      <w:r w:rsidR="00E56529" w:rsidRPr="007C528B">
        <w:t xml:space="preserve"> </w:t>
      </w:r>
      <w:r w:rsidR="00E56529">
        <w:t>de</w:t>
      </w:r>
      <w:r w:rsidR="00E56529" w:rsidRPr="007C528B">
        <w:t xml:space="preserve"> </w:t>
      </w:r>
      <w:r w:rsidR="00E56529">
        <w:t>zin</w:t>
      </w:r>
      <w:r w:rsidR="00E56529" w:rsidRPr="007C528B">
        <w:t xml:space="preserve"> </w:t>
      </w:r>
      <w:r w:rsidR="00E56529">
        <w:t>van</w:t>
      </w:r>
      <w:r w:rsidR="00E56529" w:rsidRPr="007C528B">
        <w:t xml:space="preserve"> </w:t>
      </w:r>
      <w:r w:rsidR="00E56529">
        <w:t>deze</w:t>
      </w:r>
      <w:r w:rsidR="00E56529" w:rsidRPr="007C528B">
        <w:t xml:space="preserve"> </w:t>
      </w:r>
      <w:r w:rsidR="00E56529">
        <w:t>bepaling.</w:t>
      </w:r>
      <w:r w:rsidR="00E56529" w:rsidRPr="007C528B">
        <w:t xml:space="preserve"> </w:t>
      </w:r>
    </w:p>
  </w:footnote>
  <w:footnote w:id="178">
    <w:p w14:paraId="04C9BC9C" w14:textId="6E9ABB83" w:rsidR="0058331D" w:rsidRPr="007C528B" w:rsidRDefault="0058331D" w:rsidP="003820BE">
      <w:pPr>
        <w:pStyle w:val="FootnoteText"/>
        <w:jc w:val="both"/>
      </w:pPr>
      <w:r w:rsidRPr="007C528B">
        <w:rPr>
          <w:rStyle w:val="FootnoteReference"/>
        </w:rPr>
        <w:footnoteRef/>
      </w:r>
      <w:r w:rsidRPr="007C528B">
        <w:t xml:space="preserve"> </w:t>
      </w:r>
      <w:bookmarkStart w:id="70" w:name="_Hlk155982815"/>
      <w:r w:rsidRPr="007C528B">
        <w:t xml:space="preserve">Op grond van de </w:t>
      </w:r>
      <w:r w:rsidR="00B467B1" w:rsidRPr="0080665C">
        <w:t>ILO Declaration on Fundamental Principles and Rights at Work (1998) and its Follow-up (2022)</w:t>
      </w:r>
      <w:r w:rsidR="00B467B1">
        <w:t xml:space="preserve"> </w:t>
      </w:r>
      <w:r w:rsidRPr="007C528B">
        <w:t xml:space="preserve">zijn bovendien alle </w:t>
      </w:r>
      <w:r w:rsidR="0039428A">
        <w:t>lid</w:t>
      </w:r>
      <w:r w:rsidRPr="007C528B">
        <w:t xml:space="preserve">staten van de ILO </w:t>
      </w:r>
      <w:r w:rsidR="0039428A">
        <w:t xml:space="preserve">automatisch </w:t>
      </w:r>
      <w:r w:rsidRPr="007C528B">
        <w:t xml:space="preserve">gebonden aan </w:t>
      </w:r>
      <w:r w:rsidR="007F3FEC">
        <w:t xml:space="preserve">de </w:t>
      </w:r>
      <w:r w:rsidRPr="007C528B">
        <w:t>ILO-Verdrag</w:t>
      </w:r>
      <w:r w:rsidR="00C7484C" w:rsidRPr="007C528B">
        <w:t>en</w:t>
      </w:r>
      <w:r w:rsidRPr="007C528B">
        <w:t xml:space="preserve"> 87 en 98.</w:t>
      </w:r>
    </w:p>
    <w:bookmarkEnd w:id="70"/>
  </w:footnote>
  <w:footnote w:id="179">
    <w:p w14:paraId="1CAECB55" w14:textId="66BE7A16" w:rsidR="004755AB" w:rsidRPr="007C528B" w:rsidRDefault="004755AB" w:rsidP="003820BE">
      <w:pPr>
        <w:pStyle w:val="FootnoteText"/>
        <w:jc w:val="both"/>
        <w:rPr>
          <w:lang w:val="fr-BE"/>
        </w:rPr>
      </w:pPr>
      <w:r w:rsidRPr="007C528B">
        <w:rPr>
          <w:rStyle w:val="FootnoteReference"/>
        </w:rPr>
        <w:footnoteRef/>
      </w:r>
      <w:r w:rsidRPr="007C528B">
        <w:rPr>
          <w:lang w:val="fr-BE"/>
        </w:rPr>
        <w:t xml:space="preserve"> CAS, General Report (Part I) 2010, par. 57; CAS, General Report (Part I) 2011, par. 55</w:t>
      </w:r>
      <w:r w:rsidR="00584673" w:rsidRPr="007C528B">
        <w:rPr>
          <w:lang w:val="fr-BE"/>
        </w:rPr>
        <w:t>.</w:t>
      </w:r>
    </w:p>
  </w:footnote>
  <w:footnote w:id="180">
    <w:p w14:paraId="01489F39" w14:textId="2E380EA9" w:rsidR="00584673" w:rsidRPr="007C528B" w:rsidRDefault="00584673" w:rsidP="003820BE">
      <w:pPr>
        <w:pStyle w:val="FootnoteText"/>
        <w:jc w:val="both"/>
        <w:rPr>
          <w:lang w:val="fr-BE"/>
        </w:rPr>
      </w:pPr>
      <w:r w:rsidRPr="007C528B">
        <w:rPr>
          <w:rStyle w:val="FootnoteReference"/>
        </w:rPr>
        <w:footnoteRef/>
      </w:r>
      <w:r w:rsidRPr="007C528B">
        <w:rPr>
          <w:lang w:val="fr-BE"/>
        </w:rPr>
        <w:t xml:space="preserve"> CAS, General Report (Part I) 2010, par. 74; CoE, Report III (Part 1B) 2012, par. 118-119.</w:t>
      </w:r>
    </w:p>
  </w:footnote>
  <w:footnote w:id="181">
    <w:p w14:paraId="3C9DC0EB" w14:textId="566C4487" w:rsidR="00DA5B16" w:rsidRPr="004D7551" w:rsidRDefault="00DA5B16" w:rsidP="003820BE">
      <w:pPr>
        <w:pStyle w:val="FootnoteText"/>
        <w:jc w:val="both"/>
      </w:pPr>
      <w:r w:rsidRPr="007C528B">
        <w:rPr>
          <w:rStyle w:val="FootnoteReference"/>
        </w:rPr>
        <w:footnoteRef/>
      </w:r>
      <w:r w:rsidRPr="004D7551">
        <w:t xml:space="preserve"> CAS, General Report (Part I) 2012, par. 22</w:t>
      </w:r>
      <w:r w:rsidR="00CA55EA" w:rsidRPr="004D7551">
        <w:t>, 82, 134</w:t>
      </w:r>
      <w:r w:rsidR="00904F1C" w:rsidRPr="004D7551">
        <w:t xml:space="preserve"> &amp;</w:t>
      </w:r>
      <w:r w:rsidR="00AD0FF1" w:rsidRPr="004D7551">
        <w:t xml:space="preserve"> 145-</w:t>
      </w:r>
      <w:r w:rsidR="00BA5DB9" w:rsidRPr="004D7551">
        <w:t>195</w:t>
      </w:r>
      <w:r w:rsidR="00581A4C" w:rsidRPr="004D7551">
        <w:t>.</w:t>
      </w:r>
    </w:p>
  </w:footnote>
  <w:footnote w:id="182">
    <w:p w14:paraId="51065895" w14:textId="6263FB5C" w:rsidR="004F61CB" w:rsidRPr="004D7551" w:rsidRDefault="004F61CB" w:rsidP="003820BE">
      <w:pPr>
        <w:pStyle w:val="FootnoteText"/>
        <w:jc w:val="both"/>
      </w:pPr>
      <w:r w:rsidRPr="007C528B">
        <w:rPr>
          <w:rStyle w:val="FootnoteReference"/>
        </w:rPr>
        <w:footnoteRef/>
      </w:r>
      <w:r w:rsidRPr="004D7551">
        <w:t xml:space="preserve"> </w:t>
      </w:r>
      <w:r w:rsidR="002E60E9" w:rsidRPr="004D7551">
        <w:t>Nog</w:t>
      </w:r>
      <w:r w:rsidR="002E60E9">
        <w:t xml:space="preserve"> steeds worden geen conclusies met betrekking tot het stakingsrecht opgenomen in de rapporten van de CAS</w:t>
      </w:r>
      <w:r w:rsidR="00C67CEF">
        <w:t>,</w:t>
      </w:r>
      <w:r w:rsidR="00C67CEF" w:rsidRPr="007C528B">
        <w:t xml:space="preserve"> </w:t>
      </w:r>
      <w:r w:rsidR="00C67CEF">
        <w:t>zie</w:t>
      </w:r>
      <w:r w:rsidR="002E60E9" w:rsidRPr="004D7551">
        <w:t xml:space="preserve"> </w:t>
      </w:r>
      <w:r w:rsidR="00557BE1">
        <w:t xml:space="preserve">CAS, </w:t>
      </w:r>
      <w:r w:rsidRPr="004D7551">
        <w:t>General Report (Part I) 2023, par. 44</w:t>
      </w:r>
      <w:r w:rsidR="00904F1C" w:rsidRPr="004D7551">
        <w:t xml:space="preserve"> &amp;</w:t>
      </w:r>
      <w:r w:rsidR="00C927BC" w:rsidRPr="004D7551">
        <w:t xml:space="preserve"> 93</w:t>
      </w:r>
      <w:r w:rsidRPr="004D7551">
        <w:t>.</w:t>
      </w:r>
    </w:p>
  </w:footnote>
  <w:footnote w:id="183">
    <w:p w14:paraId="084F8EB9" w14:textId="77777777" w:rsidR="007749DF" w:rsidRPr="004D7551" w:rsidRDefault="007749DF" w:rsidP="003820BE">
      <w:pPr>
        <w:pStyle w:val="FootnoteText"/>
        <w:jc w:val="both"/>
      </w:pPr>
      <w:r w:rsidRPr="007C528B">
        <w:rPr>
          <w:rStyle w:val="FootnoteReference"/>
        </w:rPr>
        <w:footnoteRef/>
      </w:r>
      <w:r w:rsidRPr="004D7551">
        <w:t xml:space="preserve"> Van der Heijden, </w:t>
      </w:r>
      <w:r w:rsidRPr="004D7551">
        <w:rPr>
          <w:i/>
          <w:iCs/>
        </w:rPr>
        <w:t>TRA</w:t>
      </w:r>
      <w:r w:rsidRPr="004D7551">
        <w:t xml:space="preserve"> 2017/36, par. 3.2.</w:t>
      </w:r>
    </w:p>
  </w:footnote>
  <w:footnote w:id="184">
    <w:p w14:paraId="31DC1C9A" w14:textId="3442E33A" w:rsidR="00517745" w:rsidRPr="007C528B" w:rsidRDefault="00517745" w:rsidP="003820BE">
      <w:pPr>
        <w:pStyle w:val="FootnoteText"/>
        <w:jc w:val="both"/>
      </w:pPr>
      <w:r w:rsidRPr="007C528B">
        <w:rPr>
          <w:rStyle w:val="FootnoteReference"/>
        </w:rPr>
        <w:footnoteRef/>
      </w:r>
      <w:r w:rsidRPr="007C528B">
        <w:t xml:space="preserve"> Zie het persbericht op de </w:t>
      </w:r>
      <w:r w:rsidR="006D792B">
        <w:t>website van de ILO (</w:t>
      </w:r>
      <w:hyperlink r:id="rId11" w:history="1">
        <w:r w:rsidR="006D792B">
          <w:rPr>
            <w:rStyle w:val="Hyperlink"/>
          </w:rPr>
          <w:t>ilo.org</w:t>
        </w:r>
      </w:hyperlink>
      <w:r w:rsidR="006D792B">
        <w:t>).</w:t>
      </w:r>
      <w:r w:rsidR="002E60E9">
        <w:t xml:space="preserve"> Zie tevens </w:t>
      </w:r>
      <w:r w:rsidR="003C79BC" w:rsidRPr="007C528B">
        <w:t xml:space="preserve">de </w:t>
      </w:r>
      <w:r w:rsidR="006D792B">
        <w:t xml:space="preserve">website </w:t>
      </w:r>
      <w:r w:rsidR="003C79BC" w:rsidRPr="007C528B">
        <w:t>van het IGH</w:t>
      </w:r>
      <w:r w:rsidR="006D792B">
        <w:t xml:space="preserve"> (</w:t>
      </w:r>
      <w:hyperlink r:id="rId12" w:history="1">
        <w:r w:rsidR="006D792B">
          <w:rPr>
            <w:rStyle w:val="Hyperlink"/>
          </w:rPr>
          <w:t>icj-cij.org</w:t>
        </w:r>
      </w:hyperlink>
      <w:r w:rsidR="006D792B">
        <w:t>).</w:t>
      </w:r>
      <w:r w:rsidR="005E12E0" w:rsidRPr="007C528B">
        <w:t xml:space="preserve"> </w:t>
      </w:r>
    </w:p>
  </w:footnote>
  <w:footnote w:id="185">
    <w:p w14:paraId="2567BCE5" w14:textId="270F85C1" w:rsidR="007A774A" w:rsidRPr="007C528B" w:rsidRDefault="007A774A" w:rsidP="003820BE">
      <w:pPr>
        <w:pStyle w:val="FootnoteText"/>
        <w:jc w:val="both"/>
      </w:pPr>
      <w:r w:rsidRPr="007C528B">
        <w:rPr>
          <w:rStyle w:val="FootnoteReference"/>
        </w:rPr>
        <w:footnoteRef/>
      </w:r>
      <w:r w:rsidRPr="007C528B">
        <w:t xml:space="preserve"> Als het aan Ewing, </w:t>
      </w:r>
      <w:r w:rsidRPr="007C528B">
        <w:rPr>
          <w:i/>
          <w:iCs/>
        </w:rPr>
        <w:t>IJCLLIR</w:t>
      </w:r>
      <w:r w:rsidRPr="007C528B">
        <w:t xml:space="preserve"> 2013, par. </w:t>
      </w:r>
      <w:r w:rsidR="000E7203" w:rsidRPr="007C528B">
        <w:t>5</w:t>
      </w:r>
      <w:r w:rsidR="004C7D67" w:rsidRPr="007C528B">
        <w:t>-8</w:t>
      </w:r>
      <w:r w:rsidR="000E7203" w:rsidRPr="007C528B">
        <w:t>, ligt, dient dat de uitkomst van het geschil te zijn.</w:t>
      </w:r>
    </w:p>
  </w:footnote>
  <w:footnote w:id="186">
    <w:p w14:paraId="2D7FA949" w14:textId="77777777" w:rsidR="00814F71" w:rsidRPr="007C528B" w:rsidRDefault="00814F71" w:rsidP="003820BE">
      <w:pPr>
        <w:pStyle w:val="FootnoteText"/>
        <w:jc w:val="both"/>
      </w:pPr>
      <w:r w:rsidRPr="007C528B">
        <w:rPr>
          <w:rStyle w:val="FootnoteReference"/>
        </w:rPr>
        <w:footnoteRef/>
      </w:r>
      <w:r w:rsidRPr="007C528B">
        <w:t xml:space="preserve"> De Búrca, </w:t>
      </w:r>
      <w:r w:rsidRPr="007C528B">
        <w:rPr>
          <w:i/>
          <w:iCs/>
        </w:rPr>
        <w:t>MJECL</w:t>
      </w:r>
      <w:r w:rsidRPr="007C528B">
        <w:t xml:space="preserve"> 2013, p. 178.</w:t>
      </w:r>
    </w:p>
  </w:footnote>
  <w:footnote w:id="187">
    <w:p w14:paraId="389A6B2C" w14:textId="4F77D804" w:rsidR="00181266" w:rsidRPr="007C528B" w:rsidRDefault="00181266" w:rsidP="003820BE">
      <w:pPr>
        <w:pStyle w:val="FootnoteText"/>
        <w:jc w:val="both"/>
      </w:pPr>
      <w:r w:rsidRPr="007C528B">
        <w:rPr>
          <w:rStyle w:val="FootnoteReference"/>
        </w:rPr>
        <w:footnoteRef/>
      </w:r>
      <w:r w:rsidRPr="007C528B">
        <w:t xml:space="preserve"> De Schutter 2017, p. 21</w:t>
      </w:r>
      <w:r w:rsidR="00530EB2" w:rsidRPr="007C528B">
        <w:t xml:space="preserve"> &amp;</w:t>
      </w:r>
      <w:r w:rsidRPr="007C528B">
        <w:t xml:space="preserve"> 24</w:t>
      </w:r>
      <w:r w:rsidR="003A1798" w:rsidRPr="007C528B">
        <w:t xml:space="preserve">; Teklè, </w:t>
      </w:r>
      <w:r w:rsidR="003A1798" w:rsidRPr="007C528B">
        <w:rPr>
          <w:i/>
          <w:iCs/>
        </w:rPr>
        <w:t>ELLJ</w:t>
      </w:r>
      <w:r w:rsidR="003A1798" w:rsidRPr="007C528B">
        <w:t xml:space="preserve"> 2018, p. 243, 248-250, 254-256, 258 &amp; 261</w:t>
      </w:r>
      <w:r w:rsidR="00B22504">
        <w:t>.</w:t>
      </w:r>
    </w:p>
  </w:footnote>
  <w:footnote w:id="188">
    <w:p w14:paraId="262399DD" w14:textId="30AEF242" w:rsidR="005033E7" w:rsidRPr="007C528B" w:rsidRDefault="005033E7" w:rsidP="003820BE">
      <w:pPr>
        <w:pStyle w:val="FootnoteText"/>
        <w:jc w:val="both"/>
        <w:rPr>
          <w:i/>
          <w:iCs/>
        </w:rPr>
      </w:pPr>
      <w:r w:rsidRPr="007C528B">
        <w:rPr>
          <w:rStyle w:val="FootnoteReference"/>
        </w:rPr>
        <w:footnoteRef/>
      </w:r>
      <w:r w:rsidRPr="007C528B">
        <w:t xml:space="preserve"> Zie met name EHRM 8 april 2014, 31045/10, r.o. 94 &amp; 97 (</w:t>
      </w:r>
      <w:r w:rsidRPr="007C528B">
        <w:rPr>
          <w:i/>
          <w:iCs/>
        </w:rPr>
        <w:t>RMT</w:t>
      </w:r>
      <w:r w:rsidRPr="007C528B">
        <w:t>), alwaar het EHRM het ECSR ‘</w:t>
      </w:r>
      <w:r w:rsidRPr="007C528B">
        <w:rPr>
          <w:i/>
          <w:iCs/>
        </w:rPr>
        <w:t>bijzonder gekwalificeerd</w:t>
      </w:r>
      <w:r w:rsidRPr="007C528B">
        <w:t>’ noemde op het gebied van vakbondszaken en over de CoE opmerkte dat dit orgaan dient ‘</w:t>
      </w:r>
      <w:r w:rsidRPr="007C528B">
        <w:rPr>
          <w:i/>
          <w:iCs/>
        </w:rPr>
        <w:t>als richtsnoer en leidraad voor de interpretatie van verdragsbepalingen</w:t>
      </w:r>
      <w:r w:rsidRPr="007C528B">
        <w:t>’</w:t>
      </w:r>
      <w:r w:rsidR="00617A5B" w:rsidRPr="007C528B">
        <w:t>. Zie ook</w:t>
      </w:r>
      <w:r w:rsidRPr="007C528B">
        <w:t xml:space="preserve"> Hendy 2013, p. 76.</w:t>
      </w:r>
    </w:p>
  </w:footnote>
  <w:footnote w:id="189">
    <w:p w14:paraId="6EE00492" w14:textId="075DF1C8" w:rsidR="00E80DEC" w:rsidRPr="007C528B" w:rsidRDefault="00E80DEC" w:rsidP="003820BE">
      <w:pPr>
        <w:pStyle w:val="FootnoteText"/>
        <w:jc w:val="both"/>
      </w:pPr>
      <w:r w:rsidRPr="007C528B">
        <w:rPr>
          <w:rStyle w:val="FootnoteReference"/>
        </w:rPr>
        <w:footnoteRef/>
      </w:r>
      <w:r w:rsidRPr="007C528B">
        <w:t xml:space="preserve"> Lörcher 2013, p. 11-12</w:t>
      </w:r>
      <w:r w:rsidR="00731F11" w:rsidRPr="007C528B">
        <w:t xml:space="preserve"> &amp; par. 3.2.2</w:t>
      </w:r>
      <w:r w:rsidRPr="007C528B">
        <w:t xml:space="preserve">, benadrukt </w:t>
      </w:r>
      <w:r w:rsidR="00D817EB" w:rsidRPr="007C528B">
        <w:t xml:space="preserve">en verduidelijkt </w:t>
      </w:r>
      <w:r w:rsidRPr="007C528B">
        <w:t xml:space="preserve">het gezag </w:t>
      </w:r>
      <w:r w:rsidR="00D817EB" w:rsidRPr="007C528B">
        <w:t>van</w:t>
      </w:r>
      <w:r w:rsidRPr="007C528B">
        <w:t xml:space="preserve"> </w:t>
      </w:r>
      <w:r w:rsidR="00BB3656" w:rsidRPr="007C528B">
        <w:t>de CoE/CFA en het ECSR</w:t>
      </w:r>
      <w:r w:rsidRPr="007C528B">
        <w:t>.</w:t>
      </w:r>
    </w:p>
  </w:footnote>
  <w:footnote w:id="190">
    <w:p w14:paraId="125AC7C8" w14:textId="7832902B" w:rsidR="00752422" w:rsidRPr="007C528B" w:rsidRDefault="00752422" w:rsidP="003820BE">
      <w:pPr>
        <w:pStyle w:val="FootnoteText"/>
        <w:jc w:val="both"/>
        <w:rPr>
          <w:lang w:val="es-ES"/>
        </w:rPr>
      </w:pPr>
      <w:r w:rsidRPr="007C528B">
        <w:rPr>
          <w:rStyle w:val="FootnoteReference"/>
        </w:rPr>
        <w:footnoteRef/>
      </w:r>
      <w:r w:rsidRPr="007C528B">
        <w:rPr>
          <w:lang w:val="es-ES"/>
        </w:rPr>
        <w:t xml:space="preserve"> De B</w:t>
      </w:r>
      <w:r w:rsidR="00DE1CCF" w:rsidRPr="007C528B">
        <w:rPr>
          <w:lang w:val="es-ES"/>
        </w:rPr>
        <w:t>ú</w:t>
      </w:r>
      <w:r w:rsidRPr="007C528B">
        <w:rPr>
          <w:lang w:val="es-ES"/>
        </w:rPr>
        <w:t xml:space="preserve">rca, </w:t>
      </w:r>
      <w:r w:rsidRPr="007C528B">
        <w:rPr>
          <w:i/>
          <w:iCs/>
          <w:lang w:val="es-ES"/>
        </w:rPr>
        <w:t>MJECL</w:t>
      </w:r>
      <w:r w:rsidRPr="007C528B">
        <w:rPr>
          <w:lang w:val="es-ES"/>
        </w:rPr>
        <w:t xml:space="preserve"> 2013, p. 171</w:t>
      </w:r>
      <w:r w:rsidR="00DE1CCF" w:rsidRPr="007C528B">
        <w:rPr>
          <w:lang w:val="es-ES"/>
        </w:rPr>
        <w:t xml:space="preserve"> &amp; 181-182</w:t>
      </w:r>
      <w:r w:rsidR="00EF6961" w:rsidRPr="007C528B">
        <w:rPr>
          <w:lang w:val="es-ES"/>
        </w:rPr>
        <w:t xml:space="preserve">; Teklè, </w:t>
      </w:r>
      <w:r w:rsidR="00EF6961" w:rsidRPr="007C528B">
        <w:rPr>
          <w:i/>
          <w:iCs/>
          <w:lang w:val="es-ES"/>
        </w:rPr>
        <w:t>ELLJ</w:t>
      </w:r>
      <w:r w:rsidR="00EF6961" w:rsidRPr="007C528B">
        <w:rPr>
          <w:lang w:val="es-ES"/>
        </w:rPr>
        <w:t xml:space="preserve"> 2018, p. 256</w:t>
      </w:r>
      <w:r w:rsidR="00C621F6" w:rsidRPr="007C528B">
        <w:rPr>
          <w:lang w:val="es-ES"/>
        </w:rPr>
        <w:t xml:space="preserve"> &amp; 261</w:t>
      </w:r>
      <w:r w:rsidR="00EF6961" w:rsidRPr="007C528B">
        <w:rPr>
          <w:lang w:val="es-ES"/>
        </w:rPr>
        <w:t>.</w:t>
      </w:r>
    </w:p>
  </w:footnote>
  <w:footnote w:id="191">
    <w:p w14:paraId="70F150DD" w14:textId="0403B879" w:rsidR="00063B16" w:rsidRPr="007C528B" w:rsidRDefault="00063B16" w:rsidP="003820BE">
      <w:pPr>
        <w:pStyle w:val="FootnoteText"/>
        <w:jc w:val="both"/>
      </w:pPr>
      <w:r w:rsidRPr="007C528B">
        <w:rPr>
          <w:rStyle w:val="FootnoteReference"/>
        </w:rPr>
        <w:footnoteRef/>
      </w:r>
      <w:r w:rsidRPr="007C528B">
        <w:rPr>
          <w:bCs/>
        </w:rPr>
        <w:t xml:space="preserve"> </w:t>
      </w:r>
      <w:r w:rsidRPr="007C528B">
        <w:t xml:space="preserve">De Vries, </w:t>
      </w:r>
      <w:r w:rsidRPr="007C528B">
        <w:rPr>
          <w:i/>
          <w:iCs/>
        </w:rPr>
        <w:t xml:space="preserve">ULR </w:t>
      </w:r>
      <w:r w:rsidRPr="007C528B">
        <w:t xml:space="preserve">2013, p. 187; Ellingsen, </w:t>
      </w:r>
      <w:r w:rsidRPr="007C528B">
        <w:rPr>
          <w:i/>
          <w:iCs/>
        </w:rPr>
        <w:t>CMLR</w:t>
      </w:r>
      <w:r w:rsidRPr="007C528B">
        <w:t xml:space="preserve"> 2022, p. 593 &amp; 595. De Vries wijst op belangrijke processuele consequenties: in Luxemburg moeten vakbonden bewijzen dat een staking gerechtvaardigd </w:t>
      </w:r>
      <w:r w:rsidR="00D31021" w:rsidRPr="007C528B">
        <w:t xml:space="preserve">(proportioneel) </w:t>
      </w:r>
      <w:r w:rsidRPr="007C528B">
        <w:t>is in het licht van</w:t>
      </w:r>
      <w:r w:rsidR="00217971">
        <w:t xml:space="preserve"> de</w:t>
      </w:r>
      <w:r w:rsidRPr="007C528B">
        <w:t xml:space="preserve"> marktvrijheden, terwijl in Straatsburg en Genève de bewijslast ligt bij werkgevers die menen dat een staking een ongerechtvaardigde inbreuk oplevert op hun</w:t>
      </w:r>
      <w:r w:rsidR="00342FD6">
        <w:t xml:space="preserve"> </w:t>
      </w:r>
      <w:r w:rsidR="00EE6DFD">
        <w:t>economische vrijheden</w:t>
      </w:r>
      <w:r w:rsidRPr="007C528B">
        <w:t>.</w:t>
      </w:r>
    </w:p>
  </w:footnote>
  <w:footnote w:id="192">
    <w:p w14:paraId="43DCDCC9" w14:textId="6D31A4FE" w:rsidR="0033393D" w:rsidRPr="007C528B" w:rsidRDefault="0033393D" w:rsidP="003820BE">
      <w:pPr>
        <w:pStyle w:val="FootnoteText"/>
        <w:jc w:val="both"/>
      </w:pPr>
      <w:r w:rsidRPr="007C528B">
        <w:rPr>
          <w:rStyle w:val="FootnoteReference"/>
        </w:rPr>
        <w:footnoteRef/>
      </w:r>
      <w:r w:rsidR="00C12935" w:rsidRPr="007C528B">
        <w:t xml:space="preserve"> </w:t>
      </w:r>
      <w:r w:rsidRPr="007C528B">
        <w:t>Boonstra, Helmer &amp; Houwerzijl 2014, p. 344-345</w:t>
      </w:r>
      <w:r w:rsidR="009B490C">
        <w:t>;</w:t>
      </w:r>
      <w:r w:rsidR="009B490C" w:rsidRPr="009B490C">
        <w:t xml:space="preserve"> </w:t>
      </w:r>
      <w:r w:rsidR="009B490C" w:rsidRPr="007C528B">
        <w:t xml:space="preserve">EHRM 14 december 2023, 59433/18, </w:t>
      </w:r>
      <w:r w:rsidR="00FE135D">
        <w:t>[…],</w:t>
      </w:r>
      <w:r w:rsidR="00FE135D" w:rsidRPr="007C528B">
        <w:t xml:space="preserve"> </w:t>
      </w:r>
      <w:r w:rsidR="009B490C" w:rsidRPr="007C528B">
        <w:t>r.o. 101 (</w:t>
      </w:r>
      <w:r w:rsidR="009B490C" w:rsidRPr="007C528B">
        <w:rPr>
          <w:i/>
          <w:iCs/>
        </w:rPr>
        <w:t>Humpert</w:t>
      </w:r>
      <w:r w:rsidR="009B490C" w:rsidRPr="007C528B">
        <w:t>)</w:t>
      </w:r>
      <w:r w:rsidR="009B490C">
        <w:t>.</w:t>
      </w:r>
    </w:p>
  </w:footnote>
  <w:footnote w:id="193">
    <w:p w14:paraId="7A245369" w14:textId="4BB70272" w:rsidR="0035555B" w:rsidRPr="0080665C" w:rsidRDefault="0035555B" w:rsidP="003820BE">
      <w:pPr>
        <w:pStyle w:val="FootnoteText"/>
        <w:jc w:val="both"/>
        <w:rPr>
          <w:lang w:val="de-DE"/>
        </w:rPr>
      </w:pPr>
      <w:r w:rsidRPr="002B21E7">
        <w:rPr>
          <w:rStyle w:val="FootnoteReference"/>
        </w:rPr>
        <w:footnoteRef/>
      </w:r>
      <w:r w:rsidRPr="0080665C">
        <w:rPr>
          <w:lang w:val="de-DE"/>
        </w:rPr>
        <w:t xml:space="preserve"> EHRM 8 april 2014, 31045/10, r.o. 98 (</w:t>
      </w:r>
      <w:r w:rsidRPr="0080665C">
        <w:rPr>
          <w:i/>
          <w:iCs/>
          <w:lang w:val="de-DE"/>
        </w:rPr>
        <w:t>RMT</w:t>
      </w:r>
      <w:r w:rsidRPr="0080665C">
        <w:rPr>
          <w:lang w:val="de-DE"/>
        </w:rPr>
        <w:t xml:space="preserve">); EHRM 14 december 2023, 59433/18, </w:t>
      </w:r>
      <w:r w:rsidR="000968AC" w:rsidRPr="0080665C">
        <w:rPr>
          <w:lang w:val="de-DE"/>
        </w:rPr>
        <w:t>[</w:t>
      </w:r>
      <w:r w:rsidRPr="0080665C">
        <w:rPr>
          <w:lang w:val="de-DE"/>
        </w:rPr>
        <w:t>…</w:t>
      </w:r>
      <w:r w:rsidR="000968AC" w:rsidRPr="0080665C">
        <w:rPr>
          <w:lang w:val="de-DE"/>
        </w:rPr>
        <w:t>]</w:t>
      </w:r>
      <w:r w:rsidRPr="0080665C">
        <w:rPr>
          <w:lang w:val="de-DE"/>
        </w:rPr>
        <w:t>, r.o. 125-127 (</w:t>
      </w:r>
      <w:r w:rsidRPr="0080665C">
        <w:rPr>
          <w:i/>
          <w:iCs/>
          <w:lang w:val="de-DE"/>
        </w:rPr>
        <w:t>Humpert</w:t>
      </w:r>
      <w:r w:rsidRPr="0080665C">
        <w:rPr>
          <w:lang w:val="de-DE"/>
        </w:rPr>
        <w:t>).</w:t>
      </w:r>
    </w:p>
  </w:footnote>
  <w:footnote w:id="194">
    <w:p w14:paraId="1831138E" w14:textId="1DC8A57E" w:rsidR="00D10335" w:rsidRPr="007C528B" w:rsidRDefault="00D10335" w:rsidP="003820BE">
      <w:pPr>
        <w:pStyle w:val="FootnoteText"/>
        <w:jc w:val="both"/>
      </w:pPr>
      <w:r w:rsidRPr="007C528B">
        <w:rPr>
          <w:rStyle w:val="FootnoteReference"/>
        </w:rPr>
        <w:footnoteRef/>
      </w:r>
      <w:r w:rsidRPr="007C528B">
        <w:t xml:space="preserve"> </w:t>
      </w:r>
      <w:r w:rsidR="00F16440" w:rsidRPr="007C528B">
        <w:t>De</w:t>
      </w:r>
      <w:r w:rsidR="002B21E7">
        <w:t>ze</w:t>
      </w:r>
      <w:r w:rsidR="00F16440" w:rsidRPr="007C528B">
        <w:t xml:space="preserve"> kritische geluiden worden besproken door </w:t>
      </w:r>
      <w:r w:rsidR="00150B47" w:rsidRPr="007C528B">
        <w:t>Sychenko &amp; Perulli 2023, p. 8</w:t>
      </w:r>
      <w:r w:rsidR="00CE4718" w:rsidRPr="007C528B">
        <w:t xml:space="preserve"> &amp; 86</w:t>
      </w:r>
      <w:r w:rsidR="00E76338" w:rsidRPr="007C528B">
        <w:t>.</w:t>
      </w:r>
    </w:p>
  </w:footnote>
  <w:footnote w:id="195">
    <w:p w14:paraId="5693D067" w14:textId="44E145A5" w:rsidR="0033393D" w:rsidRPr="007C528B" w:rsidRDefault="0033393D" w:rsidP="003820BE">
      <w:pPr>
        <w:pStyle w:val="FootnoteText"/>
        <w:jc w:val="both"/>
      </w:pPr>
      <w:r w:rsidRPr="007C528B">
        <w:rPr>
          <w:rStyle w:val="FootnoteReference"/>
        </w:rPr>
        <w:footnoteRef/>
      </w:r>
      <w:r w:rsidRPr="007C528B">
        <w:t xml:space="preserve"> Velyvyte, </w:t>
      </w:r>
      <w:r w:rsidRPr="007C528B">
        <w:rPr>
          <w:i/>
          <w:iCs/>
        </w:rPr>
        <w:t xml:space="preserve">HRLR </w:t>
      </w:r>
      <w:r w:rsidRPr="007C528B">
        <w:t>2015, p. 81.</w:t>
      </w:r>
      <w:r w:rsidR="009528C9" w:rsidRPr="007C528B">
        <w:t xml:space="preserve"> Aan de andere kant heeft het EHRM </w:t>
      </w:r>
      <w:r w:rsidR="00C51027" w:rsidRPr="007C528B">
        <w:t>benadrukt</w:t>
      </w:r>
      <w:r w:rsidR="009528C9" w:rsidRPr="007C528B">
        <w:t xml:space="preserve"> dat </w:t>
      </w:r>
      <w:r w:rsidR="00C0086C" w:rsidRPr="007C528B">
        <w:t xml:space="preserve">het </w:t>
      </w:r>
      <w:r w:rsidR="00845D10">
        <w:t>hierdoor</w:t>
      </w:r>
      <w:r w:rsidR="00845D10" w:rsidRPr="00845D10">
        <w:t xml:space="preserve"> </w:t>
      </w:r>
      <w:r w:rsidR="00C0086C" w:rsidRPr="007C528B">
        <w:t xml:space="preserve">geen andere waarde hecht aan de </w:t>
      </w:r>
      <w:r w:rsidR="00DC0969">
        <w:t>interpretaties</w:t>
      </w:r>
      <w:r w:rsidR="00C0086C" w:rsidRPr="007C528B">
        <w:t xml:space="preserve"> van de CoE/CFA, zie EHRM 8 april 2014, 31045/10, r.o. 97 (</w:t>
      </w:r>
      <w:r w:rsidR="00C0086C" w:rsidRPr="007C528B">
        <w:rPr>
          <w:i/>
          <w:iCs/>
        </w:rPr>
        <w:t>RMT</w:t>
      </w:r>
      <w:r w:rsidR="00C0086C" w:rsidRPr="007C528B">
        <w:t>).</w:t>
      </w:r>
    </w:p>
  </w:footnote>
  <w:footnote w:id="196">
    <w:p w14:paraId="5BCB2884" w14:textId="265F8CA1" w:rsidR="00C51027" w:rsidRPr="007C528B" w:rsidRDefault="00C51027" w:rsidP="003820BE">
      <w:pPr>
        <w:pStyle w:val="FootnoteText"/>
        <w:jc w:val="both"/>
      </w:pPr>
      <w:r w:rsidRPr="007C528B">
        <w:rPr>
          <w:rStyle w:val="FootnoteReference"/>
        </w:rPr>
        <w:footnoteRef/>
      </w:r>
      <w:r w:rsidRPr="007C528B">
        <w:t xml:space="preserve"> </w:t>
      </w:r>
      <w:r w:rsidR="00AD7153" w:rsidRPr="007C528B">
        <w:t xml:space="preserve">Sychenko &amp; Perulli 2023, p. 16-18, 81, 89-90 &amp; 99-103, schrijven dat </w:t>
      </w:r>
      <w:r w:rsidRPr="007C528B">
        <w:t xml:space="preserve">de rechtspraak van het EHRM </w:t>
      </w:r>
      <w:r w:rsidR="00AD7153" w:rsidRPr="007C528B">
        <w:t xml:space="preserve">tot </w:t>
      </w:r>
      <w:r w:rsidR="001057C3">
        <w:t>nu</w:t>
      </w:r>
      <w:r w:rsidR="00AD7153" w:rsidRPr="007C528B">
        <w:t xml:space="preserve"> toe </w:t>
      </w:r>
      <w:r w:rsidRPr="007C528B">
        <w:t xml:space="preserve">een fluctuerend beeld </w:t>
      </w:r>
      <w:r w:rsidR="008C282C" w:rsidRPr="007C528B">
        <w:t xml:space="preserve">laat </w:t>
      </w:r>
      <w:r w:rsidRPr="007C528B">
        <w:t>zien</w:t>
      </w:r>
      <w:r w:rsidR="00AD7153" w:rsidRPr="007C528B">
        <w:t>: de ene keer is het Hof activistisch in het beschermen van sociale grondrechten en leunt het zwaar op ILO- en ESH-recht; de andere keer is het Hof terughoudend en laat het lidstaten een ruime</w:t>
      </w:r>
      <w:r w:rsidR="008C282C" w:rsidRPr="007C528B">
        <w:t>(re)</w:t>
      </w:r>
      <w:r w:rsidR="00AD7153" w:rsidRPr="007C528B">
        <w:t xml:space="preserve"> beoordelingsmarge</w:t>
      </w:r>
      <w:r w:rsidRPr="007C528B">
        <w:t xml:space="preserve">. Dit maakt toekomstige rechtspraak lastig te voorspellen, </w:t>
      </w:r>
      <w:r w:rsidR="001057C3">
        <w:t>met name</w:t>
      </w:r>
      <w:r w:rsidRPr="007C528B">
        <w:t xml:space="preserve"> nu het Hof in EHRM 27 april 2010, 7/08, r.o. 176 (</w:t>
      </w:r>
      <w:r w:rsidRPr="007C528B">
        <w:rPr>
          <w:i/>
          <w:iCs/>
        </w:rPr>
        <w:t>Tănase</w:t>
      </w:r>
      <w:r w:rsidRPr="007C528B">
        <w:t xml:space="preserve">) heeft overwogen </w:t>
      </w:r>
      <w:r w:rsidR="00035C6C">
        <w:t>‘</w:t>
      </w:r>
      <w:r w:rsidRPr="00035C6C">
        <w:rPr>
          <w:i/>
          <w:iCs/>
        </w:rPr>
        <w:t>dat het aan het Hof is</w:t>
      </w:r>
      <w:r w:rsidRPr="007C528B">
        <w:t xml:space="preserve"> </w:t>
      </w:r>
      <w:r w:rsidRPr="007C528B">
        <w:rPr>
          <w:i/>
          <w:iCs/>
        </w:rPr>
        <w:t>om te beslissen welke internationale instrumenten en rapporten het relevant acht en hoeveel gewicht het daaraan toekent.</w:t>
      </w:r>
      <w:r w:rsidRPr="007C528B">
        <w:t>’</w:t>
      </w:r>
    </w:p>
  </w:footnote>
  <w:footnote w:id="197">
    <w:p w14:paraId="5481734F" w14:textId="6C425504" w:rsidR="00D94835" w:rsidRPr="007C528B" w:rsidRDefault="00D94835" w:rsidP="003820BE">
      <w:pPr>
        <w:pStyle w:val="FootnoteText"/>
        <w:jc w:val="both"/>
      </w:pPr>
      <w:r w:rsidRPr="007C528B">
        <w:rPr>
          <w:rStyle w:val="FootnoteReference"/>
        </w:rPr>
        <w:footnoteRef/>
      </w:r>
      <w:r w:rsidRPr="007C528B">
        <w:t xml:space="preserve"> </w:t>
      </w:r>
      <w:r w:rsidR="009F1DC8" w:rsidRPr="007C528B">
        <w:t xml:space="preserve">Op die manier kan volgens Ellingsen, </w:t>
      </w:r>
      <w:r w:rsidR="009F1DC8" w:rsidRPr="007C528B">
        <w:rPr>
          <w:i/>
          <w:iCs/>
        </w:rPr>
        <w:t>CMLR</w:t>
      </w:r>
      <w:r w:rsidR="009F1DC8" w:rsidRPr="007C528B">
        <w:t xml:space="preserve"> 2022, par. 6.3 &amp; p. 602-603, het risico op een conflict tussen het EU-recht en</w:t>
      </w:r>
      <w:r w:rsidR="00900AA1">
        <w:t xml:space="preserve"> </w:t>
      </w:r>
      <w:r w:rsidR="009F1DC8" w:rsidRPr="007C528B">
        <w:t>het EVRM-recht worden gemitigeerd</w:t>
      </w:r>
      <w:r w:rsidRPr="007C528B">
        <w:t>.</w:t>
      </w:r>
      <w:r w:rsidR="0001410F" w:rsidRPr="007C528B">
        <w:t xml:space="preserve"> Idem: Velyvyte, </w:t>
      </w:r>
      <w:r w:rsidR="0001410F" w:rsidRPr="007C528B">
        <w:rPr>
          <w:i/>
          <w:iCs/>
        </w:rPr>
        <w:t xml:space="preserve">HRLR </w:t>
      </w:r>
      <w:r w:rsidR="0001410F" w:rsidRPr="007C528B">
        <w:t>2015, p. 94.</w:t>
      </w:r>
    </w:p>
  </w:footnote>
  <w:footnote w:id="198">
    <w:p w14:paraId="66630F75" w14:textId="4F360372" w:rsidR="009F1DC8" w:rsidRPr="007C528B" w:rsidRDefault="009F1DC8" w:rsidP="003820BE">
      <w:pPr>
        <w:pStyle w:val="FootnoteText"/>
        <w:jc w:val="both"/>
      </w:pPr>
      <w:r w:rsidRPr="007C528B">
        <w:rPr>
          <w:rStyle w:val="FootnoteReference"/>
        </w:rPr>
        <w:footnoteRef/>
      </w:r>
      <w:r w:rsidRPr="007C528B">
        <w:t xml:space="preserve"> De Búrca, </w:t>
      </w:r>
      <w:r w:rsidRPr="007C528B">
        <w:rPr>
          <w:i/>
          <w:iCs/>
        </w:rPr>
        <w:t>MJECL</w:t>
      </w:r>
      <w:r w:rsidRPr="007C528B">
        <w:t xml:space="preserve"> 2013, p. </w:t>
      </w:r>
      <w:r w:rsidR="00A94176" w:rsidRPr="007C528B">
        <w:t>174-176</w:t>
      </w:r>
      <w:r w:rsidR="00520CCE" w:rsidRPr="007C528B">
        <w:t>.</w:t>
      </w:r>
      <w:r w:rsidR="009C3D18" w:rsidRPr="007C528B">
        <w:t xml:space="preserve"> Het feit dat het HvJ in het kader van de toetreding van de EU tot het EVRM </w:t>
      </w:r>
      <w:r w:rsidR="009273D0" w:rsidRPr="007C528B">
        <w:t>blijft hameren</w:t>
      </w:r>
      <w:r w:rsidR="009C3D18" w:rsidRPr="007C528B">
        <w:t xml:space="preserve"> op de autonomie van het EU-recht </w:t>
      </w:r>
      <w:r w:rsidR="00C22297" w:rsidRPr="007C528B">
        <w:t>(inclusief</w:t>
      </w:r>
      <w:r w:rsidR="009C3D18" w:rsidRPr="007C528B">
        <w:t xml:space="preserve"> </w:t>
      </w:r>
      <w:r w:rsidR="001020DF">
        <w:t>zijn</w:t>
      </w:r>
      <w:r w:rsidR="009C3D18" w:rsidRPr="007C528B">
        <w:t xml:space="preserve"> eigen autonomie</w:t>
      </w:r>
      <w:r w:rsidR="00C22297" w:rsidRPr="007C528B">
        <w:t>)</w:t>
      </w:r>
      <w:r w:rsidR="009C3D18" w:rsidRPr="007C528B">
        <w:t>,</w:t>
      </w:r>
      <w:r w:rsidR="00C22297" w:rsidRPr="007C528B">
        <w:t xml:space="preserve"> laat eveneens de geïsoleerde </w:t>
      </w:r>
      <w:r w:rsidR="001020DF">
        <w:t>opstelling</w:t>
      </w:r>
      <w:r w:rsidR="00C22297" w:rsidRPr="007C528B">
        <w:t xml:space="preserve"> van het </w:t>
      </w:r>
      <w:r w:rsidR="001020DF">
        <w:t>Hof</w:t>
      </w:r>
      <w:r w:rsidR="00C22297" w:rsidRPr="007C528B">
        <w:t xml:space="preserve"> zien</w:t>
      </w:r>
      <w:r w:rsidR="009C3D18" w:rsidRPr="007C528B">
        <w:t>.</w:t>
      </w:r>
    </w:p>
  </w:footnote>
  <w:footnote w:id="199">
    <w:p w14:paraId="1BBA6300" w14:textId="79A37AC6" w:rsidR="00462489" w:rsidRPr="001E0843" w:rsidRDefault="00462489" w:rsidP="003820BE">
      <w:pPr>
        <w:pStyle w:val="FootnoteText"/>
        <w:jc w:val="both"/>
      </w:pPr>
      <w:r w:rsidRPr="007C528B">
        <w:rPr>
          <w:rStyle w:val="FootnoteReference"/>
        </w:rPr>
        <w:footnoteRef/>
      </w:r>
      <w:r w:rsidRPr="001E0843">
        <w:t xml:space="preserve"> Teklè, </w:t>
      </w:r>
      <w:r w:rsidRPr="001E0843">
        <w:rPr>
          <w:i/>
          <w:iCs/>
        </w:rPr>
        <w:t>ELLJ</w:t>
      </w:r>
      <w:r w:rsidRPr="001E0843">
        <w:t xml:space="preserve"> 2018, p. 259</w:t>
      </w:r>
      <w:r w:rsidR="00E069DF" w:rsidRPr="001E0843">
        <w:t xml:space="preserve"> &amp; 261</w:t>
      </w:r>
      <w:r w:rsidRPr="001E0843">
        <w:t>.</w:t>
      </w:r>
    </w:p>
  </w:footnote>
  <w:footnote w:id="200">
    <w:p w14:paraId="66DB5EAA" w14:textId="53197D56" w:rsidR="002B3A0B" w:rsidRDefault="002B3A0B" w:rsidP="003820BE">
      <w:pPr>
        <w:pStyle w:val="FootnoteText"/>
        <w:jc w:val="both"/>
      </w:pPr>
      <w:r>
        <w:rPr>
          <w:rStyle w:val="FootnoteReference"/>
        </w:rPr>
        <w:footnoteRef/>
      </w:r>
      <w:r>
        <w:t xml:space="preserve"> Volgens Dorssemont 2011, p. 231, zou </w:t>
      </w:r>
      <w:r w:rsidR="001020DF">
        <w:t xml:space="preserve">de </w:t>
      </w:r>
      <w:r>
        <w:t>toetreding van de EU tot het EVRM het HvJ kunnen dwingen tot een ‘omgekeerd toetsingskader’. In mijn opinie staat de beperkte reikwijdte en inroepbaarheid van het Handvest</w:t>
      </w:r>
      <w:r w:rsidR="00784CDD">
        <w:t xml:space="preserve">, waarover meer in </w:t>
      </w:r>
      <w:r w:rsidR="00DC38DA">
        <w:t>het hoofdstuk hierna</w:t>
      </w:r>
      <w:r w:rsidR="00784CDD">
        <w:t>,</w:t>
      </w:r>
      <w:r>
        <w:t xml:space="preserve"> daaraan evenwel in de weg.</w:t>
      </w:r>
    </w:p>
  </w:footnote>
  <w:footnote w:id="201">
    <w:p w14:paraId="18943D5D" w14:textId="3D1E848B" w:rsidR="00BA1C97" w:rsidRDefault="00BA1C97" w:rsidP="003820BE">
      <w:pPr>
        <w:pStyle w:val="FootnoteText"/>
        <w:jc w:val="both"/>
      </w:pPr>
      <w:r>
        <w:rPr>
          <w:rStyle w:val="FootnoteReference"/>
        </w:rPr>
        <w:footnoteRef/>
      </w:r>
      <w:r>
        <w:t xml:space="preserve"> De vraag naar toelaatbare </w:t>
      </w:r>
      <w:r w:rsidR="00784BF6">
        <w:t>beperkingen</w:t>
      </w:r>
      <w:r>
        <w:t xml:space="preserve"> van het stakingsrecht wordt in het Nederlandse recht aangevlogen via artikel 6:162 B</w:t>
      </w:r>
      <w:r w:rsidR="000D0FC1">
        <w:t xml:space="preserve">urgerlijk </w:t>
      </w:r>
      <w:r>
        <w:t>W</w:t>
      </w:r>
      <w:r w:rsidR="000D0FC1">
        <w:t>etboek (BW)</w:t>
      </w:r>
      <w:r>
        <w:t xml:space="preserve">. </w:t>
      </w:r>
      <w:r w:rsidR="00784BF6">
        <w:t>I</w:t>
      </w:r>
      <w:r>
        <w:t>nvulling van de</w:t>
      </w:r>
      <w:r w:rsidR="00D83B91">
        <w:t>ze</w:t>
      </w:r>
      <w:r>
        <w:t xml:space="preserve"> </w:t>
      </w:r>
      <w:r w:rsidR="0015230C">
        <w:t xml:space="preserve">open </w:t>
      </w:r>
      <w:r>
        <w:t xml:space="preserve">norm </w:t>
      </w:r>
      <w:r w:rsidR="00784BF6">
        <w:t xml:space="preserve">geschiedt </w:t>
      </w:r>
      <w:r>
        <w:t xml:space="preserve">via </w:t>
      </w:r>
      <w:r w:rsidR="0015230C">
        <w:t xml:space="preserve">het concrete(re) </w:t>
      </w:r>
      <w:r>
        <w:t>artikel G ESH (herzien) en zou in theorie kunnen geschieden via artikel 52 lid 1 Hv</w:t>
      </w:r>
      <w:r w:rsidR="003B24D5">
        <w:t>,</w:t>
      </w:r>
      <w:r w:rsidR="000D0FC1">
        <w:t xml:space="preserve"> </w:t>
      </w:r>
      <w:r w:rsidR="00661CD4">
        <w:t xml:space="preserve">daarvoor is </w:t>
      </w:r>
      <w:r w:rsidR="000D0FC1">
        <w:t xml:space="preserve">directe werking van deze bepaling </w:t>
      </w:r>
      <w:r w:rsidR="00D9126B">
        <w:t xml:space="preserve">niet </w:t>
      </w:r>
      <w:r w:rsidR="000D0FC1">
        <w:t>vereist.</w:t>
      </w:r>
    </w:p>
  </w:footnote>
  <w:footnote w:id="202">
    <w:p w14:paraId="439B6586" w14:textId="73A7F446" w:rsidR="00E52386" w:rsidRDefault="00E52386" w:rsidP="003820BE">
      <w:pPr>
        <w:pStyle w:val="FootnoteText"/>
        <w:jc w:val="both"/>
      </w:pPr>
      <w:r>
        <w:rPr>
          <w:rStyle w:val="FootnoteReference"/>
        </w:rPr>
        <w:footnoteRef/>
      </w:r>
      <w:r>
        <w:t xml:space="preserve"> Volgens De Mol 2014, p. 63-64, definieert het Hof het begrip ‘lidstaat’ (zeer) ruim: ook indien de lidstaat optreedt als werkgever is sprake van een verticale verhouding. Idem: </w:t>
      </w:r>
      <w:r w:rsidRPr="00F64443">
        <w:t>Martínez-Capdevila 2021, p</w:t>
      </w:r>
      <w:r>
        <w:t>ar. 2-3 &amp; p. 32-33.</w:t>
      </w:r>
    </w:p>
  </w:footnote>
  <w:footnote w:id="203">
    <w:p w14:paraId="7CD6490F" w14:textId="65146E94" w:rsidR="00B6385F" w:rsidRPr="00B6385F" w:rsidRDefault="00B6385F" w:rsidP="003820BE">
      <w:pPr>
        <w:pStyle w:val="FootnoteText"/>
        <w:jc w:val="both"/>
      </w:pPr>
      <w:r>
        <w:rPr>
          <w:rStyle w:val="FootnoteReference"/>
        </w:rPr>
        <w:footnoteRef/>
      </w:r>
      <w:r w:rsidRPr="00B6385F">
        <w:t xml:space="preserve"> Een publieke werkgever </w:t>
      </w:r>
      <w:r w:rsidR="009D2362">
        <w:t>zou</w:t>
      </w:r>
      <w:r w:rsidR="002E4D15">
        <w:t xml:space="preserve"> zich </w:t>
      </w:r>
      <w:r w:rsidR="00F26FD2">
        <w:t xml:space="preserve">mijns inziens </w:t>
      </w:r>
      <w:r w:rsidR="002E4D15">
        <w:t>niet op artikel 16 Hv</w:t>
      </w:r>
      <w:r w:rsidR="009D2362">
        <w:t xml:space="preserve"> kunnen</w:t>
      </w:r>
      <w:r w:rsidR="002E4D15">
        <w:t xml:space="preserve"> beroepen</w:t>
      </w:r>
      <w:r>
        <w:t xml:space="preserve">, want grondrechten zijn niet </w:t>
      </w:r>
      <w:r w:rsidR="002045BA">
        <w:t xml:space="preserve">bedoeld om de </w:t>
      </w:r>
      <w:r>
        <w:t>overheid bescherming te bieden</w:t>
      </w:r>
      <w:r w:rsidR="008844B3">
        <w:t xml:space="preserve"> (par. 3.2)</w:t>
      </w:r>
      <w:r>
        <w:t>.</w:t>
      </w:r>
    </w:p>
  </w:footnote>
  <w:footnote w:id="204">
    <w:p w14:paraId="68ADE329" w14:textId="0D2CC701" w:rsidR="00AE2F85" w:rsidRPr="00AE2F85" w:rsidRDefault="00AE2F85" w:rsidP="003820BE">
      <w:pPr>
        <w:pStyle w:val="FootnoteText"/>
        <w:jc w:val="both"/>
      </w:pPr>
      <w:r>
        <w:rPr>
          <w:rStyle w:val="FootnoteReference"/>
        </w:rPr>
        <w:footnoteRef/>
      </w:r>
      <w:r>
        <w:t xml:space="preserve"> </w:t>
      </w:r>
      <w:r w:rsidR="00F72B53">
        <w:t>H</w:t>
      </w:r>
      <w:r>
        <w:t xml:space="preserve">et </w:t>
      </w:r>
      <w:r w:rsidRPr="00AE2F85">
        <w:rPr>
          <w:i/>
          <w:iCs/>
        </w:rPr>
        <w:t>Parkwood</w:t>
      </w:r>
      <w:r>
        <w:t xml:space="preserve">-arrest (par. 3.3) laat zien </w:t>
      </w:r>
      <w:r w:rsidRPr="00AE2F85">
        <w:t>dat</w:t>
      </w:r>
      <w:r>
        <w:t xml:space="preserve"> artikel 16 Hv onder omstandigheden grote invloed kan uitoefenen op nationaal collectief arbeidsrecht. Nu het artikel bovendien verwijst naar de vestigingsvrijheid</w:t>
      </w:r>
      <w:r w:rsidR="00390E03">
        <w:t>,</w:t>
      </w:r>
      <w:r>
        <w:t xml:space="preserve"> zou het Hof </w:t>
      </w:r>
      <w:r w:rsidR="0069312A">
        <w:t xml:space="preserve">ervoor kunnen kiezen om </w:t>
      </w:r>
      <w:r>
        <w:t xml:space="preserve">het </w:t>
      </w:r>
      <w:r>
        <w:rPr>
          <w:i/>
          <w:iCs/>
        </w:rPr>
        <w:t>Viking</w:t>
      </w:r>
      <w:r>
        <w:t>-arrest analoog toe</w:t>
      </w:r>
      <w:r w:rsidR="0069312A">
        <w:t xml:space="preserve"> te </w:t>
      </w:r>
      <w:r>
        <w:t>passen.</w:t>
      </w:r>
    </w:p>
  </w:footnote>
  <w:footnote w:id="205">
    <w:p w14:paraId="7AA0B23A" w14:textId="1DAA2A8E" w:rsidR="002C320B" w:rsidRDefault="002C320B" w:rsidP="003820BE">
      <w:pPr>
        <w:pStyle w:val="FootnoteText"/>
        <w:jc w:val="both"/>
      </w:pPr>
      <w:r>
        <w:rPr>
          <w:rStyle w:val="FootnoteReference"/>
        </w:rPr>
        <w:footnoteRef/>
      </w:r>
      <w:r>
        <w:t xml:space="preserve"> </w:t>
      </w:r>
      <w:r w:rsidR="00B10C02" w:rsidRPr="00B10C02">
        <w:t>Erkend wordt dat artikel 28 Hv in deze constellatie slechts in de context van een specifieke Unierichtlijn van toepassing zou kunnen zijn en het aldaar tot stand gekomen kader vervolgens</w:t>
      </w:r>
      <w:r w:rsidR="009D2362">
        <w:t xml:space="preserve"> zou</w:t>
      </w:r>
      <w:r w:rsidR="00B10C02" w:rsidRPr="00B10C02">
        <w:t xml:space="preserve"> moet</w:t>
      </w:r>
      <w:r w:rsidR="009D2362">
        <w:t>en</w:t>
      </w:r>
      <w:r w:rsidR="00B10C02" w:rsidRPr="00B10C02">
        <w:t xml:space="preserve"> doorwerken in het </w:t>
      </w:r>
      <w:r w:rsidR="00B10C02" w:rsidRPr="00B10C02">
        <w:rPr>
          <w:i/>
          <w:iCs/>
        </w:rPr>
        <w:t>Viking</w:t>
      </w:r>
      <w:r w:rsidR="00B10C02" w:rsidRPr="00B10C02">
        <w:t>-kader dat, althans in theorie, in veel meer situaties kan gelden. Dit beperkt mogelijk de mate waarin het eerste kader het tweede zou kunnen beïnvloeden.</w:t>
      </w:r>
    </w:p>
  </w:footnote>
  <w:footnote w:id="206">
    <w:p w14:paraId="0193C660" w14:textId="77777777" w:rsidR="00404ABE" w:rsidRPr="007C528B" w:rsidRDefault="00404ABE" w:rsidP="003820BE">
      <w:pPr>
        <w:pStyle w:val="FootnoteText"/>
        <w:jc w:val="both"/>
        <w:rPr>
          <w:lang w:val="es-ES"/>
        </w:rPr>
      </w:pPr>
      <w:r w:rsidRPr="007C528B">
        <w:rPr>
          <w:rStyle w:val="FootnoteReference"/>
        </w:rPr>
        <w:footnoteRef/>
      </w:r>
      <w:r w:rsidRPr="007C528B">
        <w:rPr>
          <w:lang w:val="es-ES"/>
        </w:rPr>
        <w:t xml:space="preserve"> HvJ EU 5 februari 1963, C-26/62</w:t>
      </w:r>
      <w:r>
        <w:rPr>
          <w:lang w:val="es-ES"/>
        </w:rPr>
        <w:t xml:space="preserve"> </w:t>
      </w:r>
      <w:r w:rsidRPr="007C528B">
        <w:rPr>
          <w:lang w:val="es-ES"/>
        </w:rPr>
        <w:t>(</w:t>
      </w:r>
      <w:r w:rsidRPr="007C528B">
        <w:rPr>
          <w:i/>
          <w:iCs/>
          <w:lang w:val="es-ES"/>
        </w:rPr>
        <w:t>Van Gend &amp; Loos</w:t>
      </w:r>
      <w:r w:rsidRPr="007C528B">
        <w:rPr>
          <w:lang w:val="es-ES"/>
        </w:rPr>
        <w:t>); HvJ EU 15 juli 1964, C-6/64</w:t>
      </w:r>
      <w:r>
        <w:rPr>
          <w:lang w:val="es-ES"/>
        </w:rPr>
        <w:t xml:space="preserve"> </w:t>
      </w:r>
      <w:r w:rsidRPr="007C528B">
        <w:rPr>
          <w:lang w:val="es-ES"/>
        </w:rPr>
        <w:t>(</w:t>
      </w:r>
      <w:r w:rsidRPr="007C528B">
        <w:rPr>
          <w:i/>
          <w:iCs/>
          <w:lang w:val="es-ES"/>
        </w:rPr>
        <w:t>Costa/Enel</w:t>
      </w:r>
      <w:r w:rsidRPr="007C528B">
        <w:rPr>
          <w:lang w:val="es-ES"/>
        </w:rPr>
        <w:t>).</w:t>
      </w:r>
    </w:p>
  </w:footnote>
  <w:footnote w:id="207">
    <w:p w14:paraId="1D2E0E05" w14:textId="1A44AAF7" w:rsidR="00404ABE" w:rsidRDefault="00404ABE" w:rsidP="003820BE">
      <w:pPr>
        <w:pStyle w:val="FootnoteText"/>
        <w:jc w:val="both"/>
      </w:pPr>
      <w:r>
        <w:rPr>
          <w:rStyle w:val="FootnoteReference"/>
        </w:rPr>
        <w:footnoteRef/>
      </w:r>
      <w:r>
        <w:t xml:space="preserve"> De Raad van Europa en de ILO behoren tot de internationale rechtsorde. Staten bepalen zelf de manier waarop </w:t>
      </w:r>
      <w:r w:rsidR="00A14B46">
        <w:t>internationaal</w:t>
      </w:r>
      <w:r>
        <w:t xml:space="preserve"> recht </w:t>
      </w:r>
      <w:r w:rsidR="00A70E6E">
        <w:t xml:space="preserve">(al dan niet met voorrang) </w:t>
      </w:r>
      <w:r>
        <w:t xml:space="preserve">doorwerkt in de nationale rechtsorde. </w:t>
      </w:r>
      <w:r w:rsidR="000454C0">
        <w:t>In Nederland gelden daarvoor de artikelen 93 en 94 G</w:t>
      </w:r>
      <w:r w:rsidR="00A70E6E">
        <w:t>rond</w:t>
      </w:r>
      <w:r w:rsidR="000454C0">
        <w:t>w</w:t>
      </w:r>
      <w:r w:rsidR="00A70E6E">
        <w:t>et (Gw)</w:t>
      </w:r>
      <w:r w:rsidR="000454C0">
        <w:t>.</w:t>
      </w:r>
    </w:p>
  </w:footnote>
  <w:footnote w:id="208">
    <w:p w14:paraId="0ADC91B0" w14:textId="77777777" w:rsidR="00404ABE" w:rsidRPr="004D7551" w:rsidRDefault="00404ABE" w:rsidP="003820BE">
      <w:pPr>
        <w:pStyle w:val="FootnoteText"/>
        <w:jc w:val="both"/>
      </w:pPr>
      <w:r>
        <w:rPr>
          <w:rStyle w:val="FootnoteReference"/>
        </w:rPr>
        <w:footnoteRef/>
      </w:r>
      <w:r w:rsidRPr="004D7551">
        <w:t xml:space="preserve"> De Mol 2014, p. 63 &amp; par. 3.3.2.</w:t>
      </w:r>
    </w:p>
  </w:footnote>
  <w:footnote w:id="209">
    <w:p w14:paraId="343A0A9F" w14:textId="27E9F450" w:rsidR="00CC5088" w:rsidRPr="004D7551" w:rsidRDefault="00CC5088" w:rsidP="003820BE">
      <w:pPr>
        <w:pStyle w:val="FootnoteText"/>
        <w:jc w:val="both"/>
      </w:pPr>
      <w:r>
        <w:rPr>
          <w:rStyle w:val="FootnoteReference"/>
        </w:rPr>
        <w:footnoteRef/>
      </w:r>
      <w:r w:rsidRPr="004D7551">
        <w:t xml:space="preserve"> HvJ EU 2 augustus 1993, C-271/91 (</w:t>
      </w:r>
      <w:r w:rsidRPr="004D7551">
        <w:rPr>
          <w:i/>
          <w:iCs/>
        </w:rPr>
        <w:t>Marshall</w:t>
      </w:r>
      <w:r w:rsidR="00D90262">
        <w:rPr>
          <w:i/>
          <w:iCs/>
        </w:rPr>
        <w:t xml:space="preserve"> II</w:t>
      </w:r>
      <w:r w:rsidRPr="004D7551">
        <w:t>); HvJ EU 14 juli 1994, C-91/92 (</w:t>
      </w:r>
      <w:r w:rsidRPr="004D7551">
        <w:rPr>
          <w:i/>
          <w:iCs/>
        </w:rPr>
        <w:t>Faccini Dori</w:t>
      </w:r>
      <w:r w:rsidRPr="004D7551">
        <w:t xml:space="preserve">). </w:t>
      </w:r>
    </w:p>
  </w:footnote>
  <w:footnote w:id="210">
    <w:p w14:paraId="62D07762" w14:textId="0B1178AB" w:rsidR="00E854F2" w:rsidRDefault="00E854F2" w:rsidP="003820BE">
      <w:pPr>
        <w:pStyle w:val="FootnoteText"/>
        <w:jc w:val="both"/>
      </w:pPr>
      <w:r>
        <w:rPr>
          <w:rStyle w:val="FootnoteReference"/>
        </w:rPr>
        <w:footnoteRef/>
      </w:r>
      <w:r>
        <w:t xml:space="preserve"> In de context van nationaal implementatierecht zijn aanvullende voorwaarden</w:t>
      </w:r>
      <w:r w:rsidR="007E42C3">
        <w:t>:</w:t>
      </w:r>
      <w:r>
        <w:t xml:space="preserve"> (</w:t>
      </w:r>
      <w:r w:rsidR="00DC4775">
        <w:t>1</w:t>
      </w:r>
      <w:r>
        <w:t>)</w:t>
      </w:r>
      <w:r w:rsidR="00374C1D">
        <w:t xml:space="preserve"> dat</w:t>
      </w:r>
      <w:r>
        <w:t xml:space="preserve"> de richtlijn niet tijdig, onjuist of onvolledig </w:t>
      </w:r>
      <w:r w:rsidR="00374C1D">
        <w:t xml:space="preserve">is </w:t>
      </w:r>
      <w:r>
        <w:t>geïmplementeerd</w:t>
      </w:r>
      <w:r w:rsidR="007E42C3">
        <w:t>;</w:t>
      </w:r>
      <w:r>
        <w:t xml:space="preserve"> en (</w:t>
      </w:r>
      <w:r w:rsidR="00DC4775">
        <w:t>2</w:t>
      </w:r>
      <w:r>
        <w:t xml:space="preserve">) </w:t>
      </w:r>
      <w:r w:rsidR="00374C1D">
        <w:t xml:space="preserve">dat </w:t>
      </w:r>
      <w:r w:rsidRPr="007C528B">
        <w:t>richtlijnconform</w:t>
      </w:r>
      <w:r w:rsidR="007E57CB">
        <w:t xml:space="preserve">e interpretatie niet mogelijk </w:t>
      </w:r>
      <w:r w:rsidR="005943C7">
        <w:t xml:space="preserve">(want </w:t>
      </w:r>
      <w:r w:rsidR="005943C7">
        <w:rPr>
          <w:i/>
          <w:iCs/>
        </w:rPr>
        <w:t>contra legem</w:t>
      </w:r>
      <w:r w:rsidR="005943C7">
        <w:t xml:space="preserve">) </w:t>
      </w:r>
      <w:r w:rsidR="00374C1D">
        <w:t>is</w:t>
      </w:r>
      <w:r w:rsidR="0041058C">
        <w:t>.</w:t>
      </w:r>
    </w:p>
  </w:footnote>
  <w:footnote w:id="211">
    <w:p w14:paraId="4ACDD0EF" w14:textId="1C35BD49" w:rsidR="00404ABE" w:rsidRPr="00E222E5" w:rsidRDefault="00404ABE" w:rsidP="003820BE">
      <w:pPr>
        <w:pStyle w:val="FootnoteText"/>
        <w:jc w:val="both"/>
      </w:pPr>
      <w:r>
        <w:rPr>
          <w:rStyle w:val="FootnoteReference"/>
        </w:rPr>
        <w:footnoteRef/>
      </w:r>
      <w:r>
        <w:t xml:space="preserve"> Illustratief is HvJ EU 26 februari 1986, C-152/84 (</w:t>
      </w:r>
      <w:r>
        <w:rPr>
          <w:i/>
          <w:iCs/>
        </w:rPr>
        <w:t>Marshall I</w:t>
      </w:r>
      <w:r>
        <w:t xml:space="preserve">), waarin het ontslagbeleid van een publieke werkgever </w:t>
      </w:r>
      <w:r w:rsidR="007C147E">
        <w:t>werd</w:t>
      </w:r>
      <w:r>
        <w:t xml:space="preserve"> getoetst aan Richtlijn 76/207/EG (oud) (thans Richtlijn 2000/78/EG).</w:t>
      </w:r>
    </w:p>
  </w:footnote>
  <w:footnote w:id="212">
    <w:p w14:paraId="03BD076B" w14:textId="0E8D91B7" w:rsidR="00F52232" w:rsidRPr="00984A5D" w:rsidRDefault="00F52232" w:rsidP="003820BE">
      <w:pPr>
        <w:pStyle w:val="FootnoteText"/>
        <w:jc w:val="both"/>
      </w:pPr>
      <w:r w:rsidRPr="00984A5D">
        <w:rPr>
          <w:rStyle w:val="FootnoteReference"/>
        </w:rPr>
        <w:footnoteRef/>
      </w:r>
      <w:r w:rsidRPr="00984A5D">
        <w:t xml:space="preserve"> De Mol 2014, p. 71</w:t>
      </w:r>
      <w:r w:rsidR="007C4D06" w:rsidRPr="00984A5D">
        <w:t xml:space="preserve">, </w:t>
      </w:r>
      <w:r w:rsidR="006132E2" w:rsidRPr="00984A5D">
        <w:t xml:space="preserve">noemt dit </w:t>
      </w:r>
      <w:r w:rsidR="007C4D06" w:rsidRPr="00984A5D">
        <w:t>het accessoire karakter van Uniegrondrechten.</w:t>
      </w:r>
    </w:p>
  </w:footnote>
  <w:footnote w:id="213">
    <w:p w14:paraId="33DADC0B" w14:textId="77777777" w:rsidR="0069743D" w:rsidRPr="00A872BE" w:rsidRDefault="0069743D" w:rsidP="003820BE">
      <w:pPr>
        <w:pStyle w:val="FootnoteText"/>
        <w:jc w:val="both"/>
      </w:pPr>
      <w:r w:rsidRPr="00A95E28">
        <w:rPr>
          <w:rStyle w:val="FootnoteReference"/>
        </w:rPr>
        <w:footnoteRef/>
      </w:r>
      <w:r w:rsidRPr="00A872BE">
        <w:t xml:space="preserve"> HvJ EU 26 februari 2013, C-617/10, r.o. 19 &amp; 21 (</w:t>
      </w:r>
      <w:r w:rsidRPr="00A872BE">
        <w:rPr>
          <w:i/>
          <w:iCs/>
        </w:rPr>
        <w:t>Åkerberg Fransson</w:t>
      </w:r>
      <w:r w:rsidRPr="00A872BE">
        <w:t>).</w:t>
      </w:r>
    </w:p>
  </w:footnote>
  <w:footnote w:id="214">
    <w:p w14:paraId="6E3854E8" w14:textId="21F1E343" w:rsidR="0069743D" w:rsidRPr="0080665C" w:rsidRDefault="0069743D" w:rsidP="003820BE">
      <w:pPr>
        <w:pStyle w:val="FootnoteText"/>
        <w:jc w:val="both"/>
      </w:pPr>
      <w:r w:rsidRPr="00984A5D">
        <w:rPr>
          <w:rStyle w:val="FootnoteReference"/>
        </w:rPr>
        <w:footnoteRef/>
      </w:r>
      <w:r w:rsidRPr="00984A5D">
        <w:t xml:space="preserve"> </w:t>
      </w:r>
      <w:r w:rsidR="00F9468D" w:rsidRPr="00984A5D">
        <w:t xml:space="preserve">De </w:t>
      </w:r>
      <w:r w:rsidRPr="00984A5D">
        <w:t xml:space="preserve">Mol 2014, </w:t>
      </w:r>
      <w:r w:rsidR="00413037">
        <w:t xml:space="preserve">hfst. 4-5 &amp; </w:t>
      </w:r>
      <w:r w:rsidRPr="00984A5D">
        <w:t>p. 335.</w:t>
      </w:r>
    </w:p>
  </w:footnote>
  <w:footnote w:id="215">
    <w:p w14:paraId="5080898D" w14:textId="344FA02E" w:rsidR="00B4652A" w:rsidRPr="00413037" w:rsidRDefault="00B4652A" w:rsidP="003820BE">
      <w:pPr>
        <w:pStyle w:val="FootnoteText"/>
        <w:jc w:val="both"/>
      </w:pPr>
      <w:r w:rsidRPr="00413037">
        <w:rPr>
          <w:rStyle w:val="FootnoteReference"/>
        </w:rPr>
        <w:footnoteRef/>
      </w:r>
      <w:r w:rsidR="00F9468D" w:rsidRPr="00413037">
        <w:t xml:space="preserve"> </w:t>
      </w:r>
      <w:r w:rsidRPr="00413037">
        <w:t>HvJ EU 13 juli 1989, C-5/88 (</w:t>
      </w:r>
      <w:r w:rsidRPr="00413037">
        <w:rPr>
          <w:i/>
          <w:iCs/>
        </w:rPr>
        <w:t>Wachauf</w:t>
      </w:r>
      <w:r w:rsidRPr="00413037">
        <w:t>)</w:t>
      </w:r>
      <w:r w:rsidR="00F9468D" w:rsidRPr="00413037">
        <w:t xml:space="preserve"> is in dit verband illustratief.</w:t>
      </w:r>
    </w:p>
  </w:footnote>
  <w:footnote w:id="216">
    <w:p w14:paraId="4D1C3484" w14:textId="1B87E359" w:rsidR="00963DAB" w:rsidRPr="0064448F" w:rsidRDefault="00963DAB" w:rsidP="003820BE">
      <w:pPr>
        <w:pStyle w:val="FootnoteText"/>
        <w:jc w:val="both"/>
      </w:pPr>
      <w:r>
        <w:rPr>
          <w:rStyle w:val="FootnoteReference"/>
        </w:rPr>
        <w:footnoteRef/>
      </w:r>
      <w:r w:rsidRPr="00A872BE">
        <w:t xml:space="preserve"> De Mol 2014, p. 276-277; De Mol, </w:t>
      </w:r>
      <w:r w:rsidRPr="00A872BE">
        <w:rPr>
          <w:i/>
          <w:iCs/>
        </w:rPr>
        <w:t xml:space="preserve">AA </w:t>
      </w:r>
      <w:r w:rsidRPr="00A872BE">
        <w:t>2019, p. 379-380.</w:t>
      </w:r>
    </w:p>
  </w:footnote>
  <w:footnote w:id="217">
    <w:p w14:paraId="4F772C76" w14:textId="74902912" w:rsidR="00D31E58" w:rsidRDefault="00D31E58" w:rsidP="003820BE">
      <w:pPr>
        <w:pStyle w:val="FootnoteText"/>
        <w:jc w:val="both"/>
      </w:pPr>
      <w:r>
        <w:rPr>
          <w:rStyle w:val="FootnoteReference"/>
        </w:rPr>
        <w:footnoteRef/>
      </w:r>
      <w:r>
        <w:t xml:space="preserve"> </w:t>
      </w:r>
      <w:r w:rsidR="005E7FE7">
        <w:t xml:space="preserve">Dit blijkt bijvoorbeeld </w:t>
      </w:r>
      <w:r>
        <w:t xml:space="preserve">uit </w:t>
      </w:r>
      <w:r w:rsidR="00281025">
        <w:t xml:space="preserve">de </w:t>
      </w:r>
      <w:r w:rsidR="0051259D">
        <w:t>artikel</w:t>
      </w:r>
      <w:r w:rsidR="00281025">
        <w:t>en 13 en</w:t>
      </w:r>
      <w:r w:rsidR="0051259D">
        <w:t xml:space="preserve"> 18 Richtlijn 2000/78/EG</w:t>
      </w:r>
      <w:r w:rsidR="00B251BE">
        <w:t xml:space="preserve">, </w:t>
      </w:r>
      <w:r w:rsidR="0006360D">
        <w:t xml:space="preserve">de artikelen </w:t>
      </w:r>
      <w:r>
        <w:t>4</w:t>
      </w:r>
      <w:r w:rsidR="000A6A64">
        <w:t>,</w:t>
      </w:r>
      <w:r>
        <w:t xml:space="preserve"> </w:t>
      </w:r>
      <w:r w:rsidR="003D7CB6">
        <w:t>6</w:t>
      </w:r>
      <w:r w:rsidR="0073295B">
        <w:t xml:space="preserve"> </w:t>
      </w:r>
      <w:r w:rsidR="000A6A64">
        <w:t>en 18</w:t>
      </w:r>
      <w:r w:rsidR="003D7CB6">
        <w:t xml:space="preserve"> </w:t>
      </w:r>
      <w:r>
        <w:t>Richtlijn 2003/88/EG</w:t>
      </w:r>
      <w:r w:rsidR="00B251BE">
        <w:t xml:space="preserve">, </w:t>
      </w:r>
      <w:r w:rsidR="0006360D">
        <w:t xml:space="preserve">de artikelen </w:t>
      </w:r>
      <w:r>
        <w:t xml:space="preserve">4 </w:t>
      </w:r>
      <w:r w:rsidR="00281025">
        <w:t xml:space="preserve">en 11 </w:t>
      </w:r>
      <w:r>
        <w:t>Richtlijn 2008/104/EG</w:t>
      </w:r>
      <w:r w:rsidR="00B251BE">
        <w:t>,</w:t>
      </w:r>
      <w:r w:rsidR="0006360D">
        <w:t xml:space="preserve"> de artikelen</w:t>
      </w:r>
      <w:r w:rsidR="00B251BE">
        <w:t xml:space="preserve"> </w:t>
      </w:r>
      <w:r w:rsidR="00281025">
        <w:t>8 en</w:t>
      </w:r>
      <w:r>
        <w:t xml:space="preserve"> 20 lid 8 </w:t>
      </w:r>
      <w:r w:rsidRPr="007C528B">
        <w:t>Richtlijn 2019/1158</w:t>
      </w:r>
      <w:r>
        <w:t>/EU</w:t>
      </w:r>
      <w:r w:rsidR="0051259D">
        <w:t xml:space="preserve"> en</w:t>
      </w:r>
      <w:r w:rsidR="00B251BE">
        <w:t xml:space="preserve"> </w:t>
      </w:r>
      <w:r w:rsidR="0006360D">
        <w:t xml:space="preserve">de artikelen </w:t>
      </w:r>
      <w:r w:rsidR="0051259D">
        <w:t>4</w:t>
      </w:r>
      <w:r w:rsidR="0035366A">
        <w:t>, 7 en 17</w:t>
      </w:r>
      <w:r w:rsidR="0051259D">
        <w:t xml:space="preserve"> Richtlijn 2022/2041/EU.</w:t>
      </w:r>
      <w:r w:rsidR="00B251BE">
        <w:t xml:space="preserve"> </w:t>
      </w:r>
    </w:p>
  </w:footnote>
  <w:footnote w:id="218">
    <w:p w14:paraId="6481A415" w14:textId="5F705783" w:rsidR="0071565F" w:rsidRDefault="0071565F" w:rsidP="003820BE">
      <w:pPr>
        <w:pStyle w:val="FootnoteText"/>
        <w:jc w:val="both"/>
      </w:pPr>
      <w:r>
        <w:rPr>
          <w:rStyle w:val="FootnoteReference"/>
        </w:rPr>
        <w:footnoteRef/>
      </w:r>
      <w:r>
        <w:t xml:space="preserve"> </w:t>
      </w:r>
      <w:r w:rsidR="009E22E3">
        <w:t xml:space="preserve">Zie voor Nederlandse cao’s </w:t>
      </w:r>
      <w:r>
        <w:t xml:space="preserve">de </w:t>
      </w:r>
      <w:r w:rsidRPr="00CE5E0F">
        <w:t>Wet op het algemeen verbindend en het onverbindend verklaren van bepalingen van collectieve arbeidsovereenkomsten</w:t>
      </w:r>
      <w:r>
        <w:t xml:space="preserve"> (Wet Avv).</w:t>
      </w:r>
    </w:p>
  </w:footnote>
  <w:footnote w:id="219">
    <w:p w14:paraId="07EDFCE3" w14:textId="34F653CE" w:rsidR="0043706B" w:rsidRPr="007C528B" w:rsidRDefault="0043706B" w:rsidP="003820BE">
      <w:pPr>
        <w:pStyle w:val="FootnoteText"/>
        <w:jc w:val="both"/>
      </w:pPr>
      <w:r w:rsidRPr="007C528B">
        <w:rPr>
          <w:rStyle w:val="FootnoteReference"/>
        </w:rPr>
        <w:footnoteRef/>
      </w:r>
      <w:r w:rsidRPr="007C528B">
        <w:t xml:space="preserve"> Kullmann</w:t>
      </w:r>
      <w:r>
        <w:t xml:space="preserve"> 201</w:t>
      </w:r>
      <w:r w:rsidR="002A2826">
        <w:t>5</w:t>
      </w:r>
      <w:r>
        <w:t>, par. 6.5.2</w:t>
      </w:r>
      <w:r w:rsidRPr="007C528B">
        <w:t>.</w:t>
      </w:r>
    </w:p>
  </w:footnote>
  <w:footnote w:id="220">
    <w:p w14:paraId="7F8104C3" w14:textId="3EC2B9CB" w:rsidR="001277F4" w:rsidRPr="001277F4" w:rsidRDefault="001277F4" w:rsidP="003820BE">
      <w:pPr>
        <w:pStyle w:val="FootnoteText"/>
        <w:jc w:val="both"/>
      </w:pPr>
      <w:r>
        <w:rPr>
          <w:rStyle w:val="FootnoteReference"/>
        </w:rPr>
        <w:footnoteRef/>
      </w:r>
      <w:r>
        <w:t xml:space="preserve"> </w:t>
      </w:r>
      <w:r w:rsidR="00CE44CB">
        <w:t xml:space="preserve">Naar Nederlands recht zou de vakbond </w:t>
      </w:r>
      <w:r w:rsidR="00D264B8">
        <w:t xml:space="preserve">in voorkomend geval </w:t>
      </w:r>
      <w:r w:rsidR="00CE44CB">
        <w:t>een rechtsvordering kunnen instellen</w:t>
      </w:r>
      <w:r w:rsidR="00D264B8" w:rsidRPr="00D264B8">
        <w:t xml:space="preserve"> </w:t>
      </w:r>
      <w:r w:rsidR="00D264B8">
        <w:t>overeenkomstig artikel 3:305a BW</w:t>
      </w:r>
      <w:r w:rsidR="00CE44CB">
        <w:t xml:space="preserve">, zie Van Den &amp; </w:t>
      </w:r>
      <w:r w:rsidR="00CE44CB" w:rsidRPr="001277F4">
        <w:t>Bij de Vaate</w:t>
      </w:r>
      <w:r w:rsidR="00CE44CB">
        <w:t xml:space="preserve">, </w:t>
      </w:r>
      <w:r w:rsidR="00CE44CB">
        <w:rPr>
          <w:i/>
          <w:iCs/>
        </w:rPr>
        <w:t xml:space="preserve">TRA </w:t>
      </w:r>
      <w:r w:rsidR="00CE44CB">
        <w:t xml:space="preserve">2020/12. Illustratief is </w:t>
      </w:r>
      <w:r w:rsidR="00CE44CB" w:rsidRPr="007C528B">
        <w:t>HvJ EU 19 september 2018, C-312/17 (</w:t>
      </w:r>
      <w:r w:rsidR="00CE44CB" w:rsidRPr="007C528B">
        <w:rPr>
          <w:i/>
          <w:iCs/>
        </w:rPr>
        <w:t>Bedi/Duitsland</w:t>
      </w:r>
      <w:r w:rsidR="00CE44CB" w:rsidRPr="007C528B">
        <w:t>)</w:t>
      </w:r>
      <w:r w:rsidR="00CE44CB">
        <w:t xml:space="preserve">, waarin een door Duitsland gesloten cao in rechte werd aangevochten vanwege een daarin opgenomen discriminatoire bepaling. Het Hof achtte de litigieuze cao-bepaling in strijd met Richtlijn 2000/78/EG. Zie </w:t>
      </w:r>
      <w:r w:rsidR="00D264B8">
        <w:t>tevens</w:t>
      </w:r>
      <w:r w:rsidR="00CE44CB">
        <w:t xml:space="preserve"> HvJ EU 13 september 2011, </w:t>
      </w:r>
      <w:r w:rsidR="00CE44CB" w:rsidRPr="006F2E80">
        <w:t>C‑447/09</w:t>
      </w:r>
      <w:r w:rsidR="00CE44CB">
        <w:t xml:space="preserve"> (</w:t>
      </w:r>
      <w:r w:rsidR="00CE44CB">
        <w:rPr>
          <w:i/>
          <w:iCs/>
        </w:rPr>
        <w:t>Prigge</w:t>
      </w:r>
      <w:r w:rsidR="00CE44CB">
        <w:t xml:space="preserve">), waarin een door </w:t>
      </w:r>
      <w:r w:rsidR="00CE44CB" w:rsidRPr="001E780A">
        <w:rPr>
          <w:i/>
          <w:iCs/>
        </w:rPr>
        <w:t xml:space="preserve">Lufthansa </w:t>
      </w:r>
      <w:r w:rsidR="00CE44CB">
        <w:t>gesloten cao-clausule werd getoetst aan Richtlijn 2000/78/EG en daarmee in strijd werd bevonden.</w:t>
      </w:r>
    </w:p>
  </w:footnote>
  <w:footnote w:id="221">
    <w:p w14:paraId="15AC2F8A" w14:textId="208C3160" w:rsidR="006A2C96" w:rsidRPr="006A2C96" w:rsidRDefault="006A2C96" w:rsidP="003820BE">
      <w:pPr>
        <w:pStyle w:val="FootnoteText"/>
        <w:jc w:val="both"/>
      </w:pPr>
      <w:r>
        <w:rPr>
          <w:rStyle w:val="FootnoteReference"/>
        </w:rPr>
        <w:footnoteRef/>
      </w:r>
      <w:r w:rsidRPr="006A2C96">
        <w:t xml:space="preserve"> </w:t>
      </w:r>
      <w:r w:rsidR="00423C0A">
        <w:t xml:space="preserve">Gedacht </w:t>
      </w:r>
      <w:r w:rsidR="00C97B99">
        <w:t>zou kunnen</w:t>
      </w:r>
      <w:r w:rsidR="00423C0A">
        <w:t xml:space="preserve"> worden aan een casus als</w:t>
      </w:r>
      <w:r>
        <w:t xml:space="preserve"> HvJ EU </w:t>
      </w:r>
      <w:r w:rsidRPr="002B08EB">
        <w:t>15 januari 2014, C-176/12 (</w:t>
      </w:r>
      <w:r w:rsidRPr="002B08EB">
        <w:rPr>
          <w:i/>
          <w:iCs/>
        </w:rPr>
        <w:t>AMS</w:t>
      </w:r>
      <w:r w:rsidRPr="002B08EB">
        <w:t>)</w:t>
      </w:r>
      <w:r>
        <w:t>.</w:t>
      </w:r>
    </w:p>
  </w:footnote>
  <w:footnote w:id="222">
    <w:p w14:paraId="276E52A9" w14:textId="77777777" w:rsidR="00073CE0" w:rsidRPr="006A2C96" w:rsidRDefault="00073CE0" w:rsidP="003820BE">
      <w:pPr>
        <w:pStyle w:val="FootnoteText"/>
        <w:jc w:val="both"/>
      </w:pPr>
      <w:r w:rsidRPr="007C528B">
        <w:rPr>
          <w:rStyle w:val="FootnoteReference"/>
        </w:rPr>
        <w:footnoteRef/>
      </w:r>
      <w:r w:rsidRPr="006A2C96">
        <w:t xml:space="preserve"> Malmberg e.a. 2003, p. 104.</w:t>
      </w:r>
    </w:p>
  </w:footnote>
  <w:footnote w:id="223">
    <w:p w14:paraId="4231E648" w14:textId="727C965F" w:rsidR="000A330E" w:rsidRDefault="000A330E" w:rsidP="003820BE">
      <w:pPr>
        <w:pStyle w:val="FootnoteText"/>
        <w:jc w:val="both"/>
      </w:pPr>
      <w:r>
        <w:rPr>
          <w:rStyle w:val="FootnoteReference"/>
        </w:rPr>
        <w:footnoteRef/>
      </w:r>
      <w:r>
        <w:t xml:space="preserve"> Richtlijn 2003/88/EG</w:t>
      </w:r>
      <w:r w:rsidRPr="000A330E">
        <w:t xml:space="preserve"> betreffende een aantal aspecten van de organisatie van de </w:t>
      </w:r>
      <w:r>
        <w:t>arbeidstijd</w:t>
      </w:r>
      <w:r w:rsidR="00D872B6">
        <w:t>.</w:t>
      </w:r>
    </w:p>
  </w:footnote>
  <w:footnote w:id="224">
    <w:p w14:paraId="3D9F7DDD" w14:textId="1D47B935" w:rsidR="00DB3D20" w:rsidRDefault="00DB3D20" w:rsidP="003820BE">
      <w:pPr>
        <w:pStyle w:val="FootnoteText"/>
        <w:jc w:val="both"/>
      </w:pPr>
      <w:r>
        <w:rPr>
          <w:rStyle w:val="FootnoteReference"/>
        </w:rPr>
        <w:footnoteRef/>
      </w:r>
      <w:r>
        <w:t xml:space="preserve"> Richtlijn 2022/2</w:t>
      </w:r>
      <w:r w:rsidR="00005A8C">
        <w:t>0</w:t>
      </w:r>
      <w:r>
        <w:t xml:space="preserve">41/EU </w:t>
      </w:r>
      <w:r w:rsidRPr="00DB3D20">
        <w:t>betreffende toereikende minimumlonen in de Europese Unie</w:t>
      </w:r>
      <w:r>
        <w:t>.</w:t>
      </w:r>
    </w:p>
  </w:footnote>
  <w:footnote w:id="225">
    <w:p w14:paraId="66C63612" w14:textId="3E597823" w:rsidR="0043706B" w:rsidRPr="007C528B" w:rsidRDefault="0043706B" w:rsidP="003820BE">
      <w:pPr>
        <w:pStyle w:val="FootnoteText"/>
        <w:jc w:val="both"/>
      </w:pPr>
      <w:r w:rsidRPr="007C528B">
        <w:rPr>
          <w:rStyle w:val="FootnoteReference"/>
        </w:rPr>
        <w:footnoteRef/>
      </w:r>
      <w:r w:rsidRPr="007C528B">
        <w:t xml:space="preserve"> Dorssemont &amp; Van Hiel, </w:t>
      </w:r>
      <w:r w:rsidRPr="007C528B">
        <w:rPr>
          <w:i/>
          <w:iCs/>
        </w:rPr>
        <w:t>TSR RDS</w:t>
      </w:r>
      <w:r w:rsidRPr="007C528B">
        <w:t xml:space="preserve"> 2017, par. 3.</w:t>
      </w:r>
    </w:p>
  </w:footnote>
  <w:footnote w:id="226">
    <w:p w14:paraId="5D153B16" w14:textId="2713145E" w:rsidR="0043706B" w:rsidRDefault="0043706B" w:rsidP="003820BE">
      <w:pPr>
        <w:pStyle w:val="FootnoteText"/>
        <w:jc w:val="both"/>
      </w:pPr>
      <w:r>
        <w:rPr>
          <w:rStyle w:val="FootnoteReference"/>
        </w:rPr>
        <w:footnoteRef/>
      </w:r>
      <w:r>
        <w:t xml:space="preserve"> HvJ </w:t>
      </w:r>
      <w:r w:rsidRPr="005969C8">
        <w:t>EU 19 november 2019</w:t>
      </w:r>
      <w:r>
        <w:t xml:space="preserve">, </w:t>
      </w:r>
      <w:r w:rsidRPr="005969C8">
        <w:t>C-609/17 en C-610/</w:t>
      </w:r>
      <w:r w:rsidR="00D009EE">
        <w:t>17</w:t>
      </w:r>
      <w:r>
        <w:t xml:space="preserve"> (</w:t>
      </w:r>
      <w:r>
        <w:rPr>
          <w:i/>
          <w:iCs/>
        </w:rPr>
        <w:t>TSN en AKT</w:t>
      </w:r>
      <w:r>
        <w:t>).</w:t>
      </w:r>
    </w:p>
  </w:footnote>
  <w:footnote w:id="227">
    <w:p w14:paraId="1CFCB7AD" w14:textId="715B58AE" w:rsidR="003E17F8" w:rsidRDefault="003E17F8" w:rsidP="003820BE">
      <w:pPr>
        <w:pStyle w:val="FootnoteText"/>
        <w:jc w:val="both"/>
      </w:pPr>
      <w:r>
        <w:rPr>
          <w:rStyle w:val="FootnoteReference"/>
        </w:rPr>
        <w:footnoteRef/>
      </w:r>
      <w:r>
        <w:t xml:space="preserve"> Een</w:t>
      </w:r>
      <w:r w:rsidR="00727573">
        <w:t>zelfde</w:t>
      </w:r>
      <w:r>
        <w:t xml:space="preserve"> grondslag is </w:t>
      </w:r>
      <w:r w:rsidR="00C27CEB">
        <w:t xml:space="preserve">bijvoorbeeld </w:t>
      </w:r>
      <w:r>
        <w:t xml:space="preserve">te vinden in artikel </w:t>
      </w:r>
      <w:r w:rsidR="00005A8C">
        <w:t>16 lid 2 Richtlijn 2022/2041/EU.</w:t>
      </w:r>
    </w:p>
  </w:footnote>
  <w:footnote w:id="228">
    <w:p w14:paraId="46E0551E" w14:textId="78771D0E" w:rsidR="00B251BE" w:rsidRPr="00D33CCA" w:rsidRDefault="00B251BE" w:rsidP="003820BE">
      <w:pPr>
        <w:pStyle w:val="FootnoteText"/>
        <w:jc w:val="both"/>
      </w:pPr>
      <w:r>
        <w:rPr>
          <w:rStyle w:val="FootnoteReference"/>
        </w:rPr>
        <w:footnoteRef/>
      </w:r>
      <w:r w:rsidRPr="00D33CCA">
        <w:t xml:space="preserve"> </w:t>
      </w:r>
      <w:r w:rsidR="00972182">
        <w:t>Concl.</w:t>
      </w:r>
      <w:r>
        <w:t xml:space="preserve"> </w:t>
      </w:r>
      <w:r w:rsidRPr="00D33CCA">
        <w:t>A-G Bot 4 juni 2019, C‑609/17 en C‑610/17 (</w:t>
      </w:r>
      <w:r w:rsidRPr="00D33CCA">
        <w:rPr>
          <w:i/>
          <w:iCs/>
        </w:rPr>
        <w:t>TSN en AK</w:t>
      </w:r>
      <w:r>
        <w:rPr>
          <w:i/>
          <w:iCs/>
        </w:rPr>
        <w:t>T</w:t>
      </w:r>
      <w:r>
        <w:t>).</w:t>
      </w:r>
    </w:p>
  </w:footnote>
  <w:footnote w:id="229">
    <w:p w14:paraId="36B115C2" w14:textId="48B565EA" w:rsidR="00933DE0" w:rsidRPr="001B5EC8" w:rsidRDefault="00933DE0" w:rsidP="003820BE">
      <w:pPr>
        <w:pStyle w:val="FootnoteText"/>
        <w:jc w:val="both"/>
      </w:pPr>
      <w:r>
        <w:rPr>
          <w:rStyle w:val="FootnoteReference"/>
        </w:rPr>
        <w:footnoteRef/>
      </w:r>
      <w:r>
        <w:t xml:space="preserve"> </w:t>
      </w:r>
      <w:r w:rsidR="0092576B" w:rsidRPr="0092576B">
        <w:t xml:space="preserve">Spaventa, </w:t>
      </w:r>
      <w:r w:rsidR="0092576B" w:rsidRPr="0092576B">
        <w:rPr>
          <w:i/>
          <w:iCs/>
        </w:rPr>
        <w:t>CMLR</w:t>
      </w:r>
      <w:r w:rsidR="0092576B" w:rsidRPr="0092576B">
        <w:t xml:space="preserve"> 2018, p. 1008</w:t>
      </w:r>
      <w:r w:rsidR="00E92A77">
        <w:t xml:space="preserve">, schrijft </w:t>
      </w:r>
      <w:r w:rsidR="00AE0460">
        <w:t xml:space="preserve">in ieder geval </w:t>
      </w:r>
      <w:r w:rsidR="00E92A77">
        <w:t xml:space="preserve">dat </w:t>
      </w:r>
      <w:r w:rsidR="00E92A77" w:rsidRPr="00E92A77">
        <w:t xml:space="preserve">zaken die betrekking hebben op de interne markt een sterkere trigger lijken te vormen voor </w:t>
      </w:r>
      <w:r w:rsidR="00D145ED">
        <w:t xml:space="preserve">de </w:t>
      </w:r>
      <w:r w:rsidR="00E92A77" w:rsidRPr="00E92A77">
        <w:t>activering van het Handvest</w:t>
      </w:r>
      <w:r w:rsidR="00E92A77">
        <w:t>.</w:t>
      </w:r>
    </w:p>
  </w:footnote>
  <w:footnote w:id="230">
    <w:p w14:paraId="0F45639A" w14:textId="76B8A8D0" w:rsidR="00ED669D" w:rsidRPr="00ED669D" w:rsidRDefault="00ED669D" w:rsidP="003820BE">
      <w:pPr>
        <w:pStyle w:val="FootnoteText"/>
        <w:jc w:val="both"/>
        <w:rPr>
          <w:b/>
          <w:bCs/>
        </w:rPr>
      </w:pPr>
      <w:r>
        <w:rPr>
          <w:rStyle w:val="FootnoteReference"/>
        </w:rPr>
        <w:footnoteRef/>
      </w:r>
      <w:r>
        <w:t xml:space="preserve"> </w:t>
      </w:r>
      <w:r w:rsidR="008A28A9">
        <w:t xml:space="preserve">Besselink 2012, par. 3. </w:t>
      </w:r>
    </w:p>
  </w:footnote>
  <w:footnote w:id="231">
    <w:p w14:paraId="5306919B" w14:textId="22CF067F" w:rsidR="00540A61" w:rsidRDefault="00540A61" w:rsidP="003820BE">
      <w:pPr>
        <w:pStyle w:val="FootnoteText"/>
        <w:jc w:val="both"/>
      </w:pPr>
      <w:r>
        <w:rPr>
          <w:rStyle w:val="FootnoteReference"/>
        </w:rPr>
        <w:footnoteRef/>
      </w:r>
      <w:r>
        <w:t xml:space="preserve"> </w:t>
      </w:r>
      <w:r w:rsidR="00A46539">
        <w:t>Barnard 2021, p. 825-826, merkt</w:t>
      </w:r>
      <w:r w:rsidR="00F04607">
        <w:t xml:space="preserve"> op dat artikel 28 Hv </w:t>
      </w:r>
      <w:r w:rsidR="00A46539">
        <w:t>hierdoor feitelijk</w:t>
      </w:r>
      <w:r w:rsidR="00F04607">
        <w:t xml:space="preserve"> slechts symbolische waarde heeft.</w:t>
      </w:r>
    </w:p>
  </w:footnote>
  <w:footnote w:id="232">
    <w:p w14:paraId="0A1FB4B7" w14:textId="57DE9538" w:rsidR="0043706B" w:rsidRPr="007C528B" w:rsidRDefault="0043706B" w:rsidP="003820BE">
      <w:pPr>
        <w:pStyle w:val="FootnoteText"/>
        <w:jc w:val="both"/>
      </w:pPr>
      <w:r w:rsidRPr="007C528B">
        <w:rPr>
          <w:rStyle w:val="FootnoteReference"/>
        </w:rPr>
        <w:footnoteRef/>
      </w:r>
      <w:r w:rsidRPr="007C528B">
        <w:t xml:space="preserve"> Verheugt</w:t>
      </w:r>
      <w:r w:rsidR="00956E5D" w:rsidRPr="00956E5D">
        <w:t>/Eding, Huls &amp; Roorda</w:t>
      </w:r>
      <w:r w:rsidRPr="007C528B">
        <w:t xml:space="preserve"> </w:t>
      </w:r>
      <w:r>
        <w:t>2023</w:t>
      </w:r>
      <w:r w:rsidRPr="007C528B">
        <w:t xml:space="preserve">, p. </w:t>
      </w:r>
      <w:r>
        <w:t>10</w:t>
      </w:r>
      <w:r w:rsidRPr="007C528B">
        <w:t>.</w:t>
      </w:r>
    </w:p>
  </w:footnote>
  <w:footnote w:id="233">
    <w:p w14:paraId="1515B4F2" w14:textId="613E9A40" w:rsidR="0043706B" w:rsidRPr="007C528B" w:rsidRDefault="0043706B" w:rsidP="003820BE">
      <w:pPr>
        <w:pStyle w:val="FootnoteText"/>
        <w:jc w:val="both"/>
      </w:pPr>
      <w:r w:rsidRPr="007C528B">
        <w:rPr>
          <w:rStyle w:val="FootnoteReference"/>
        </w:rPr>
        <w:footnoteRef/>
      </w:r>
      <w:r w:rsidRPr="007C528B">
        <w:t xml:space="preserve"> </w:t>
      </w:r>
      <w:r w:rsidR="00D145ED">
        <w:t xml:space="preserve">Zie over dit beginsel </w:t>
      </w:r>
      <w:r w:rsidRPr="007C528B">
        <w:t xml:space="preserve">Halberstam, </w:t>
      </w:r>
      <w:r w:rsidRPr="007C528B">
        <w:rPr>
          <w:i/>
          <w:iCs/>
        </w:rPr>
        <w:t xml:space="preserve">CYELS </w:t>
      </w:r>
      <w:r w:rsidRPr="007C528B">
        <w:t xml:space="preserve">2021, p. 157. </w:t>
      </w:r>
      <w:r w:rsidR="000234C6">
        <w:t>D</w:t>
      </w:r>
      <w:r w:rsidR="003F5097">
        <w:t xml:space="preserve">iscussie bestaat </w:t>
      </w:r>
      <w:r w:rsidR="00D145ED">
        <w:t xml:space="preserve">evenwel </w:t>
      </w:r>
      <w:r w:rsidR="003F5097">
        <w:t>over</w:t>
      </w:r>
      <w:r w:rsidRPr="007C528B">
        <w:t xml:space="preserve"> de precieze inhoud en reikwijdte, zie Kakouris, </w:t>
      </w:r>
      <w:r w:rsidRPr="007C528B">
        <w:rPr>
          <w:i/>
          <w:iCs/>
        </w:rPr>
        <w:t xml:space="preserve">CMLR </w:t>
      </w:r>
      <w:r w:rsidRPr="007C528B">
        <w:t xml:space="preserve">1997, p. 1405-1406; </w:t>
      </w:r>
      <w:r w:rsidR="00D145ED" w:rsidRPr="007C528B">
        <w:t>Prechal,</w:t>
      </w:r>
      <w:r w:rsidR="00D145ED" w:rsidRPr="007C528B">
        <w:rPr>
          <w:i/>
          <w:iCs/>
        </w:rPr>
        <w:t xml:space="preserve"> CMLR </w:t>
      </w:r>
      <w:r w:rsidR="00D145ED" w:rsidRPr="007C528B">
        <w:t>1998, p. 685-686</w:t>
      </w:r>
      <w:r w:rsidR="00D145ED">
        <w:t xml:space="preserve">; </w:t>
      </w:r>
      <w:r w:rsidRPr="007C528B">
        <w:t>Bobek 2011, par. 6.</w:t>
      </w:r>
    </w:p>
  </w:footnote>
  <w:footnote w:id="234">
    <w:p w14:paraId="7AE6D2FF" w14:textId="77777777" w:rsidR="0092576B" w:rsidRPr="007C528B" w:rsidRDefault="0092576B" w:rsidP="003820BE">
      <w:pPr>
        <w:pStyle w:val="FootnoteText"/>
        <w:jc w:val="both"/>
      </w:pPr>
      <w:r w:rsidRPr="007C528B">
        <w:rPr>
          <w:rStyle w:val="FootnoteReference"/>
        </w:rPr>
        <w:footnoteRef/>
      </w:r>
      <w:r w:rsidRPr="007C528B">
        <w:t xml:space="preserve"> HvJ EU 22 december 2010, C-279/09</w:t>
      </w:r>
      <w:r>
        <w:t xml:space="preserve">, </w:t>
      </w:r>
      <w:r w:rsidRPr="007C528B">
        <w:t>r.o</w:t>
      </w:r>
      <w:r>
        <w:t>.</w:t>
      </w:r>
      <w:r w:rsidRPr="007C528B">
        <w:t xml:space="preserve"> 30-33 (</w:t>
      </w:r>
      <w:r w:rsidRPr="007C528B">
        <w:rPr>
          <w:i/>
          <w:iCs/>
        </w:rPr>
        <w:t>DEB</w:t>
      </w:r>
      <w:r w:rsidRPr="007C528B">
        <w:t>).</w:t>
      </w:r>
    </w:p>
  </w:footnote>
  <w:footnote w:id="235">
    <w:p w14:paraId="3A971AA2" w14:textId="4506AC25" w:rsidR="004A5206" w:rsidRDefault="004A5206" w:rsidP="003820BE">
      <w:pPr>
        <w:pStyle w:val="FootnoteText"/>
        <w:jc w:val="both"/>
      </w:pPr>
      <w:r>
        <w:rPr>
          <w:rStyle w:val="FootnoteReference"/>
        </w:rPr>
        <w:footnoteRef/>
      </w:r>
      <w:r>
        <w:t xml:space="preserve"> </w:t>
      </w:r>
      <w:r w:rsidRPr="004A5206">
        <w:t xml:space="preserve">Zie over </w:t>
      </w:r>
      <w:r w:rsidR="00D145ED">
        <w:t xml:space="preserve">de </w:t>
      </w:r>
      <w:r w:rsidRPr="004A5206">
        <w:t>Unierechtelijke supervisie van nationaal procedurerecht</w:t>
      </w:r>
      <w:r>
        <w:t xml:space="preserve"> </w:t>
      </w:r>
      <w:r w:rsidRPr="004A5206">
        <w:t xml:space="preserve">nader: Widdershoven, </w:t>
      </w:r>
      <w:r w:rsidRPr="004A5206">
        <w:rPr>
          <w:i/>
          <w:iCs/>
        </w:rPr>
        <w:t>REALaw</w:t>
      </w:r>
      <w:r w:rsidRPr="004A5206">
        <w:t xml:space="preserve"> 2019</w:t>
      </w:r>
      <w:r w:rsidR="001D3B15">
        <w:t>, p. 5-34</w:t>
      </w:r>
      <w:r w:rsidRPr="004A5206">
        <w:t>.</w:t>
      </w:r>
    </w:p>
  </w:footnote>
  <w:footnote w:id="236">
    <w:p w14:paraId="7C28E187" w14:textId="0A2D4AB9" w:rsidR="0061227A" w:rsidRPr="00583D7F" w:rsidRDefault="0061227A" w:rsidP="0061227A">
      <w:pPr>
        <w:pStyle w:val="FootnoteText"/>
        <w:jc w:val="both"/>
      </w:pPr>
      <w:r>
        <w:rPr>
          <w:rStyle w:val="FootnoteReference"/>
        </w:rPr>
        <w:footnoteRef/>
      </w:r>
      <w:r>
        <w:t xml:space="preserve"> Vergelijk het strikte(re) toetsingskader om te beoordelen of nationaal </w:t>
      </w:r>
      <w:r w:rsidRPr="0061227A">
        <w:rPr>
          <w:i/>
          <w:iCs/>
        </w:rPr>
        <w:t>materieel</w:t>
      </w:r>
      <w:r>
        <w:t xml:space="preserve"> recht voldoende verband houdt met het Unierecht: </w:t>
      </w:r>
      <w:r w:rsidRPr="00583D7F">
        <w:t>HvJ EU 10 juli 2014, C‑198/13, r.o. 34-37 (</w:t>
      </w:r>
      <w:r w:rsidRPr="00583D7F">
        <w:rPr>
          <w:i/>
          <w:iCs/>
        </w:rPr>
        <w:t>Hernández</w:t>
      </w:r>
      <w:r w:rsidRPr="00583D7F">
        <w:t>).</w:t>
      </w:r>
    </w:p>
  </w:footnote>
  <w:footnote w:id="237">
    <w:p w14:paraId="264C0C43" w14:textId="6298C320" w:rsidR="0043706B" w:rsidRPr="007C528B" w:rsidRDefault="0043706B" w:rsidP="003820BE">
      <w:pPr>
        <w:pStyle w:val="FootnoteText"/>
        <w:jc w:val="both"/>
      </w:pPr>
      <w:r w:rsidRPr="007C528B">
        <w:rPr>
          <w:rStyle w:val="FootnoteReference"/>
        </w:rPr>
        <w:footnoteRef/>
      </w:r>
      <w:r w:rsidRPr="007C528B">
        <w:t xml:space="preserve"> Aangezien het </w:t>
      </w:r>
      <w:r w:rsidR="00A77464">
        <w:t xml:space="preserve">stakingsrecht </w:t>
      </w:r>
      <w:r w:rsidRPr="007C528B">
        <w:t xml:space="preserve">louter </w:t>
      </w:r>
      <w:r w:rsidR="00E579D1">
        <w:t>wordt beschermd in geval van</w:t>
      </w:r>
      <w:r w:rsidR="00A77464">
        <w:t xml:space="preserve"> </w:t>
      </w:r>
      <w:r w:rsidRPr="007C528B">
        <w:t xml:space="preserve">een </w:t>
      </w:r>
      <w:r w:rsidRPr="007C528B">
        <w:rPr>
          <w:i/>
          <w:iCs/>
        </w:rPr>
        <w:t>belangen</w:t>
      </w:r>
      <w:r w:rsidRPr="007C528B">
        <w:t>conflict, nuanceert Kullmann 201</w:t>
      </w:r>
      <w:r w:rsidR="002A2826">
        <w:t>5</w:t>
      </w:r>
      <w:r w:rsidRPr="007C528B">
        <w:t xml:space="preserve">, p. 219, terecht de kwalificatie van het collectieve actierecht als </w:t>
      </w:r>
      <w:r w:rsidR="0061227A">
        <w:t>handhavings</w:t>
      </w:r>
      <w:r w:rsidRPr="007C528B">
        <w:t>instrument van materiële (arbeids)rechten.</w:t>
      </w:r>
    </w:p>
  </w:footnote>
  <w:footnote w:id="238">
    <w:p w14:paraId="4E7F1F82" w14:textId="77777777" w:rsidR="0043706B" w:rsidRPr="007C528B" w:rsidRDefault="0043706B" w:rsidP="003820BE">
      <w:pPr>
        <w:pStyle w:val="FootnoteText"/>
        <w:jc w:val="both"/>
      </w:pPr>
      <w:r w:rsidRPr="007C528B">
        <w:rPr>
          <w:rStyle w:val="FootnoteReference"/>
        </w:rPr>
        <w:footnoteRef/>
      </w:r>
      <w:r w:rsidRPr="007C528B">
        <w:t xml:space="preserve"> De Schutter 2013, p. 107. </w:t>
      </w:r>
    </w:p>
  </w:footnote>
  <w:footnote w:id="239">
    <w:p w14:paraId="7DE8AEC4" w14:textId="77777777" w:rsidR="0043706B" w:rsidRPr="007C528B" w:rsidRDefault="0043706B" w:rsidP="003820BE">
      <w:pPr>
        <w:pStyle w:val="FootnoteText"/>
        <w:jc w:val="both"/>
      </w:pPr>
      <w:r w:rsidRPr="007C528B">
        <w:rPr>
          <w:rStyle w:val="FootnoteReference"/>
        </w:rPr>
        <w:footnoteRef/>
      </w:r>
      <w:r w:rsidRPr="007C528B">
        <w:t xml:space="preserve"> Barkhuysen &amp; Van Emmerik 2023, par. 10.2.3.1, kwalificeren artikel 47 Hv als een procedureel recht.</w:t>
      </w:r>
    </w:p>
  </w:footnote>
  <w:footnote w:id="240">
    <w:p w14:paraId="191FBDB6" w14:textId="02AD6B53" w:rsidR="000B613C" w:rsidRPr="000B613C" w:rsidRDefault="000B613C" w:rsidP="003820BE">
      <w:pPr>
        <w:pStyle w:val="FootnoteText"/>
        <w:jc w:val="both"/>
      </w:pPr>
      <w:r>
        <w:rPr>
          <w:rStyle w:val="FootnoteReference"/>
        </w:rPr>
        <w:footnoteRef/>
      </w:r>
      <w:r>
        <w:t xml:space="preserve"> </w:t>
      </w:r>
      <w:r w:rsidR="00B21DC4">
        <w:t xml:space="preserve">Ook </w:t>
      </w:r>
      <w:r w:rsidR="00035174">
        <w:t>De Mol 2014, p. 188-189</w:t>
      </w:r>
      <w:r w:rsidR="00B21DC4">
        <w:t xml:space="preserve">, </w:t>
      </w:r>
      <w:r w:rsidR="00E579D1">
        <w:t>wijst op</w:t>
      </w:r>
      <w:r w:rsidR="00B21DC4">
        <w:t xml:space="preserve"> de bijzonder</w:t>
      </w:r>
      <w:r w:rsidR="002D7DAC">
        <w:t>e</w:t>
      </w:r>
      <w:r w:rsidR="00B21DC4">
        <w:t xml:space="preserve"> positie van artikel 47 Hv voor wat </w:t>
      </w:r>
      <w:r w:rsidR="00E579D1">
        <w:t>de</w:t>
      </w:r>
      <w:r w:rsidR="00B21DC4">
        <w:t xml:space="preserve"> werkingssfeer</w:t>
      </w:r>
      <w:r w:rsidR="00E579D1">
        <w:t xml:space="preserve"> van deze bepaling</w:t>
      </w:r>
      <w:r w:rsidR="00B21DC4">
        <w:t xml:space="preserve"> betreft.</w:t>
      </w:r>
      <w:r w:rsidR="00035174">
        <w:t xml:space="preserve"> </w:t>
      </w:r>
      <w:r w:rsidR="00911C53">
        <w:t xml:space="preserve">Het arrest </w:t>
      </w:r>
      <w:r>
        <w:t>HvJ EU 20 februari 2024, C</w:t>
      </w:r>
      <w:r w:rsidR="002D7DAC">
        <w:t>-</w:t>
      </w:r>
      <w:r>
        <w:t>715/20 (</w:t>
      </w:r>
      <w:r w:rsidR="00B21DC4">
        <w:rPr>
          <w:i/>
          <w:iCs/>
        </w:rPr>
        <w:t>K</w:t>
      </w:r>
      <w:r>
        <w:rPr>
          <w:i/>
          <w:iCs/>
        </w:rPr>
        <w:t>L/X</w:t>
      </w:r>
      <w:r>
        <w:t>)</w:t>
      </w:r>
      <w:r w:rsidR="00911C53">
        <w:t>, waarover meer in par. 4.3, laat eveneens</w:t>
      </w:r>
      <w:r>
        <w:t xml:space="preserve"> de laagdrempelige toepasselijkheid van artikel 47 Hv </w:t>
      </w:r>
      <w:r w:rsidR="00911C53">
        <w:t>zien</w:t>
      </w:r>
      <w:r>
        <w:t>.</w:t>
      </w:r>
    </w:p>
  </w:footnote>
  <w:footnote w:id="241">
    <w:p w14:paraId="0FA82885" w14:textId="24FB26A9" w:rsidR="00AD6C0E" w:rsidRPr="00E45122" w:rsidRDefault="00AD6C0E" w:rsidP="003820BE">
      <w:pPr>
        <w:pStyle w:val="FootnoteText"/>
        <w:jc w:val="both"/>
      </w:pPr>
      <w:r>
        <w:rPr>
          <w:rStyle w:val="FootnoteReference"/>
        </w:rPr>
        <w:footnoteRef/>
      </w:r>
      <w:r w:rsidRPr="00E45122">
        <w:t xml:space="preserve"> Prechal, </w:t>
      </w:r>
      <w:r w:rsidRPr="00E45122">
        <w:rPr>
          <w:i/>
          <w:iCs/>
        </w:rPr>
        <w:t>RDCE</w:t>
      </w:r>
      <w:r w:rsidRPr="00E45122">
        <w:t xml:space="preserve"> 2020, p. 411-412.</w:t>
      </w:r>
    </w:p>
  </w:footnote>
  <w:footnote w:id="242">
    <w:p w14:paraId="7657B61C" w14:textId="4981C19E" w:rsidR="001F0943" w:rsidRPr="00DB1D83" w:rsidRDefault="001F0943" w:rsidP="003820BE">
      <w:pPr>
        <w:pStyle w:val="FootnoteText"/>
        <w:jc w:val="both"/>
      </w:pPr>
      <w:r>
        <w:rPr>
          <w:rStyle w:val="FootnoteReference"/>
        </w:rPr>
        <w:footnoteRef/>
      </w:r>
      <w:r>
        <w:t xml:space="preserve"> Men zou kunnen denken dat de horizontale directe werking van artikel 49 VwEU in </w:t>
      </w:r>
      <w:r>
        <w:rPr>
          <w:i/>
          <w:iCs/>
        </w:rPr>
        <w:t>Viking</w:t>
      </w:r>
      <w:r>
        <w:t xml:space="preserve"> in </w:t>
      </w:r>
      <w:r w:rsidRPr="00DC3D11">
        <w:t xml:space="preserve">zoverre </w:t>
      </w:r>
      <w:r w:rsidRPr="00430192">
        <w:rPr>
          <w:i/>
          <w:iCs/>
        </w:rPr>
        <w:t>indirect</w:t>
      </w:r>
      <w:r w:rsidRPr="00DC3D11">
        <w:t xml:space="preserve"> was dat in feite het nationale recht, op grond waarvan de staking was toegestaan, werd getoetst aan de vestigingsvrijheid en wegens strijd daarmee buiten toepassing moest blijven. Echter, uit (het dictum van) het arrest blijkt dat niet het nationale recht</w:t>
      </w:r>
      <w:r w:rsidR="000B6F74">
        <w:t>,</w:t>
      </w:r>
      <w:r w:rsidRPr="00DC3D11">
        <w:t xml:space="preserve"> maar het private optreden</w:t>
      </w:r>
      <w:r w:rsidR="006637BA">
        <w:t xml:space="preserve"> </w:t>
      </w:r>
      <w:r w:rsidRPr="00DC3D11">
        <w:t xml:space="preserve">van de vakbond </w:t>
      </w:r>
      <w:r w:rsidR="0063398C">
        <w:t>(de stakingsactie)</w:t>
      </w:r>
      <w:r w:rsidR="0063398C" w:rsidRPr="00DC3D11">
        <w:t xml:space="preserve"> </w:t>
      </w:r>
      <w:r w:rsidRPr="00DC3D11">
        <w:t>het (primaire) onderwerp van toetsing was. Dit optreden werd</w:t>
      </w:r>
      <w:r w:rsidR="000B6F74">
        <w:t xml:space="preserve"> </w:t>
      </w:r>
      <w:r w:rsidR="006637BA">
        <w:t xml:space="preserve">als zodanig </w:t>
      </w:r>
      <w:r>
        <w:t xml:space="preserve">als </w:t>
      </w:r>
      <w:r w:rsidR="006637BA">
        <w:t xml:space="preserve">een </w:t>
      </w:r>
      <w:r>
        <w:t xml:space="preserve">belemmering van de vestigingsvrijheid </w:t>
      </w:r>
      <w:r w:rsidR="006637BA">
        <w:t xml:space="preserve">beschouwd en derhalve </w:t>
      </w:r>
      <w:r w:rsidRPr="004A0048">
        <w:rPr>
          <w:i/>
          <w:iCs/>
        </w:rPr>
        <w:t>direct</w:t>
      </w:r>
      <w:r w:rsidRPr="00DC3D11">
        <w:t xml:space="preserve"> aan </w:t>
      </w:r>
      <w:r>
        <w:t>dit vrij verkeersrecht getoetst</w:t>
      </w:r>
      <w:r w:rsidR="006637BA">
        <w:t xml:space="preserve">. </w:t>
      </w:r>
      <w:r w:rsidR="0063398C">
        <w:t>A</w:t>
      </w:r>
      <w:r w:rsidRPr="00DC3D11">
        <w:t xml:space="preserve">rtikel 49 VwEU </w:t>
      </w:r>
      <w:r w:rsidR="0063398C">
        <w:t>vormde</w:t>
      </w:r>
      <w:r w:rsidR="0063398C" w:rsidRPr="00DC3D11">
        <w:t xml:space="preserve"> </w:t>
      </w:r>
      <w:r w:rsidR="0063398C">
        <w:t>zodoende</w:t>
      </w:r>
      <w:r w:rsidR="0063398C" w:rsidRPr="00DC3D11">
        <w:t xml:space="preserve"> </w:t>
      </w:r>
      <w:r w:rsidRPr="00DC3D11">
        <w:t xml:space="preserve">een rechtsnorm </w:t>
      </w:r>
      <w:r w:rsidR="006637BA">
        <w:t xml:space="preserve">van </w:t>
      </w:r>
      <w:r w:rsidRPr="00DC3D11">
        <w:t xml:space="preserve">waaruit </w:t>
      </w:r>
      <w:r w:rsidRPr="004A0048">
        <w:rPr>
          <w:i/>
          <w:iCs/>
        </w:rPr>
        <w:t>rechtstreeks</w:t>
      </w:r>
      <w:r w:rsidRPr="00DC3D11">
        <w:t xml:space="preserve"> een subjectief recht voor de werkgever en een overeenkomstige verplichting voor de vakbond werd afgeleid</w:t>
      </w:r>
      <w:r>
        <w:t>. Ook al zou bovendien het nationale rechtskader mede</w:t>
      </w:r>
      <w:r w:rsidR="006637BA">
        <w:t xml:space="preserve"> het</w:t>
      </w:r>
      <w:r>
        <w:t xml:space="preserve"> onderwerp van toetsing zijn geweest, </w:t>
      </w:r>
      <w:r w:rsidR="000B6F74">
        <w:t xml:space="preserve">het </w:t>
      </w:r>
      <w:r>
        <w:t>feit blijft dat artikel 49 VwEU vervolgens het relevante rechtskader vormde om de inzet van het stakingsmiddel in het concrete geval te beoordelen.</w:t>
      </w:r>
    </w:p>
  </w:footnote>
  <w:footnote w:id="243">
    <w:p w14:paraId="16E29DC4" w14:textId="77777777" w:rsidR="00AD6C0E" w:rsidRPr="00A662C7" w:rsidRDefault="00AD6C0E" w:rsidP="003820BE">
      <w:pPr>
        <w:pStyle w:val="FootnoteText"/>
        <w:jc w:val="both"/>
      </w:pPr>
      <w:r>
        <w:rPr>
          <w:rStyle w:val="FootnoteReference"/>
        </w:rPr>
        <w:footnoteRef/>
      </w:r>
      <w:r w:rsidRPr="00444A90">
        <w:t xml:space="preserve"> </w:t>
      </w:r>
      <w:r>
        <w:t xml:space="preserve">Zie voor de ratio achter deze beslissing van het Hof: De Mol 2014, par. 7.5.2.4; </w:t>
      </w:r>
      <w:r w:rsidRPr="00A662C7">
        <w:t xml:space="preserve">Cecchetti, </w:t>
      </w:r>
      <w:r w:rsidRPr="00A662C7">
        <w:rPr>
          <w:i/>
          <w:iCs/>
        </w:rPr>
        <w:t>YEL</w:t>
      </w:r>
      <w:r w:rsidRPr="00A662C7">
        <w:t xml:space="preserve"> 2023, p.</w:t>
      </w:r>
      <w:r>
        <w:t xml:space="preserve"> 11.</w:t>
      </w:r>
    </w:p>
  </w:footnote>
  <w:footnote w:id="244">
    <w:p w14:paraId="0ECB2054" w14:textId="3A9698C2" w:rsidR="00AD6C0E" w:rsidRPr="003C3AB9" w:rsidRDefault="00AD6C0E" w:rsidP="003820BE">
      <w:pPr>
        <w:pStyle w:val="FootnoteText"/>
        <w:jc w:val="both"/>
      </w:pPr>
      <w:r>
        <w:rPr>
          <w:rStyle w:val="FootnoteReference"/>
        </w:rPr>
        <w:footnoteRef/>
      </w:r>
      <w:r w:rsidRPr="003C3AB9">
        <w:t xml:space="preserve"> Van Hoek &amp; Houwerzijl, </w:t>
      </w:r>
      <w:r w:rsidRPr="003C3AB9">
        <w:rPr>
          <w:i/>
          <w:iCs/>
        </w:rPr>
        <w:t>NtEr</w:t>
      </w:r>
      <w:r w:rsidRPr="003C3AB9">
        <w:t xml:space="preserve"> 2008</w:t>
      </w:r>
      <w:r w:rsidR="00F83154">
        <w:t xml:space="preserve">, afl. </w:t>
      </w:r>
      <w:r w:rsidRPr="003C3AB9">
        <w:t>7</w:t>
      </w:r>
      <w:r w:rsidR="00F83154">
        <w:t>/</w:t>
      </w:r>
      <w:r w:rsidRPr="003C3AB9">
        <w:t>8, p. 201-202,</w:t>
      </w:r>
      <w:r>
        <w:t xml:space="preserve"> schrijven dat het Hof </w:t>
      </w:r>
      <w:r w:rsidR="000B6F74">
        <w:t>hierdoor</w:t>
      </w:r>
      <w:r>
        <w:t xml:space="preserve"> het </w:t>
      </w:r>
      <w:r w:rsidRPr="00FD6376">
        <w:t>doel</w:t>
      </w:r>
      <w:r>
        <w:t xml:space="preserve"> van de staking centraal heeft gezet en niet het recht op collectieve actie als zodanig.</w:t>
      </w:r>
    </w:p>
  </w:footnote>
  <w:footnote w:id="245">
    <w:p w14:paraId="52D71235" w14:textId="53B5A714" w:rsidR="00B1728F" w:rsidRPr="00B1728F" w:rsidRDefault="00B1728F" w:rsidP="003820BE">
      <w:pPr>
        <w:pStyle w:val="FootnoteText"/>
        <w:jc w:val="both"/>
        <w:rPr>
          <w:lang w:val="fr-BE"/>
        </w:rPr>
      </w:pPr>
      <w:r>
        <w:rPr>
          <w:rStyle w:val="FootnoteReference"/>
        </w:rPr>
        <w:footnoteRef/>
      </w:r>
      <w:r w:rsidRPr="00B1728F">
        <w:rPr>
          <w:lang w:val="fr-BE"/>
        </w:rPr>
        <w:t xml:space="preserve"> </w:t>
      </w:r>
      <w:r w:rsidRPr="00AD6C0E">
        <w:rPr>
          <w:lang w:val="fr-BE"/>
        </w:rPr>
        <w:t xml:space="preserve">De Mol 2014, p. 220 &amp; par. 8.4; </w:t>
      </w:r>
      <w:r w:rsidRPr="00B1728F">
        <w:rPr>
          <w:lang w:val="fr-BE"/>
        </w:rPr>
        <w:t>Pennings &amp; Peters</w:t>
      </w:r>
      <w:r w:rsidRPr="00B1728F">
        <w:rPr>
          <w:i/>
          <w:iCs/>
          <w:lang w:val="fr-BE"/>
        </w:rPr>
        <w:t xml:space="preserve"> </w:t>
      </w:r>
      <w:r w:rsidRPr="00B1728F">
        <w:rPr>
          <w:lang w:val="fr-BE"/>
        </w:rPr>
        <w:t>2021, par. 2.3.2.4.</w:t>
      </w:r>
    </w:p>
  </w:footnote>
  <w:footnote w:id="246">
    <w:p w14:paraId="13095488" w14:textId="5A45DEC2" w:rsidR="003500A9" w:rsidRDefault="003500A9" w:rsidP="003820BE">
      <w:pPr>
        <w:pStyle w:val="FootnoteText"/>
        <w:jc w:val="both"/>
      </w:pPr>
      <w:r>
        <w:rPr>
          <w:rStyle w:val="FootnoteReference"/>
        </w:rPr>
        <w:footnoteRef/>
      </w:r>
      <w:r>
        <w:t xml:space="preserve"> Hoewel het</w:t>
      </w:r>
      <w:r w:rsidRPr="00DC3D11">
        <w:t xml:space="preserve"> </w:t>
      </w:r>
      <w:r w:rsidRPr="0063398C">
        <w:rPr>
          <w:i/>
          <w:iCs/>
        </w:rPr>
        <w:t>Holship</w:t>
      </w:r>
      <w:r>
        <w:t>-arrest</w:t>
      </w:r>
      <w:r w:rsidRPr="00DC3D11">
        <w:t xml:space="preserve"> </w:t>
      </w:r>
      <w:r>
        <w:t>(par.</w:t>
      </w:r>
      <w:r w:rsidRPr="00DC3D11">
        <w:t xml:space="preserve"> </w:t>
      </w:r>
      <w:r>
        <w:t>3.3)</w:t>
      </w:r>
      <w:r w:rsidRPr="00DC3D11">
        <w:t xml:space="preserve"> </w:t>
      </w:r>
      <w:r>
        <w:t>laat</w:t>
      </w:r>
      <w:r w:rsidRPr="00DC3D11">
        <w:t xml:space="preserve"> </w:t>
      </w:r>
      <w:r>
        <w:t>zien</w:t>
      </w:r>
      <w:r w:rsidRPr="00DC3D11">
        <w:t xml:space="preserve"> </w:t>
      </w:r>
      <w:r>
        <w:t>dat</w:t>
      </w:r>
      <w:r w:rsidRPr="00DC3D11">
        <w:t xml:space="preserve"> </w:t>
      </w:r>
      <w:r w:rsidRPr="0063398C">
        <w:t>een</w:t>
      </w:r>
      <w:r>
        <w:t xml:space="preserve"> ‘dubbele proportionaliteitstoets’ binnen</w:t>
      </w:r>
      <w:r w:rsidRPr="00DC3D11">
        <w:t xml:space="preserve"> </w:t>
      </w:r>
      <w:r>
        <w:t>het</w:t>
      </w:r>
      <w:r w:rsidRPr="00DC3D11">
        <w:t xml:space="preserve"> </w:t>
      </w:r>
      <w:r>
        <w:t>huidige</w:t>
      </w:r>
      <w:r w:rsidRPr="00DC3D11">
        <w:t xml:space="preserve"> </w:t>
      </w:r>
      <w:r>
        <w:t>interne</w:t>
      </w:r>
      <w:r w:rsidRPr="00DC3D11">
        <w:t xml:space="preserve"> </w:t>
      </w:r>
      <w:r>
        <w:t>marktkader</w:t>
      </w:r>
      <w:r w:rsidRPr="00DC3D11">
        <w:t xml:space="preserve"> </w:t>
      </w:r>
      <w:r w:rsidR="00F44049">
        <w:t>in theorie</w:t>
      </w:r>
      <w:r w:rsidRPr="00DC3D11">
        <w:t xml:space="preserve"> </w:t>
      </w:r>
      <w:r>
        <w:t>mogelijk</w:t>
      </w:r>
      <w:r w:rsidRPr="00DC3D11">
        <w:t xml:space="preserve"> </w:t>
      </w:r>
      <w:r>
        <w:t>is,</w:t>
      </w:r>
      <w:r w:rsidRPr="00DC3D11">
        <w:t xml:space="preserve"> </w:t>
      </w:r>
      <w:r>
        <w:t>staat mijns inziens de situatie</w:t>
      </w:r>
      <w:r w:rsidRPr="00DC3D11">
        <w:t xml:space="preserve"> </w:t>
      </w:r>
      <w:r>
        <w:t>waarin</w:t>
      </w:r>
      <w:r w:rsidRPr="00DC3D11">
        <w:t xml:space="preserve"> </w:t>
      </w:r>
      <w:r>
        <w:t xml:space="preserve">zuiver horizontale </w:t>
      </w:r>
      <w:r w:rsidR="00D570CF">
        <w:t xml:space="preserve">directe </w:t>
      </w:r>
      <w:r>
        <w:t xml:space="preserve">werking van </w:t>
      </w:r>
      <w:r w:rsidR="001E14C0">
        <w:t xml:space="preserve">de </w:t>
      </w:r>
      <w:r>
        <w:t>marktvrijheden wél maar van (andere) Uniegrondrechten níet mogelijk is</w:t>
      </w:r>
      <w:r w:rsidRPr="00DC3D11">
        <w:t xml:space="preserve"> </w:t>
      </w:r>
      <w:r>
        <w:t xml:space="preserve">aan </w:t>
      </w:r>
      <w:r w:rsidR="00BA1555">
        <w:t xml:space="preserve">een </w:t>
      </w:r>
      <w:r>
        <w:t>volledige</w:t>
      </w:r>
      <w:r w:rsidRPr="00DC3D11">
        <w:t xml:space="preserve"> </w:t>
      </w:r>
      <w:r>
        <w:t>gelijkwaard</w:t>
      </w:r>
      <w:r w:rsidR="00BA1555">
        <w:t xml:space="preserve">ige afweging </w:t>
      </w:r>
      <w:r>
        <w:t xml:space="preserve">in de weg. </w:t>
      </w:r>
      <w:r w:rsidR="00BA1555">
        <w:t>Het EVA-Hof en het Noorse Hooggerechtshof legde</w:t>
      </w:r>
      <w:r w:rsidR="00BD2C12">
        <w:t>n</w:t>
      </w:r>
      <w:r w:rsidR="00BA1555" w:rsidRPr="005C32A3">
        <w:t xml:space="preserve"> de</w:t>
      </w:r>
      <w:r w:rsidR="00BA1555">
        <w:t xml:space="preserve"> nadruk </w:t>
      </w:r>
      <w:r w:rsidR="006A5E0D">
        <w:t xml:space="preserve">immers </w:t>
      </w:r>
      <w:r w:rsidR="00BA1555">
        <w:t>nog steeds op het vrij verkeer.</w:t>
      </w:r>
    </w:p>
  </w:footnote>
  <w:footnote w:id="247">
    <w:p w14:paraId="12AA2293" w14:textId="77777777" w:rsidR="00AD6C0E" w:rsidRPr="00C76D59" w:rsidRDefault="00AD6C0E" w:rsidP="003820BE">
      <w:pPr>
        <w:pStyle w:val="FootnoteText"/>
        <w:jc w:val="both"/>
      </w:pPr>
      <w:r>
        <w:rPr>
          <w:rStyle w:val="FootnoteReference"/>
        </w:rPr>
        <w:footnoteRef/>
      </w:r>
      <w:r w:rsidRPr="00C76D59">
        <w:t xml:space="preserve"> De Mol 2014, p. 206.</w:t>
      </w:r>
    </w:p>
  </w:footnote>
  <w:footnote w:id="248">
    <w:p w14:paraId="55EC6103" w14:textId="386CBF25" w:rsidR="00F66EAE" w:rsidRPr="00AD72A1" w:rsidRDefault="00F66EAE" w:rsidP="003820BE">
      <w:pPr>
        <w:pStyle w:val="FootnoteText"/>
        <w:jc w:val="both"/>
      </w:pPr>
      <w:r>
        <w:rPr>
          <w:rStyle w:val="FootnoteReference"/>
        </w:rPr>
        <w:footnoteRef/>
      </w:r>
      <w:r w:rsidRPr="00AD72A1">
        <w:t xml:space="preserve"> Zoals g</w:t>
      </w:r>
      <w:r>
        <w:t>ezegd (par. 4.2) ga ik ervan uit dat hieraan bij artikel 28 Hv is voldaan.</w:t>
      </w:r>
    </w:p>
  </w:footnote>
  <w:footnote w:id="249">
    <w:p w14:paraId="74CF10BF" w14:textId="4DB60DF3" w:rsidR="0007610C" w:rsidRPr="007F65BE" w:rsidRDefault="0007610C" w:rsidP="003820BE">
      <w:pPr>
        <w:pStyle w:val="FootnoteText"/>
        <w:jc w:val="both"/>
      </w:pPr>
      <w:r>
        <w:rPr>
          <w:rStyle w:val="FootnoteReference"/>
        </w:rPr>
        <w:footnoteRef/>
      </w:r>
      <w:r w:rsidRPr="007F65BE">
        <w:t xml:space="preserve"> De Mol 2014, par. 7.3.1,</w:t>
      </w:r>
      <w:r>
        <w:t xml:space="preserve"> </w:t>
      </w:r>
      <w:r w:rsidR="00F16374">
        <w:t xml:space="preserve">bespreekt daarentegen ook een stroming die vindt dat </w:t>
      </w:r>
      <w:r w:rsidR="00E7722A">
        <w:t>grondrechten</w:t>
      </w:r>
      <w:r w:rsidR="001F25FC">
        <w:t xml:space="preserve"> niet alleen</w:t>
      </w:r>
      <w:r w:rsidR="00E7722A">
        <w:t xml:space="preserve"> moeten gelden in het publieke</w:t>
      </w:r>
      <w:r w:rsidR="00F16374">
        <w:t>, maar ook in het private</w:t>
      </w:r>
      <w:r w:rsidR="00E7722A">
        <w:t xml:space="preserve"> </w:t>
      </w:r>
      <w:r w:rsidR="001F25FC">
        <w:t>domein</w:t>
      </w:r>
      <w:r w:rsidR="00D82803">
        <w:t>.</w:t>
      </w:r>
    </w:p>
  </w:footnote>
  <w:footnote w:id="250">
    <w:p w14:paraId="45DD66C4" w14:textId="14E93B28" w:rsidR="00211007" w:rsidRPr="008726BB" w:rsidRDefault="00211007" w:rsidP="003820BE">
      <w:pPr>
        <w:pStyle w:val="FootnoteText"/>
        <w:jc w:val="both"/>
      </w:pPr>
      <w:r>
        <w:rPr>
          <w:rStyle w:val="FootnoteReference"/>
        </w:rPr>
        <w:footnoteRef/>
      </w:r>
      <w:r>
        <w:t xml:space="preserve"> </w:t>
      </w:r>
      <w:r w:rsidR="00971604">
        <w:t>G</w:t>
      </w:r>
      <w:r w:rsidR="00787707">
        <w:t xml:space="preserve">etwist kan </w:t>
      </w:r>
      <w:r w:rsidR="00971604">
        <w:t xml:space="preserve">echter </w:t>
      </w:r>
      <w:r w:rsidR="00787707">
        <w:t>worden</w:t>
      </w:r>
      <w:r>
        <w:t xml:space="preserve"> </w:t>
      </w:r>
      <w:r w:rsidRPr="008726BB">
        <w:t xml:space="preserve">over de </w:t>
      </w:r>
      <w:r>
        <w:t>vraag of</w:t>
      </w:r>
      <w:r w:rsidRPr="008726BB">
        <w:t xml:space="preserve"> </w:t>
      </w:r>
      <w:r w:rsidR="00971604">
        <w:t xml:space="preserve">met </w:t>
      </w:r>
      <w:r w:rsidRPr="008726BB">
        <w:t>artikel 51 lid 1 Hv</w:t>
      </w:r>
      <w:r>
        <w:t xml:space="preserve"> </w:t>
      </w:r>
      <w:r w:rsidR="00971604">
        <w:t xml:space="preserve">is </w:t>
      </w:r>
      <w:r>
        <w:t>beoog</w:t>
      </w:r>
      <w:r w:rsidR="00971604">
        <w:t>d om</w:t>
      </w:r>
      <w:r>
        <w:t xml:space="preserve"> horizontale directe werking van </w:t>
      </w:r>
      <w:r w:rsidR="000D65C7">
        <w:t>het Handvest</w:t>
      </w:r>
      <w:r>
        <w:t xml:space="preserve"> uit te sluiten</w:t>
      </w:r>
      <w:r w:rsidR="00FC2D96">
        <w:t xml:space="preserve">. De discussie hieromtrent </w:t>
      </w:r>
      <w:r>
        <w:t>wordt weergegeven door</w:t>
      </w:r>
      <w:r w:rsidRPr="008726BB">
        <w:t xml:space="preserve"> </w:t>
      </w:r>
      <w:r>
        <w:t>Ugartemendia 2021, par. 1.</w:t>
      </w:r>
    </w:p>
  </w:footnote>
  <w:footnote w:id="251">
    <w:p w14:paraId="2CEC3DD8" w14:textId="13BE7CF6" w:rsidR="0007610C" w:rsidRPr="00AD2C23" w:rsidRDefault="0007610C" w:rsidP="003820BE">
      <w:pPr>
        <w:pStyle w:val="FootnoteText"/>
        <w:jc w:val="both"/>
        <w:rPr>
          <w:u w:val="single"/>
        </w:rPr>
      </w:pPr>
      <w:r>
        <w:rPr>
          <w:rStyle w:val="FootnoteReference"/>
        </w:rPr>
        <w:footnoteRef/>
      </w:r>
      <w:r w:rsidRPr="00B252AD">
        <w:t xml:space="preserve"> De Mol 2014, par. 7.2.2; Cecchetti, </w:t>
      </w:r>
      <w:r w:rsidRPr="00B252AD">
        <w:rPr>
          <w:i/>
          <w:iCs/>
        </w:rPr>
        <w:t>YEL</w:t>
      </w:r>
      <w:r w:rsidRPr="00B252AD">
        <w:t xml:space="preserve"> 2023, par. 2.</w:t>
      </w:r>
    </w:p>
  </w:footnote>
  <w:footnote w:id="252">
    <w:p w14:paraId="7E0D56BD" w14:textId="7491DC3F" w:rsidR="0007610C" w:rsidRPr="00AD2C23" w:rsidRDefault="0007610C" w:rsidP="003820BE">
      <w:pPr>
        <w:pStyle w:val="FootnoteText"/>
        <w:jc w:val="both"/>
      </w:pPr>
      <w:r>
        <w:rPr>
          <w:rStyle w:val="FootnoteReference"/>
        </w:rPr>
        <w:footnoteRef/>
      </w:r>
      <w:r w:rsidRPr="00AD2C23">
        <w:t xml:space="preserve"> De Mol 2014, p. 269-270 &amp; 274-276.</w:t>
      </w:r>
    </w:p>
  </w:footnote>
  <w:footnote w:id="253">
    <w:p w14:paraId="2D5CA8EC" w14:textId="528F1F95" w:rsidR="00C51724" w:rsidRDefault="00C51724" w:rsidP="003820BE">
      <w:pPr>
        <w:pStyle w:val="FootnoteText"/>
        <w:jc w:val="both"/>
      </w:pPr>
      <w:r>
        <w:rPr>
          <w:rStyle w:val="FootnoteReference"/>
        </w:rPr>
        <w:footnoteRef/>
      </w:r>
      <w:r>
        <w:t xml:space="preserve"> </w:t>
      </w:r>
      <w:r w:rsidR="0067458D">
        <w:t xml:space="preserve">Voor zover </w:t>
      </w:r>
      <w:r w:rsidR="00A72E4D">
        <w:t>de rol van</w:t>
      </w:r>
      <w:r>
        <w:t xml:space="preserve"> het Handvest </w:t>
      </w:r>
      <w:r w:rsidR="00A72E4D">
        <w:t xml:space="preserve">beperkt is tot </w:t>
      </w:r>
      <w:r>
        <w:t xml:space="preserve">het </w:t>
      </w:r>
      <w:r w:rsidR="00A72E4D">
        <w:t xml:space="preserve">buiten toepassing laten van het </w:t>
      </w:r>
      <w:r>
        <w:t xml:space="preserve">met een </w:t>
      </w:r>
      <w:r w:rsidR="00AA40FB">
        <w:t>Unie</w:t>
      </w:r>
      <w:r>
        <w:t>richtlijn strijdige nationale recht, waarna het</w:t>
      </w:r>
      <w:r w:rsidR="00A72E4D">
        <w:t xml:space="preserve"> (overige)</w:t>
      </w:r>
      <w:r>
        <w:t xml:space="preserve"> nationale recht </w:t>
      </w:r>
      <w:r w:rsidR="00A72E4D">
        <w:t>(</w:t>
      </w:r>
      <w:r>
        <w:t>maar niet de betreffende Handvestbepaling</w:t>
      </w:r>
      <w:r w:rsidR="00A72E4D">
        <w:t>)</w:t>
      </w:r>
      <w:r>
        <w:t xml:space="preserve"> de inhoud van de private rechtsbetrekking bepaalt</w:t>
      </w:r>
      <w:r w:rsidR="00A72E4D">
        <w:t xml:space="preserve"> –</w:t>
      </w:r>
      <w:r w:rsidR="0067458D">
        <w:t xml:space="preserve"> hetgeen bijvoorbeeld het geval was in </w:t>
      </w:r>
      <w:r w:rsidR="0067458D" w:rsidRPr="002B08EB">
        <w:t>HvJ EU 19 januari 2010, C-555/07 (</w:t>
      </w:r>
      <w:r w:rsidR="0067458D" w:rsidRPr="002B08EB">
        <w:rPr>
          <w:i/>
          <w:iCs/>
        </w:rPr>
        <w:t>Kücükdeveci</w:t>
      </w:r>
      <w:r w:rsidR="0067458D" w:rsidRPr="002B08EB">
        <w:t>)</w:t>
      </w:r>
      <w:r w:rsidR="00A72E4D">
        <w:t xml:space="preserve"> –</w:t>
      </w:r>
      <w:r w:rsidR="0067458D">
        <w:t xml:space="preserve"> spreken veel auteurs, zoals </w:t>
      </w:r>
      <w:r w:rsidR="0067458D" w:rsidRPr="00C27324">
        <w:t>Devroe &amp; Stuyck 2011</w:t>
      </w:r>
      <w:r w:rsidR="0067458D">
        <w:t xml:space="preserve">, p. 255-256; </w:t>
      </w:r>
      <w:r w:rsidR="0067458D" w:rsidRPr="000746F4">
        <w:t xml:space="preserve">Sieburgh, </w:t>
      </w:r>
      <w:r w:rsidR="0067458D" w:rsidRPr="000746F4">
        <w:rPr>
          <w:i/>
          <w:iCs/>
        </w:rPr>
        <w:t>RM Themis</w:t>
      </w:r>
      <w:r w:rsidR="0067458D" w:rsidRPr="000746F4">
        <w:t xml:space="preserve"> 2015, p</w:t>
      </w:r>
      <w:r w:rsidR="0067458D">
        <w:t xml:space="preserve">. 6-7; </w:t>
      </w:r>
      <w:r w:rsidR="0067458D" w:rsidRPr="00AD2C23">
        <w:t xml:space="preserve">Eleveld, </w:t>
      </w:r>
      <w:r w:rsidR="0067458D" w:rsidRPr="00AD2C23">
        <w:rPr>
          <w:i/>
          <w:iCs/>
        </w:rPr>
        <w:t>N</w:t>
      </w:r>
      <w:r w:rsidR="0067458D">
        <w:rPr>
          <w:i/>
          <w:iCs/>
        </w:rPr>
        <w:t>tEr</w:t>
      </w:r>
      <w:r w:rsidR="0067458D">
        <w:t xml:space="preserve"> 2019, p. 90</w:t>
      </w:r>
      <w:r w:rsidR="00152A16">
        <w:t xml:space="preserve"> en</w:t>
      </w:r>
      <w:r w:rsidR="0067458D">
        <w:t xml:space="preserve"> Hartkamp, </w:t>
      </w:r>
      <w:r w:rsidR="0067458D">
        <w:rPr>
          <w:i/>
          <w:iCs/>
        </w:rPr>
        <w:t>AA</w:t>
      </w:r>
      <w:r w:rsidR="0067458D">
        <w:t xml:space="preserve"> 2019, par. 6, niet van </w:t>
      </w:r>
      <w:r w:rsidR="0067458D">
        <w:rPr>
          <w:i/>
          <w:iCs/>
        </w:rPr>
        <w:t>directe</w:t>
      </w:r>
      <w:r w:rsidR="0067458D">
        <w:t xml:space="preserve"> maar van (een vorm van) </w:t>
      </w:r>
      <w:r w:rsidR="0067458D">
        <w:rPr>
          <w:i/>
          <w:iCs/>
        </w:rPr>
        <w:t xml:space="preserve">indirecte </w:t>
      </w:r>
      <w:r w:rsidR="0067458D">
        <w:t>horizontale werking</w:t>
      </w:r>
      <w:r w:rsidR="00AA40FB">
        <w:t xml:space="preserve"> van het Handvest</w:t>
      </w:r>
      <w:r w:rsidR="0067458D">
        <w:t>.</w:t>
      </w:r>
      <w:r w:rsidR="00A72E4D">
        <w:t xml:space="preserve"> Ik sluit me bij die terminologie aan.</w:t>
      </w:r>
    </w:p>
  </w:footnote>
  <w:footnote w:id="254">
    <w:p w14:paraId="578D8D6C" w14:textId="4ED81585" w:rsidR="0007610C" w:rsidRPr="00AA2E98" w:rsidRDefault="0007610C" w:rsidP="003820BE">
      <w:pPr>
        <w:pStyle w:val="FootnoteText"/>
        <w:jc w:val="both"/>
      </w:pPr>
      <w:r>
        <w:rPr>
          <w:rStyle w:val="FootnoteReference"/>
        </w:rPr>
        <w:footnoteRef/>
      </w:r>
      <w:r w:rsidR="00F26ADA">
        <w:t xml:space="preserve"> </w:t>
      </w:r>
      <w:r w:rsidR="00340CBD">
        <w:t>Zo was in</w:t>
      </w:r>
      <w:r w:rsidR="00F26ADA">
        <w:t xml:space="preserve"> </w:t>
      </w:r>
      <w:r w:rsidRPr="002B08EB">
        <w:t>HvJ EU 15 januari 2014, C-176/12 (</w:t>
      </w:r>
      <w:r w:rsidRPr="002B08EB">
        <w:rPr>
          <w:i/>
          <w:iCs/>
        </w:rPr>
        <w:t>AMS</w:t>
      </w:r>
      <w:r w:rsidRPr="002B08EB">
        <w:t>)</w:t>
      </w:r>
      <w:r w:rsidR="00F26ADA">
        <w:t xml:space="preserve"> </w:t>
      </w:r>
      <w:r w:rsidRPr="002B08EB">
        <w:t xml:space="preserve">de </w:t>
      </w:r>
      <w:r>
        <w:t>relevante</w:t>
      </w:r>
      <w:r w:rsidRPr="002B08EB">
        <w:t xml:space="preserve"> Handvestbepaling (artikel 27 Hv)</w:t>
      </w:r>
      <w:r w:rsidR="00F26ADA" w:rsidRPr="00F26ADA">
        <w:t xml:space="preserve"> </w:t>
      </w:r>
      <w:r>
        <w:t xml:space="preserve">op zichzelf onvoldoende </w:t>
      </w:r>
      <w:r w:rsidR="003B2295">
        <w:t>dwingend</w:t>
      </w:r>
      <w:r>
        <w:t xml:space="preserve"> en onvoorwaardelijk</w:t>
      </w:r>
      <w:r w:rsidR="00340CBD">
        <w:t xml:space="preserve"> geformuleerd</w:t>
      </w:r>
      <w:r>
        <w:t xml:space="preserve"> om als rechtstreeks werkend recht te fungeren.</w:t>
      </w:r>
    </w:p>
  </w:footnote>
  <w:footnote w:id="255">
    <w:p w14:paraId="6C77540E" w14:textId="77777777" w:rsidR="0007610C" w:rsidRPr="0080665C" w:rsidRDefault="0007610C" w:rsidP="003820BE">
      <w:pPr>
        <w:pStyle w:val="FootnoteText"/>
        <w:jc w:val="both"/>
        <w:rPr>
          <w:lang w:val="de-DE"/>
        </w:rPr>
      </w:pPr>
      <w:r w:rsidRPr="009940BA">
        <w:rPr>
          <w:rStyle w:val="FootnoteReference"/>
        </w:rPr>
        <w:footnoteRef/>
      </w:r>
      <w:r w:rsidRPr="0080665C">
        <w:rPr>
          <w:lang w:val="de-DE"/>
        </w:rPr>
        <w:t xml:space="preserve"> HvJ EU 6 november 2018, C-569/16 en C-570/16 (</w:t>
      </w:r>
      <w:r w:rsidRPr="0080665C">
        <w:rPr>
          <w:i/>
          <w:iCs/>
          <w:lang w:val="de-DE"/>
        </w:rPr>
        <w:t>Bauer en Willmeroth</w:t>
      </w:r>
      <w:r w:rsidRPr="0080665C">
        <w:rPr>
          <w:lang w:val="de-DE"/>
        </w:rPr>
        <w:t>).</w:t>
      </w:r>
    </w:p>
  </w:footnote>
  <w:footnote w:id="256">
    <w:p w14:paraId="38E08589" w14:textId="4452F5F2" w:rsidR="0007610C" w:rsidRPr="00556550" w:rsidRDefault="0007610C" w:rsidP="003820BE">
      <w:pPr>
        <w:pStyle w:val="FootnoteText"/>
        <w:jc w:val="both"/>
      </w:pPr>
      <w:r>
        <w:rPr>
          <w:rStyle w:val="FootnoteReference"/>
        </w:rPr>
        <w:footnoteRef/>
      </w:r>
      <w:r w:rsidRPr="00556550">
        <w:t xml:space="preserve"> </w:t>
      </w:r>
      <w:r w:rsidR="00BB0E92">
        <w:t>A</w:t>
      </w:r>
      <w:r>
        <w:t>nders dan bij de inhoudelijke overwegingen</w:t>
      </w:r>
      <w:r w:rsidR="00BB0E92" w:rsidRPr="00BB0E92">
        <w:t xml:space="preserve"> </w:t>
      </w:r>
      <w:r w:rsidR="00BB0E92">
        <w:t>verwees het Hof</w:t>
      </w:r>
      <w:r>
        <w:t xml:space="preserve"> </w:t>
      </w:r>
      <w:r w:rsidR="00BB0E92">
        <w:t>in het dictum niet</w:t>
      </w:r>
      <w:r>
        <w:t xml:space="preserve"> </w:t>
      </w:r>
      <w:r w:rsidR="00BB0E92">
        <w:t xml:space="preserve">alleen </w:t>
      </w:r>
      <w:r>
        <w:t xml:space="preserve">naar artikel 7 </w:t>
      </w:r>
      <w:r w:rsidR="004259F6">
        <w:t>Arbeidstijden</w:t>
      </w:r>
      <w:r w:rsidR="005301E0">
        <w:t>-</w:t>
      </w:r>
      <w:r>
        <w:t>richtlijn</w:t>
      </w:r>
      <w:r w:rsidR="00196CCD">
        <w:t>,</w:t>
      </w:r>
      <w:r w:rsidR="00BB0E92">
        <w:t xml:space="preserve"> maar ook </w:t>
      </w:r>
      <w:r>
        <w:t>naar artikel 31 lid 2 Hv</w:t>
      </w:r>
      <w:r w:rsidR="00BB0E92">
        <w:t>.</w:t>
      </w:r>
      <w:r w:rsidR="004259F6">
        <w:t xml:space="preserve"> </w:t>
      </w:r>
      <w:r w:rsidR="00532C75">
        <w:t>Echter, i</w:t>
      </w:r>
      <w:r w:rsidR="004259F6">
        <w:t>n</w:t>
      </w:r>
      <w:r>
        <w:t xml:space="preserve"> een verticale verhouding is een</w:t>
      </w:r>
      <w:r w:rsidR="004259F6">
        <w:t xml:space="preserve"> </w:t>
      </w:r>
      <w:r>
        <w:t xml:space="preserve">beroep op de richtlijn </w:t>
      </w:r>
      <w:r w:rsidR="009940BA">
        <w:t>in principe</w:t>
      </w:r>
      <w:r>
        <w:t xml:space="preserve"> voldoende.</w:t>
      </w:r>
    </w:p>
  </w:footnote>
  <w:footnote w:id="257">
    <w:p w14:paraId="186FBAB4" w14:textId="081DF112" w:rsidR="0007610C" w:rsidRPr="00556550" w:rsidRDefault="0007610C" w:rsidP="003820BE">
      <w:pPr>
        <w:pStyle w:val="FootnoteText"/>
        <w:jc w:val="both"/>
      </w:pPr>
      <w:r>
        <w:rPr>
          <w:rStyle w:val="FootnoteReference"/>
        </w:rPr>
        <w:footnoteRef/>
      </w:r>
      <w:r w:rsidRPr="00556550">
        <w:t xml:space="preserve"> </w:t>
      </w:r>
      <w:r w:rsidR="007F742F">
        <w:t xml:space="preserve">Sieburgh &amp; Van de Moosdijk 2019, p. 292; </w:t>
      </w:r>
      <w:r w:rsidRPr="00556550">
        <w:t xml:space="preserve">Hartkamp, </w:t>
      </w:r>
      <w:r w:rsidRPr="00556550">
        <w:rPr>
          <w:i/>
          <w:iCs/>
        </w:rPr>
        <w:t xml:space="preserve">AA </w:t>
      </w:r>
      <w:r w:rsidRPr="00556550">
        <w:t xml:space="preserve">2019, par. 5-7; Asser/Hartkamp </w:t>
      </w:r>
      <w:r w:rsidRPr="005407F8">
        <w:rPr>
          <w:i/>
          <w:iCs/>
        </w:rPr>
        <w:t>3-I</w:t>
      </w:r>
      <w:r w:rsidRPr="00556550">
        <w:t xml:space="preserve"> 2023/</w:t>
      </w:r>
      <w:r w:rsidR="005407F8">
        <w:t>231f</w:t>
      </w:r>
      <w:r w:rsidR="007F742F">
        <w:t>-</w:t>
      </w:r>
      <w:r w:rsidRPr="00556550">
        <w:t>231g.</w:t>
      </w:r>
    </w:p>
  </w:footnote>
  <w:footnote w:id="258">
    <w:p w14:paraId="3A702D38" w14:textId="23E8507A" w:rsidR="002C2920" w:rsidRPr="002C2920" w:rsidRDefault="002C2920" w:rsidP="003820BE">
      <w:pPr>
        <w:pStyle w:val="FootnoteText"/>
        <w:jc w:val="both"/>
      </w:pPr>
      <w:r>
        <w:rPr>
          <w:rStyle w:val="FootnoteReference"/>
        </w:rPr>
        <w:footnoteRef/>
      </w:r>
      <w:r>
        <w:t xml:space="preserve"> Het</w:t>
      </w:r>
      <w:r w:rsidRPr="0016178E">
        <w:t xml:space="preserve"> recht op </w:t>
      </w:r>
      <w:r w:rsidR="00414707">
        <w:t xml:space="preserve">een </w:t>
      </w:r>
      <w:r w:rsidRPr="0016178E">
        <w:t xml:space="preserve">financiële vergoeding en de verplichting tot betaling </w:t>
      </w:r>
      <w:r w:rsidR="00874FCA">
        <w:t xml:space="preserve">daarvan </w:t>
      </w:r>
      <w:r w:rsidRPr="0016178E">
        <w:t>werd rechtstreeks afgeleid uit artikel 31 lid 2 Hv</w:t>
      </w:r>
      <w:r>
        <w:t xml:space="preserve"> (r.o. 86, 90 &amp; 92). Het Hof dicteerde letterlijk dat de nationale rechter op grond van deze Handvestbepaling ‘</w:t>
      </w:r>
      <w:r w:rsidRPr="00787F2D">
        <w:rPr>
          <w:i/>
          <w:iCs/>
        </w:rPr>
        <w:t>erop moet toezien dat die rechtsopvolger van de betrokken werkgever een financiële vergoeding verkrijgt</w:t>
      </w:r>
      <w:r>
        <w:t>’ en dat de werkgever zich ‘</w:t>
      </w:r>
      <w:r w:rsidRPr="002C2920">
        <w:rPr>
          <w:i/>
          <w:iCs/>
        </w:rPr>
        <w:t xml:space="preserve">niet [kan] onttrekken aan de betaling van die financiële vergoeding waartoe zij gehouden </w:t>
      </w:r>
      <w:r>
        <w:rPr>
          <w:i/>
          <w:iCs/>
        </w:rPr>
        <w:t>[is]</w:t>
      </w:r>
      <w:r w:rsidRPr="002C2920">
        <w:rPr>
          <w:i/>
          <w:iCs/>
        </w:rPr>
        <w:t xml:space="preserve"> ter eerbiediging van het aldus door die bepaling gewaarborgde grondrecht.</w:t>
      </w:r>
      <w:r>
        <w:t>’</w:t>
      </w:r>
    </w:p>
  </w:footnote>
  <w:footnote w:id="259">
    <w:p w14:paraId="507DA18D" w14:textId="77777777" w:rsidR="0007610C" w:rsidRPr="00EF597F" w:rsidRDefault="0007610C" w:rsidP="003820BE">
      <w:pPr>
        <w:pStyle w:val="FootnoteText"/>
        <w:jc w:val="both"/>
        <w:rPr>
          <w:lang w:val="es-ES"/>
        </w:rPr>
      </w:pPr>
      <w:r>
        <w:rPr>
          <w:rStyle w:val="FootnoteReference"/>
        </w:rPr>
        <w:footnoteRef/>
      </w:r>
      <w:r w:rsidRPr="00EF597F">
        <w:rPr>
          <w:lang w:val="es-ES"/>
        </w:rPr>
        <w:t xml:space="preserve"> HvJ EU 22 januari 2019, C-193/17 (</w:t>
      </w:r>
      <w:r w:rsidRPr="00EF597F">
        <w:rPr>
          <w:i/>
          <w:iCs/>
          <w:lang w:val="es-ES"/>
        </w:rPr>
        <w:t>Cresco Investigation</w:t>
      </w:r>
      <w:r w:rsidRPr="00EF597F">
        <w:rPr>
          <w:lang w:val="es-ES"/>
        </w:rPr>
        <w:t>).</w:t>
      </w:r>
    </w:p>
  </w:footnote>
  <w:footnote w:id="260">
    <w:p w14:paraId="07532F58" w14:textId="77777777" w:rsidR="00D33E9F" w:rsidRDefault="00D33E9F" w:rsidP="00D33E9F">
      <w:pPr>
        <w:pStyle w:val="FootnoteText"/>
        <w:jc w:val="both"/>
      </w:pPr>
      <w:r>
        <w:rPr>
          <w:rStyle w:val="FootnoteReference"/>
        </w:rPr>
        <w:footnoteRef/>
      </w:r>
      <w:r>
        <w:t xml:space="preserve"> Het feit dat onrechtmatige discriminatie op grond van bestendige rechtspraak moet worden geremedieerd middels ‘opwaartse gelijkschakeling’, vormt voor Ugartemendia 2021, p. 63-64, een reden om hierin niet te veel te lezen voor wat betreft de aanvaarding van horizontale directe werking van artikel 21 Hv.</w:t>
      </w:r>
    </w:p>
  </w:footnote>
  <w:footnote w:id="261">
    <w:p w14:paraId="11BCBFE9" w14:textId="5344F444" w:rsidR="0007610C" w:rsidRPr="00A872BE" w:rsidRDefault="0007610C" w:rsidP="003820BE">
      <w:pPr>
        <w:pStyle w:val="FootnoteText"/>
        <w:jc w:val="both"/>
      </w:pPr>
      <w:r>
        <w:rPr>
          <w:rStyle w:val="FootnoteReference"/>
        </w:rPr>
        <w:footnoteRef/>
      </w:r>
      <w:r w:rsidRPr="00A872BE">
        <w:t xml:space="preserve"> Eleveld, </w:t>
      </w:r>
      <w:r w:rsidRPr="00A872BE">
        <w:rPr>
          <w:i/>
          <w:iCs/>
        </w:rPr>
        <w:t>NtEr</w:t>
      </w:r>
      <w:r w:rsidRPr="00A872BE">
        <w:t xml:space="preserve"> 2019, p. 94.</w:t>
      </w:r>
    </w:p>
  </w:footnote>
  <w:footnote w:id="262">
    <w:p w14:paraId="1AAEB739" w14:textId="77777777" w:rsidR="0092057A" w:rsidRPr="00A872BE" w:rsidRDefault="0092057A" w:rsidP="003820BE">
      <w:pPr>
        <w:pStyle w:val="FootnoteText"/>
        <w:jc w:val="both"/>
      </w:pPr>
      <w:r w:rsidRPr="00D33E9F">
        <w:rPr>
          <w:rStyle w:val="FootnoteReference"/>
        </w:rPr>
        <w:footnoteRef/>
      </w:r>
      <w:r w:rsidRPr="00A872BE">
        <w:t xml:space="preserve"> Concl. A-G Bobek 25 juli 2018, C‑193/17 (</w:t>
      </w:r>
      <w:r w:rsidRPr="00A872BE">
        <w:rPr>
          <w:i/>
          <w:iCs/>
        </w:rPr>
        <w:t>Cresco Investigation</w:t>
      </w:r>
      <w:r w:rsidRPr="00A872BE">
        <w:t>).</w:t>
      </w:r>
    </w:p>
  </w:footnote>
  <w:footnote w:id="263">
    <w:p w14:paraId="57AA2A08" w14:textId="4E368B8E" w:rsidR="0007610C" w:rsidRPr="0064641E" w:rsidRDefault="0007610C" w:rsidP="003820BE">
      <w:pPr>
        <w:pStyle w:val="FootnoteText"/>
        <w:jc w:val="both"/>
      </w:pPr>
      <w:r>
        <w:rPr>
          <w:rStyle w:val="FootnoteReference"/>
        </w:rPr>
        <w:footnoteRef/>
      </w:r>
      <w:r w:rsidRPr="0064641E">
        <w:t xml:space="preserve"> HvJ EU 19 november 1991, C-6/90 en C-9/90</w:t>
      </w:r>
      <w:r w:rsidR="00A5166D" w:rsidRPr="0064641E">
        <w:t xml:space="preserve"> </w:t>
      </w:r>
      <w:r w:rsidRPr="0064641E">
        <w:t>(</w:t>
      </w:r>
      <w:r w:rsidRPr="0064641E">
        <w:rPr>
          <w:i/>
          <w:iCs/>
        </w:rPr>
        <w:t>Francovich</w:t>
      </w:r>
      <w:r w:rsidRPr="0064641E">
        <w:t>).</w:t>
      </w:r>
    </w:p>
  </w:footnote>
  <w:footnote w:id="264">
    <w:p w14:paraId="361B55CA" w14:textId="63336422" w:rsidR="0007610C" w:rsidRPr="00EF2E14" w:rsidRDefault="0007610C" w:rsidP="003820BE">
      <w:pPr>
        <w:pStyle w:val="FootnoteText"/>
        <w:jc w:val="both"/>
        <w:rPr>
          <w:i/>
          <w:iCs/>
        </w:rPr>
      </w:pPr>
      <w:r>
        <w:rPr>
          <w:rStyle w:val="FootnoteReference"/>
        </w:rPr>
        <w:footnoteRef/>
      </w:r>
      <w:r>
        <w:t xml:space="preserve"> Eleveld, </w:t>
      </w:r>
      <w:r>
        <w:rPr>
          <w:i/>
          <w:iCs/>
        </w:rPr>
        <w:t>NtEr</w:t>
      </w:r>
      <w:r>
        <w:t xml:space="preserve"> 2019, p. 92-95, noemt </w:t>
      </w:r>
      <w:r w:rsidR="00727F59">
        <w:t>tevens</w:t>
      </w:r>
      <w:r>
        <w:t xml:space="preserve"> andere indicaties, maar </w:t>
      </w:r>
      <w:r w:rsidR="00727F59">
        <w:t>geeft</w:t>
      </w:r>
      <w:r>
        <w:t xml:space="preserve"> ook contra-argumenten (p. 90-91).</w:t>
      </w:r>
    </w:p>
  </w:footnote>
  <w:footnote w:id="265">
    <w:p w14:paraId="51B6FAE7" w14:textId="6847ACAE" w:rsidR="0007610C" w:rsidRPr="00863FAF" w:rsidRDefault="0007610C" w:rsidP="003820BE">
      <w:pPr>
        <w:pStyle w:val="FootnoteText"/>
        <w:jc w:val="both"/>
        <w:rPr>
          <w:lang w:val="fr-BE"/>
        </w:rPr>
      </w:pPr>
      <w:r>
        <w:rPr>
          <w:rStyle w:val="FootnoteReference"/>
        </w:rPr>
        <w:footnoteRef/>
      </w:r>
      <w:r w:rsidRPr="00863FAF">
        <w:rPr>
          <w:lang w:val="fr-BE"/>
        </w:rPr>
        <w:t xml:space="preserve"> De Mol 2014, </w:t>
      </w:r>
      <w:r>
        <w:rPr>
          <w:lang w:val="fr-BE"/>
        </w:rPr>
        <w:t>par. 9.3,</w:t>
      </w:r>
      <w:r w:rsidRPr="00863FAF">
        <w:rPr>
          <w:lang w:val="fr-BE"/>
        </w:rPr>
        <w:t xml:space="preserve"> </w:t>
      </w:r>
      <w:r>
        <w:rPr>
          <w:lang w:val="fr-BE"/>
        </w:rPr>
        <w:t xml:space="preserve">9.6.2 </w:t>
      </w:r>
      <w:r w:rsidR="00136098">
        <w:rPr>
          <w:lang w:val="fr-BE"/>
        </w:rPr>
        <w:t>&amp;</w:t>
      </w:r>
      <w:r w:rsidR="00136098" w:rsidRPr="004D7551">
        <w:rPr>
          <w:lang w:val="fr-BE"/>
        </w:rPr>
        <w:t xml:space="preserve"> </w:t>
      </w:r>
      <w:r w:rsidRPr="00863FAF">
        <w:rPr>
          <w:lang w:val="fr-BE"/>
        </w:rPr>
        <w:t>9.6.4</w:t>
      </w:r>
      <w:r>
        <w:rPr>
          <w:lang w:val="fr-BE"/>
        </w:rPr>
        <w:t>-9.6.6</w:t>
      </w:r>
      <w:r w:rsidRPr="00863FAF">
        <w:rPr>
          <w:lang w:val="fr-BE"/>
        </w:rPr>
        <w:t>;</w:t>
      </w:r>
      <w:r>
        <w:rPr>
          <w:lang w:val="fr-BE"/>
        </w:rPr>
        <w:t xml:space="preserve"> </w:t>
      </w:r>
      <w:r w:rsidRPr="00863FAF">
        <w:rPr>
          <w:lang w:val="fr-BE"/>
        </w:rPr>
        <w:t>Haket</w:t>
      </w:r>
      <w:r w:rsidR="00DF433F">
        <w:rPr>
          <w:lang w:val="fr-BE"/>
        </w:rPr>
        <w:t xml:space="preserve"> 2019.</w:t>
      </w:r>
    </w:p>
  </w:footnote>
  <w:footnote w:id="266">
    <w:p w14:paraId="73C4458F" w14:textId="77777777" w:rsidR="0007610C" w:rsidRPr="0080665C" w:rsidRDefault="0007610C" w:rsidP="003820BE">
      <w:pPr>
        <w:pStyle w:val="FootnoteText"/>
        <w:jc w:val="both"/>
        <w:rPr>
          <w:lang w:val="fr-BE"/>
        </w:rPr>
      </w:pPr>
      <w:r>
        <w:rPr>
          <w:rStyle w:val="FootnoteReference"/>
        </w:rPr>
        <w:footnoteRef/>
      </w:r>
      <w:r w:rsidRPr="0080665C">
        <w:rPr>
          <w:lang w:val="fr-BE"/>
        </w:rPr>
        <w:t xml:space="preserve"> Cecchetti, </w:t>
      </w:r>
      <w:r w:rsidRPr="0080665C">
        <w:rPr>
          <w:i/>
          <w:iCs/>
          <w:lang w:val="fr-BE"/>
        </w:rPr>
        <w:t>YEL</w:t>
      </w:r>
      <w:r w:rsidRPr="0080665C">
        <w:rPr>
          <w:lang w:val="fr-BE"/>
        </w:rPr>
        <w:t xml:space="preserve"> 2023, p. 21-22 &amp; 41.</w:t>
      </w:r>
    </w:p>
  </w:footnote>
  <w:footnote w:id="267">
    <w:p w14:paraId="4BAD7064" w14:textId="6905EF13" w:rsidR="0007610C" w:rsidRPr="00FB58AE" w:rsidRDefault="0007610C" w:rsidP="003820BE">
      <w:pPr>
        <w:pStyle w:val="FootnoteText"/>
        <w:jc w:val="both"/>
      </w:pPr>
      <w:r>
        <w:rPr>
          <w:rStyle w:val="FootnoteReference"/>
        </w:rPr>
        <w:footnoteRef/>
      </w:r>
      <w:r>
        <w:t xml:space="preserve"> Gedeeltelijk heeft het Hof dit </w:t>
      </w:r>
      <w:r w:rsidR="003456C4">
        <w:t>al gedaan, zie</w:t>
      </w:r>
      <w:r w:rsidR="00BA3F96">
        <w:t xml:space="preserve"> </w:t>
      </w:r>
      <w:r w:rsidR="00037E2A" w:rsidRPr="00037E2A">
        <w:t>HvJ EU 6 november 2018, C-569/16 en C-570/16</w:t>
      </w:r>
      <w:r w:rsidR="00037E2A">
        <w:t>, r.o. 87</w:t>
      </w:r>
      <w:r w:rsidR="00037E2A" w:rsidRPr="00037E2A">
        <w:t xml:space="preserve"> (</w:t>
      </w:r>
      <w:r w:rsidR="00037E2A" w:rsidRPr="00037E2A">
        <w:rPr>
          <w:i/>
          <w:iCs/>
        </w:rPr>
        <w:t>Bauer en Willmeroth</w:t>
      </w:r>
      <w:r w:rsidR="00037E2A" w:rsidRPr="00037E2A">
        <w:t>)</w:t>
      </w:r>
      <w:r w:rsidR="003456C4">
        <w:t xml:space="preserve">; </w:t>
      </w:r>
      <w:r w:rsidRPr="00037E2A">
        <w:t>HvJ EU 6 november 2018, C‑684/16, r.o. 76 (</w:t>
      </w:r>
      <w:r w:rsidRPr="00037E2A">
        <w:rPr>
          <w:i/>
          <w:iCs/>
        </w:rPr>
        <w:t>Max-Planck</w:t>
      </w:r>
      <w:r w:rsidRPr="00037E2A">
        <w:t xml:space="preserve">). </w:t>
      </w:r>
      <w:r>
        <w:t xml:space="preserve">Echter, dit was nog altijd in het kader van </w:t>
      </w:r>
      <w:r w:rsidR="00D570CF">
        <w:t xml:space="preserve">de </w:t>
      </w:r>
      <w:r>
        <w:t xml:space="preserve">toetsing van </w:t>
      </w:r>
      <w:r w:rsidRPr="00727F59">
        <w:rPr>
          <w:i/>
          <w:iCs/>
        </w:rPr>
        <w:t>overheids</w:t>
      </w:r>
      <w:r w:rsidRPr="00136098">
        <w:t>handelen</w:t>
      </w:r>
      <w:r>
        <w:t xml:space="preserve"> en niet in het kader van </w:t>
      </w:r>
      <w:r w:rsidR="00D570CF">
        <w:t xml:space="preserve">de </w:t>
      </w:r>
      <w:r>
        <w:t xml:space="preserve">toetsing van zuiver </w:t>
      </w:r>
      <w:r w:rsidRPr="00727F59">
        <w:rPr>
          <w:i/>
          <w:iCs/>
        </w:rPr>
        <w:t>particulier</w:t>
      </w:r>
      <w:r>
        <w:t xml:space="preserve"> handelen.</w:t>
      </w:r>
    </w:p>
  </w:footnote>
  <w:footnote w:id="268">
    <w:p w14:paraId="1CDC70C7" w14:textId="763E000B" w:rsidR="0007610C" w:rsidRPr="008D28DD" w:rsidRDefault="0007610C" w:rsidP="003820BE">
      <w:pPr>
        <w:pStyle w:val="FootnoteText"/>
        <w:jc w:val="both"/>
      </w:pPr>
      <w:r>
        <w:rPr>
          <w:rStyle w:val="FootnoteReference"/>
        </w:rPr>
        <w:footnoteRef/>
      </w:r>
      <w:r>
        <w:t xml:space="preserve"> Ter Haar, </w:t>
      </w:r>
      <w:r>
        <w:rPr>
          <w:i/>
          <w:iCs/>
        </w:rPr>
        <w:t>ArA</w:t>
      </w:r>
      <w:r>
        <w:t xml:space="preserve"> 2021, p. 74-85.</w:t>
      </w:r>
    </w:p>
  </w:footnote>
  <w:footnote w:id="269">
    <w:p w14:paraId="4FDF4B33" w14:textId="5D871EB5" w:rsidR="0007610C" w:rsidRPr="00151AAA" w:rsidRDefault="0007610C" w:rsidP="003820BE">
      <w:pPr>
        <w:pStyle w:val="FootnoteText"/>
        <w:jc w:val="both"/>
      </w:pPr>
      <w:r>
        <w:rPr>
          <w:rStyle w:val="FootnoteReference"/>
        </w:rPr>
        <w:footnoteRef/>
      </w:r>
      <w:r>
        <w:t xml:space="preserve"> Enkele uitzonderingen daargelaten, zoals de ‘opwaartse gelijkschakeling’ in het </w:t>
      </w:r>
      <w:r>
        <w:rPr>
          <w:i/>
          <w:iCs/>
        </w:rPr>
        <w:t>Cresco</w:t>
      </w:r>
      <w:r>
        <w:t xml:space="preserve">-arrest </w:t>
      </w:r>
      <w:r w:rsidR="00236DA8">
        <w:t>omwille</w:t>
      </w:r>
      <w:r>
        <w:t xml:space="preserve"> van een effectieve remedie voor de grondrechtenschending.</w:t>
      </w:r>
    </w:p>
  </w:footnote>
  <w:footnote w:id="270">
    <w:p w14:paraId="4454B340" w14:textId="5B1AB615" w:rsidR="0007610C" w:rsidRPr="00921335" w:rsidRDefault="0007610C" w:rsidP="003820BE">
      <w:pPr>
        <w:pStyle w:val="FootnoteText"/>
        <w:jc w:val="both"/>
      </w:pPr>
      <w:r>
        <w:rPr>
          <w:rStyle w:val="FootnoteReference"/>
        </w:rPr>
        <w:footnoteRef/>
      </w:r>
      <w:r>
        <w:t xml:space="preserve"> Ter Haar, </w:t>
      </w:r>
      <w:r>
        <w:rPr>
          <w:i/>
          <w:iCs/>
        </w:rPr>
        <w:t>ArA</w:t>
      </w:r>
      <w:r>
        <w:t xml:space="preserve"> 2021, p. 84-85; </w:t>
      </w:r>
      <w:r w:rsidRPr="007821F3">
        <w:t xml:space="preserve">Cecchetti, </w:t>
      </w:r>
      <w:r w:rsidRPr="007821F3">
        <w:rPr>
          <w:i/>
          <w:iCs/>
        </w:rPr>
        <w:t>YEL</w:t>
      </w:r>
      <w:r w:rsidRPr="007821F3">
        <w:t xml:space="preserve"> 2023, p. 24-</w:t>
      </w:r>
      <w:r>
        <w:t>28 &amp; 34-35.</w:t>
      </w:r>
      <w:r w:rsidRPr="00921335">
        <w:t xml:space="preserve"> </w:t>
      </w:r>
      <w:r>
        <w:t xml:space="preserve">Illustratief is het </w:t>
      </w:r>
      <w:r w:rsidR="00B668D4" w:rsidRPr="00B668D4">
        <w:rPr>
          <w:i/>
          <w:iCs/>
        </w:rPr>
        <w:t>TSN</w:t>
      </w:r>
      <w:r w:rsidR="00B668D4">
        <w:t>-</w:t>
      </w:r>
      <w:r w:rsidRPr="00B668D4">
        <w:t>arrest</w:t>
      </w:r>
      <w:r>
        <w:t xml:space="preserve">, </w:t>
      </w:r>
      <w:r w:rsidR="00F679E8">
        <w:t>waarin</w:t>
      </w:r>
      <w:r w:rsidRPr="00874929">
        <w:t xml:space="preserve"> de functie van de Arbeidstijdenrichtlijn </w:t>
      </w:r>
      <w:r>
        <w:t xml:space="preserve">niet </w:t>
      </w:r>
      <w:r w:rsidRPr="00874929">
        <w:t xml:space="preserve">beperkt </w:t>
      </w:r>
      <w:r>
        <w:t xml:space="preserve">bleef </w:t>
      </w:r>
      <w:r w:rsidRPr="00874929">
        <w:t>tot</w:t>
      </w:r>
      <w:r w:rsidR="00236DA8">
        <w:t xml:space="preserve"> de</w:t>
      </w:r>
      <w:r w:rsidRPr="00874929">
        <w:t xml:space="preserve"> inschakeling van het Handvest (artikel 51 lid 1 Hv)</w:t>
      </w:r>
      <w:r>
        <w:t xml:space="preserve"> – waarna</w:t>
      </w:r>
      <w:r w:rsidRPr="00874929">
        <w:t xml:space="preserve"> artikel 31 lid 2 Hv het als het ware </w:t>
      </w:r>
      <w:r>
        <w:t>‘overnam’ en</w:t>
      </w:r>
      <w:r w:rsidRPr="00874929">
        <w:t xml:space="preserve"> een eigen, normatieve inhoud </w:t>
      </w:r>
      <w:r>
        <w:t>kreeg</w:t>
      </w:r>
      <w:r w:rsidR="003B2CD5">
        <w:t xml:space="preserve"> </w:t>
      </w:r>
      <w:r>
        <w:t>– maar</w:t>
      </w:r>
      <w:r w:rsidRPr="00874929">
        <w:t xml:space="preserve"> </w:t>
      </w:r>
      <w:r>
        <w:t xml:space="preserve">(het kader van) artikel 7 </w:t>
      </w:r>
      <w:r w:rsidR="004E5FC7">
        <w:t>Arbeidstijden</w:t>
      </w:r>
      <w:r>
        <w:t>richtlijn tevens volledig de inhoud van artikel 31 lid 2 Hv bepaalde.</w:t>
      </w:r>
    </w:p>
  </w:footnote>
  <w:footnote w:id="271">
    <w:p w14:paraId="006D8249" w14:textId="5105F902" w:rsidR="0007610C" w:rsidRPr="00A872BE" w:rsidRDefault="0007610C" w:rsidP="003820BE">
      <w:pPr>
        <w:pStyle w:val="FootnoteText"/>
        <w:jc w:val="both"/>
      </w:pPr>
      <w:r>
        <w:rPr>
          <w:rStyle w:val="FootnoteReference"/>
        </w:rPr>
        <w:footnoteRef/>
      </w:r>
      <w:r w:rsidR="00B668D4" w:rsidRPr="00A872BE">
        <w:t xml:space="preserve"> De Mol 2014, par. 9.5 &amp; 9.6.3;</w:t>
      </w:r>
      <w:r w:rsidRPr="00A872BE">
        <w:t xml:space="preserve"> De Mol, </w:t>
      </w:r>
      <w:r w:rsidRPr="00A872BE">
        <w:rPr>
          <w:i/>
          <w:iCs/>
        </w:rPr>
        <w:t>AA</w:t>
      </w:r>
      <w:r w:rsidRPr="00A872BE">
        <w:t xml:space="preserve"> 2019, p. 374 &amp; 382.</w:t>
      </w:r>
    </w:p>
  </w:footnote>
  <w:footnote w:id="272">
    <w:p w14:paraId="042BCA71" w14:textId="6C24847A" w:rsidR="0007610C" w:rsidRPr="00A872BE" w:rsidRDefault="0007610C" w:rsidP="003820BE">
      <w:pPr>
        <w:pStyle w:val="FootnoteText"/>
        <w:jc w:val="both"/>
      </w:pPr>
      <w:r w:rsidRPr="00BA3F96">
        <w:rPr>
          <w:rStyle w:val="FootnoteReference"/>
        </w:rPr>
        <w:footnoteRef/>
      </w:r>
      <w:r w:rsidRPr="00A872BE">
        <w:t xml:space="preserve"> HvJ EU 17 april 2018, C-4</w:t>
      </w:r>
      <w:r w:rsidR="0070532A" w:rsidRPr="00A872BE">
        <w:t>1</w:t>
      </w:r>
      <w:r w:rsidRPr="00A872BE">
        <w:t>4/16, r.o. 76 (</w:t>
      </w:r>
      <w:r w:rsidRPr="00A872BE">
        <w:rPr>
          <w:i/>
          <w:iCs/>
        </w:rPr>
        <w:t>Egenberger</w:t>
      </w:r>
      <w:r w:rsidRPr="00A872BE">
        <w:t xml:space="preserve">); HvJ EU 6 november 2018, C-569/16 en C-570/16, r.o. </w:t>
      </w:r>
      <w:r w:rsidR="0070532A" w:rsidRPr="00A872BE">
        <w:t>85</w:t>
      </w:r>
      <w:r w:rsidRPr="00A872BE">
        <w:t xml:space="preserve"> (</w:t>
      </w:r>
      <w:r w:rsidRPr="00A872BE">
        <w:rPr>
          <w:i/>
          <w:iCs/>
        </w:rPr>
        <w:t>Bauer en Willmeroth</w:t>
      </w:r>
      <w:r w:rsidRPr="00A872BE">
        <w:t>); HvJ EU 6 november 2018, C‑684/16, r.o. 74 (</w:t>
      </w:r>
      <w:r w:rsidRPr="00A872BE">
        <w:rPr>
          <w:i/>
          <w:iCs/>
        </w:rPr>
        <w:t>Max-Planck</w:t>
      </w:r>
      <w:r w:rsidRPr="00A872BE">
        <w:t>).</w:t>
      </w:r>
    </w:p>
  </w:footnote>
  <w:footnote w:id="273">
    <w:p w14:paraId="0FB3AC18" w14:textId="0465F31A" w:rsidR="008653F9" w:rsidRPr="00A872BE" w:rsidRDefault="008653F9" w:rsidP="003820BE">
      <w:pPr>
        <w:pStyle w:val="FootnoteText"/>
        <w:jc w:val="both"/>
      </w:pPr>
      <w:r w:rsidRPr="00F9223E">
        <w:rPr>
          <w:rStyle w:val="FootnoteReference"/>
        </w:rPr>
        <w:footnoteRef/>
      </w:r>
      <w:r w:rsidRPr="00A872BE">
        <w:t xml:space="preserve"> HvJ EU 20 februari 2024, C-715/20 (</w:t>
      </w:r>
      <w:r w:rsidRPr="00A872BE">
        <w:rPr>
          <w:i/>
          <w:iCs/>
        </w:rPr>
        <w:t>KL/X</w:t>
      </w:r>
      <w:r w:rsidRPr="00A872BE">
        <w:t>).</w:t>
      </w:r>
    </w:p>
  </w:footnote>
  <w:footnote w:id="274">
    <w:p w14:paraId="00AC3167" w14:textId="2B315B6D" w:rsidR="00911C53" w:rsidRPr="00911C53" w:rsidRDefault="00911C53" w:rsidP="003820BE">
      <w:pPr>
        <w:spacing w:after="0" w:line="240" w:lineRule="auto"/>
        <w:jc w:val="both"/>
        <w:rPr>
          <w:sz w:val="20"/>
          <w:szCs w:val="20"/>
        </w:rPr>
      </w:pPr>
      <w:r>
        <w:rPr>
          <w:rStyle w:val="FootnoteReference"/>
        </w:rPr>
        <w:footnoteRef/>
      </w:r>
      <w:r>
        <w:t xml:space="preserve"> </w:t>
      </w:r>
      <w:r w:rsidRPr="00911C53">
        <w:rPr>
          <w:sz w:val="20"/>
          <w:szCs w:val="20"/>
        </w:rPr>
        <w:t>Richtlijn 1999/70/EG betreffende de door het EVV, de UNICE en het CEEP gesloten raamovereenkomst inzake arbeidsovereenkomsten voor bepaalde tijd</w:t>
      </w:r>
      <w:r>
        <w:rPr>
          <w:sz w:val="20"/>
          <w:szCs w:val="20"/>
        </w:rPr>
        <w:t>.</w:t>
      </w:r>
    </w:p>
  </w:footnote>
  <w:footnote w:id="275">
    <w:p w14:paraId="2DA23320" w14:textId="6157C969" w:rsidR="0007610C" w:rsidRPr="008B3ED6" w:rsidRDefault="0007610C" w:rsidP="003820BE">
      <w:pPr>
        <w:pStyle w:val="FootnoteText"/>
        <w:jc w:val="both"/>
      </w:pPr>
      <w:r>
        <w:rPr>
          <w:rStyle w:val="FootnoteReference"/>
        </w:rPr>
        <w:footnoteRef/>
      </w:r>
      <w:r w:rsidRPr="008B3ED6">
        <w:t xml:space="preserve"> Cecchetti, </w:t>
      </w:r>
      <w:r w:rsidRPr="008B3ED6">
        <w:rPr>
          <w:i/>
          <w:iCs/>
        </w:rPr>
        <w:t>YEL</w:t>
      </w:r>
      <w:r w:rsidRPr="008B3ED6">
        <w:t xml:space="preserve"> 2023, p. 19, brengt d</w:t>
      </w:r>
      <w:r>
        <w:t xml:space="preserve">e relatie tussen primair </w:t>
      </w:r>
      <w:r w:rsidR="00B668D4">
        <w:t>Unierecht en (</w:t>
      </w:r>
      <w:r w:rsidR="00F9223E">
        <w:t xml:space="preserve">de </w:t>
      </w:r>
      <w:r w:rsidR="00B668D4">
        <w:t xml:space="preserve">uitwerking daarvan in) </w:t>
      </w:r>
      <w:r>
        <w:t xml:space="preserve">secundair Unierecht expliciet in verband met het principe van </w:t>
      </w:r>
      <w:r w:rsidR="00F9223E">
        <w:t xml:space="preserve">de </w:t>
      </w:r>
      <w:r w:rsidR="00B668D4">
        <w:t xml:space="preserve">scheiding der machten </w:t>
      </w:r>
      <w:r w:rsidR="00F9223E">
        <w:t>van de</w:t>
      </w:r>
      <w:r w:rsidR="00B668D4">
        <w:t xml:space="preserve"> </w:t>
      </w:r>
      <w:r w:rsidR="00D509B1">
        <w:t>EU-</w:t>
      </w:r>
      <w:r w:rsidR="00B668D4">
        <w:t xml:space="preserve">wetgever en </w:t>
      </w:r>
      <w:r w:rsidR="00417616">
        <w:t>de EU</w:t>
      </w:r>
      <w:r w:rsidR="00D509B1">
        <w:t>-</w:t>
      </w:r>
      <w:r w:rsidR="00B668D4">
        <w:t>rechter</w:t>
      </w:r>
      <w:r>
        <w:t>.</w:t>
      </w:r>
    </w:p>
  </w:footnote>
  <w:footnote w:id="276">
    <w:p w14:paraId="429012CD" w14:textId="26A5A43C" w:rsidR="0007610C" w:rsidRDefault="0007610C" w:rsidP="003820BE">
      <w:pPr>
        <w:pStyle w:val="FootnoteText"/>
        <w:ind w:left="1416" w:hanging="1416"/>
        <w:jc w:val="both"/>
      </w:pPr>
      <w:r>
        <w:rPr>
          <w:rStyle w:val="FootnoteReference"/>
        </w:rPr>
        <w:footnoteRef/>
      </w:r>
      <w:r w:rsidRPr="007711A8">
        <w:t xml:space="preserve"> Pennings, </w:t>
      </w:r>
      <w:r w:rsidRPr="007711A8">
        <w:rPr>
          <w:i/>
          <w:iCs/>
        </w:rPr>
        <w:t xml:space="preserve">TRA </w:t>
      </w:r>
      <w:r w:rsidRPr="007711A8">
        <w:t>2022/4, p. 22, sluit d</w:t>
      </w:r>
      <w:r>
        <w:t xml:space="preserve">erhalve niet uit dat de leer van </w:t>
      </w:r>
      <w:r w:rsidR="00D509B1">
        <w:t xml:space="preserve">de </w:t>
      </w:r>
      <w:r>
        <w:t xml:space="preserve">horizontale werking via het Handvest beperkt </w:t>
      </w:r>
    </w:p>
    <w:p w14:paraId="2C2E1F33" w14:textId="55A190AF" w:rsidR="0007610C" w:rsidRPr="007711A8" w:rsidRDefault="0007610C" w:rsidP="003820BE">
      <w:pPr>
        <w:pStyle w:val="FootnoteText"/>
        <w:ind w:left="1416" w:hanging="1416"/>
        <w:jc w:val="both"/>
      </w:pPr>
      <w:r>
        <w:t>blijft tot richtlijnen, aangezien die concrete rechten en verplichtingen uitwerken en daarmee kenbaar maken.</w:t>
      </w:r>
    </w:p>
  </w:footnote>
  <w:footnote w:id="277">
    <w:p w14:paraId="15E223A9" w14:textId="111A2AAD" w:rsidR="004228F1" w:rsidRPr="00EF597F" w:rsidRDefault="004228F1" w:rsidP="003820BE">
      <w:pPr>
        <w:pStyle w:val="FootnoteText"/>
        <w:jc w:val="both"/>
        <w:rPr>
          <w:lang w:val="es-ES"/>
        </w:rPr>
      </w:pPr>
      <w:r>
        <w:rPr>
          <w:rStyle w:val="FootnoteReference"/>
        </w:rPr>
        <w:footnoteRef/>
      </w:r>
      <w:r w:rsidRPr="00EF597F">
        <w:rPr>
          <w:lang w:val="es-ES"/>
        </w:rPr>
        <w:t xml:space="preserve"> De Mol 2014, </w:t>
      </w:r>
      <w:r w:rsidR="004A09A7">
        <w:rPr>
          <w:lang w:val="es-ES"/>
        </w:rPr>
        <w:t>p. 219-220 &amp; 277-278</w:t>
      </w:r>
      <w:r w:rsidRPr="00EF597F">
        <w:rPr>
          <w:lang w:val="es-ES"/>
        </w:rPr>
        <w:t xml:space="preserve">; De Mol, </w:t>
      </w:r>
      <w:r w:rsidRPr="00EF597F">
        <w:rPr>
          <w:i/>
          <w:iCs/>
          <w:lang w:val="es-ES"/>
        </w:rPr>
        <w:t>ArA</w:t>
      </w:r>
      <w:r w:rsidRPr="00EF597F">
        <w:rPr>
          <w:lang w:val="es-ES"/>
        </w:rPr>
        <w:t xml:space="preserve"> 2019, p. 379.</w:t>
      </w:r>
    </w:p>
  </w:footnote>
  <w:footnote w:id="278">
    <w:p w14:paraId="10FF5B7F" w14:textId="18C2C245" w:rsidR="0007610C" w:rsidRPr="00A872BE" w:rsidRDefault="0007610C" w:rsidP="003820BE">
      <w:pPr>
        <w:pStyle w:val="FootnoteText"/>
        <w:jc w:val="both"/>
        <w:rPr>
          <w:lang w:val="de-DE"/>
        </w:rPr>
      </w:pPr>
      <w:r w:rsidRPr="0034150A">
        <w:rPr>
          <w:rStyle w:val="FootnoteReference"/>
        </w:rPr>
        <w:footnoteRef/>
      </w:r>
      <w:r w:rsidRPr="00A872BE">
        <w:rPr>
          <w:lang w:val="de-DE"/>
        </w:rPr>
        <w:t xml:space="preserve"> HvJ EU 18 juni 1991, C-260/89 (</w:t>
      </w:r>
      <w:r w:rsidRPr="00A872BE">
        <w:rPr>
          <w:i/>
          <w:iCs/>
          <w:lang w:val="de-DE"/>
        </w:rPr>
        <w:t>ERT</w:t>
      </w:r>
      <w:r w:rsidRPr="00A872BE">
        <w:rPr>
          <w:lang w:val="de-DE"/>
        </w:rPr>
        <w:t>).</w:t>
      </w:r>
    </w:p>
  </w:footnote>
  <w:footnote w:id="279">
    <w:p w14:paraId="71624073" w14:textId="5358422E" w:rsidR="0007610C" w:rsidRPr="00422A45" w:rsidRDefault="0007610C" w:rsidP="003820BE">
      <w:pPr>
        <w:pStyle w:val="FootnoteText"/>
        <w:jc w:val="both"/>
      </w:pPr>
      <w:r w:rsidRPr="007C528B">
        <w:rPr>
          <w:rStyle w:val="FootnoteReference"/>
        </w:rPr>
        <w:footnoteRef/>
      </w:r>
      <w:r w:rsidRPr="007C528B">
        <w:t xml:space="preserve"> De Vries, </w:t>
      </w:r>
      <w:r w:rsidRPr="007C528B">
        <w:rPr>
          <w:i/>
          <w:iCs/>
        </w:rPr>
        <w:t xml:space="preserve">ULR </w:t>
      </w:r>
      <w:r w:rsidRPr="007C528B">
        <w:t>2013, p. 189, beweert</w:t>
      </w:r>
      <w:r w:rsidR="00290A34">
        <w:t xml:space="preserve"> </w:t>
      </w:r>
      <w:r w:rsidRPr="007C528B">
        <w:t xml:space="preserve">dat </w:t>
      </w:r>
      <w:r w:rsidR="008372FB">
        <w:t xml:space="preserve">de </w:t>
      </w:r>
      <w:r w:rsidR="008372FB">
        <w:rPr>
          <w:i/>
          <w:iCs/>
        </w:rPr>
        <w:t>ultimum remedium</w:t>
      </w:r>
      <w:r w:rsidR="008372FB">
        <w:t>-</w:t>
      </w:r>
      <w:r w:rsidRPr="007C528B">
        <w:t xml:space="preserve">eis in feite de fundamentaliteit van </w:t>
      </w:r>
      <w:r w:rsidR="0086189A">
        <w:t>het grond</w:t>
      </w:r>
      <w:r w:rsidRPr="007C528B">
        <w:t>recht</w:t>
      </w:r>
      <w:r w:rsidR="0086189A">
        <w:t xml:space="preserve"> ondermijnt</w:t>
      </w:r>
      <w:r w:rsidRPr="007C528B">
        <w:t>.</w:t>
      </w:r>
      <w:r>
        <w:t xml:space="preserve"> </w:t>
      </w:r>
      <w:r w:rsidR="00422A45">
        <w:t>Idem</w:t>
      </w:r>
      <w:r>
        <w:t xml:space="preserve">: Velyvyte, </w:t>
      </w:r>
      <w:r>
        <w:rPr>
          <w:i/>
          <w:iCs/>
        </w:rPr>
        <w:t>HRLR</w:t>
      </w:r>
      <w:r>
        <w:t xml:space="preserve"> 2015, p. 85.</w:t>
      </w:r>
    </w:p>
  </w:footnote>
  <w:footnote w:id="280">
    <w:p w14:paraId="1D68835A" w14:textId="4E4B398D" w:rsidR="000746F4" w:rsidRPr="000746F4" w:rsidRDefault="000746F4" w:rsidP="003820BE">
      <w:pPr>
        <w:pStyle w:val="FootnoteText"/>
        <w:jc w:val="both"/>
      </w:pPr>
      <w:r>
        <w:rPr>
          <w:rStyle w:val="FootnoteReference"/>
        </w:rPr>
        <w:footnoteRef/>
      </w:r>
      <w:r w:rsidRPr="000746F4">
        <w:t xml:space="preserve"> Sieburgh, </w:t>
      </w:r>
      <w:r w:rsidRPr="000746F4">
        <w:rPr>
          <w:i/>
          <w:iCs/>
        </w:rPr>
        <w:t>RM Themis</w:t>
      </w:r>
      <w:r w:rsidRPr="000746F4">
        <w:t xml:space="preserve"> 2015, par. 4.2, betoogt </w:t>
      </w:r>
      <w:r w:rsidR="002626C3">
        <w:t xml:space="preserve">in dit verband </w:t>
      </w:r>
      <w:r>
        <w:t>dat het doorwerkingsmechanisme voor de rechtvaardigingsgrond (artikel 28 Hv) gelijke tred moet houden met het doorwerkingsmechanisme dat is toegekend aan het (vrij verkeers)recht waarvan de beperking voor rechtvaardiging vatbaar moet zijn. Dat houdt</w:t>
      </w:r>
      <w:r w:rsidR="002947C6">
        <w:t xml:space="preserve"> volgens haar</w:t>
      </w:r>
      <w:r>
        <w:t xml:space="preserve"> in dat de regel waarop de rechtvaardiging teruggaat óók direct horizontaal moet kunnen werken.</w:t>
      </w:r>
    </w:p>
  </w:footnote>
  <w:footnote w:id="281">
    <w:p w14:paraId="1BA33E18" w14:textId="14D528C3" w:rsidR="00F708B4" w:rsidRDefault="00F708B4" w:rsidP="002315FE">
      <w:pPr>
        <w:pStyle w:val="FootnoteText"/>
        <w:jc w:val="both"/>
      </w:pPr>
      <w:r>
        <w:rPr>
          <w:rStyle w:val="FootnoteReference"/>
        </w:rPr>
        <w:footnoteRef/>
      </w:r>
      <w:r>
        <w:t xml:space="preserve"> Anders: Voogsgeerd, </w:t>
      </w:r>
      <w:r>
        <w:rPr>
          <w:i/>
          <w:iCs/>
        </w:rPr>
        <w:t xml:space="preserve">SEW </w:t>
      </w:r>
      <w:r>
        <w:t xml:space="preserve">2024, par. </w:t>
      </w:r>
      <w:r w:rsidR="00704237">
        <w:t xml:space="preserve">1, 3.6 &amp; </w:t>
      </w:r>
      <w:r>
        <w:t>6</w:t>
      </w:r>
      <w:r w:rsidR="002315FE">
        <w:t>, die meent dat het bestaande, op de interne markt gebaseerde toetsingsschema van inbreuk en rechtvaardiging</w:t>
      </w:r>
      <w:r w:rsidR="000E5ECC">
        <w:t>,</w:t>
      </w:r>
      <w:r w:rsidR="002315FE">
        <w:t xml:space="preserve"> en in het bijzonder de proportionaliteitstoets</w:t>
      </w:r>
      <w:r w:rsidR="000E5ECC">
        <w:t>,</w:t>
      </w:r>
      <w:r w:rsidR="002315FE">
        <w:t xml:space="preserve"> voldoende flexibel is om méér ruimte aan het stakingsrecht te</w:t>
      </w:r>
      <w:r w:rsidR="000E5ECC">
        <w:t xml:space="preserve"> kunnen</w:t>
      </w:r>
      <w:r w:rsidR="002315FE">
        <w:t xml:space="preserve"> bieden. Het stakingsrecht zou zijns inziens </w:t>
      </w:r>
      <w:r w:rsidR="000E5ECC">
        <w:t xml:space="preserve">binnen het bestaande kader </w:t>
      </w:r>
      <w:r w:rsidR="002315FE">
        <w:t>op voet van gelijkwaardigheid kunnen worden afgewogen tegen de fundamentele vrijheden van de interne markt.</w:t>
      </w:r>
    </w:p>
  </w:footnote>
  <w:footnote w:id="282">
    <w:p w14:paraId="629EABC7" w14:textId="0590A028" w:rsidR="0007610C" w:rsidRPr="00AD2EC2" w:rsidRDefault="0007610C" w:rsidP="003820BE">
      <w:pPr>
        <w:pStyle w:val="FootnoteText"/>
        <w:jc w:val="both"/>
      </w:pPr>
      <w:r>
        <w:rPr>
          <w:rStyle w:val="FootnoteReference"/>
        </w:rPr>
        <w:footnoteRef/>
      </w:r>
      <w:r>
        <w:t xml:space="preserve"> Enerzijds </w:t>
      </w:r>
      <w:r>
        <w:rPr>
          <w:rFonts w:cstheme="minorHAnsi"/>
        </w:rPr>
        <w:t>activeert het beroep van de werkgever op zijn vrij verkeersrecht pas de jurisdictie van het Hof om zich uit te spreken over het grondrecht op collectieve actie</w:t>
      </w:r>
      <w:r w:rsidR="00B826A2">
        <w:rPr>
          <w:rFonts w:cstheme="minorHAnsi"/>
        </w:rPr>
        <w:t>.</w:t>
      </w:r>
      <w:r w:rsidR="000B613C">
        <w:rPr>
          <w:rFonts w:cstheme="minorHAnsi"/>
        </w:rPr>
        <w:t xml:space="preserve"> </w:t>
      </w:r>
      <w:r w:rsidR="00B826A2">
        <w:rPr>
          <w:rFonts w:cstheme="minorHAnsi"/>
        </w:rPr>
        <w:t>Bovendien</w:t>
      </w:r>
      <w:r w:rsidR="00B826A2">
        <w:t xml:space="preserve"> </w:t>
      </w:r>
      <w:r>
        <w:rPr>
          <w:rFonts w:cstheme="minorHAnsi"/>
        </w:rPr>
        <w:t xml:space="preserve">lijkt uit artikel 52 lid 2 Hv te volgen dat </w:t>
      </w:r>
      <w:r w:rsidR="005534BE">
        <w:rPr>
          <w:rFonts w:cstheme="minorHAnsi"/>
        </w:rPr>
        <w:t>waar</w:t>
      </w:r>
      <w:r>
        <w:rPr>
          <w:rFonts w:cstheme="minorHAnsi"/>
        </w:rPr>
        <w:t xml:space="preserve"> economische </w:t>
      </w:r>
      <w:r w:rsidR="00B73A0B">
        <w:rPr>
          <w:rFonts w:cstheme="minorHAnsi"/>
        </w:rPr>
        <w:t>vrijheden</w:t>
      </w:r>
      <w:r>
        <w:rPr>
          <w:rFonts w:cstheme="minorHAnsi"/>
        </w:rPr>
        <w:t xml:space="preserve"> </w:t>
      </w:r>
      <w:r w:rsidR="005534BE">
        <w:rPr>
          <w:rFonts w:cstheme="minorHAnsi"/>
        </w:rPr>
        <w:t>in het geding zijn</w:t>
      </w:r>
      <w:r w:rsidR="00B73A0B">
        <w:rPr>
          <w:rFonts w:cstheme="minorHAnsi"/>
        </w:rPr>
        <w:t>,</w:t>
      </w:r>
      <w:r w:rsidR="005534BE">
        <w:rPr>
          <w:rFonts w:cstheme="minorHAnsi"/>
        </w:rPr>
        <w:t xml:space="preserve"> </w:t>
      </w:r>
      <w:r>
        <w:rPr>
          <w:rFonts w:cstheme="minorHAnsi"/>
        </w:rPr>
        <w:t xml:space="preserve">aangesloten dient te worden bij het verdragsrechtelijke toetsingskader. </w:t>
      </w:r>
      <w:r w:rsidR="000B613C">
        <w:rPr>
          <w:rFonts w:cstheme="minorHAnsi"/>
        </w:rPr>
        <w:t>Anderzijds</w:t>
      </w:r>
      <w:r>
        <w:rPr>
          <w:rFonts w:cstheme="minorHAnsi"/>
        </w:rPr>
        <w:t xml:space="preserve"> </w:t>
      </w:r>
      <w:r w:rsidR="00732B28">
        <w:rPr>
          <w:rFonts w:cstheme="minorHAnsi"/>
        </w:rPr>
        <w:t xml:space="preserve">pleiten </w:t>
      </w:r>
      <w:r w:rsidR="00A0745D">
        <w:rPr>
          <w:rFonts w:cstheme="minorHAnsi"/>
        </w:rPr>
        <w:t>diverse</w:t>
      </w:r>
      <w:r w:rsidR="00732B28">
        <w:rPr>
          <w:rFonts w:cstheme="minorHAnsi"/>
        </w:rPr>
        <w:t xml:space="preserve"> </w:t>
      </w:r>
      <w:r w:rsidR="005534BE">
        <w:rPr>
          <w:rFonts w:cstheme="minorHAnsi"/>
        </w:rPr>
        <w:t>(</w:t>
      </w:r>
      <w:r w:rsidR="00A0745D">
        <w:rPr>
          <w:rFonts w:cstheme="minorHAnsi"/>
        </w:rPr>
        <w:t>andere</w:t>
      </w:r>
      <w:r w:rsidR="005534BE">
        <w:rPr>
          <w:rFonts w:cstheme="minorHAnsi"/>
        </w:rPr>
        <w:t>)</w:t>
      </w:r>
      <w:r w:rsidR="00A0745D">
        <w:t xml:space="preserve"> </w:t>
      </w:r>
      <w:r w:rsidR="00A0745D">
        <w:rPr>
          <w:rFonts w:cstheme="minorHAnsi"/>
        </w:rPr>
        <w:t>bepalingen</w:t>
      </w:r>
      <w:r w:rsidR="00A0745D">
        <w:t xml:space="preserve"> van primair Unierecht </w:t>
      </w:r>
      <w:r w:rsidR="00732B28">
        <w:rPr>
          <w:rFonts w:cstheme="minorHAnsi"/>
        </w:rPr>
        <w:t>voor</w:t>
      </w:r>
      <w:r w:rsidR="0080665C">
        <w:rPr>
          <w:rFonts w:cstheme="minorHAnsi"/>
        </w:rPr>
        <w:t xml:space="preserve"> de</w:t>
      </w:r>
      <w:r w:rsidR="00732B28">
        <w:rPr>
          <w:rFonts w:cstheme="minorHAnsi"/>
        </w:rPr>
        <w:t xml:space="preserve"> aansluiting</w:t>
      </w:r>
      <w:r>
        <w:rPr>
          <w:rFonts w:cstheme="minorHAnsi"/>
        </w:rPr>
        <w:t xml:space="preserve"> bij het EVRM-</w:t>
      </w:r>
      <w:r w:rsidR="00A0745D">
        <w:rPr>
          <w:rFonts w:cstheme="minorHAnsi"/>
        </w:rPr>
        <w:t>,</w:t>
      </w:r>
      <w:r w:rsidR="00A0745D">
        <w:t xml:space="preserve"> ILO- en ESH-</w:t>
      </w:r>
      <w:r>
        <w:rPr>
          <w:rFonts w:cstheme="minorHAnsi"/>
        </w:rPr>
        <w:t>toetsingskader</w:t>
      </w:r>
      <w:r w:rsidR="005534BE">
        <w:rPr>
          <w:rFonts w:cstheme="minorHAnsi"/>
        </w:rPr>
        <w:t>, hetgeen wijst in de richting van een sterke werking van grondrechten.</w:t>
      </w:r>
    </w:p>
  </w:footnote>
  <w:footnote w:id="283">
    <w:p w14:paraId="4B937499" w14:textId="30F635BB" w:rsidR="00B826A2" w:rsidRPr="00C94C38" w:rsidRDefault="00B826A2" w:rsidP="003820BE">
      <w:pPr>
        <w:pStyle w:val="FootnoteText"/>
        <w:jc w:val="both"/>
        <w:rPr>
          <w:lang w:val="fr-BE"/>
        </w:rPr>
      </w:pPr>
      <w:r>
        <w:rPr>
          <w:rStyle w:val="FootnoteReference"/>
        </w:rPr>
        <w:footnoteRef/>
      </w:r>
      <w:r w:rsidRPr="00C94C38">
        <w:rPr>
          <w:lang w:val="fr-BE"/>
        </w:rPr>
        <w:t xml:space="preserve"> Idem:</w:t>
      </w:r>
      <w:r w:rsidRPr="00C94C38">
        <w:rPr>
          <w:rFonts w:cstheme="minorHAnsi"/>
          <w:lang w:val="fr-BE"/>
        </w:rPr>
        <w:t xml:space="preserve"> Van P</w:t>
      </w:r>
      <w:r w:rsidR="00C94C38" w:rsidRPr="00C94C38">
        <w:rPr>
          <w:rFonts w:cstheme="minorHAnsi"/>
          <w:lang w:val="fr-BE"/>
        </w:rPr>
        <w:t>e</w:t>
      </w:r>
      <w:r w:rsidRPr="00C94C38">
        <w:rPr>
          <w:rFonts w:cstheme="minorHAnsi"/>
          <w:lang w:val="fr-BE"/>
        </w:rPr>
        <w:t xml:space="preserve">ijpe, </w:t>
      </w:r>
      <w:r w:rsidRPr="00C94C38">
        <w:rPr>
          <w:rFonts w:cstheme="minorHAnsi"/>
          <w:i/>
          <w:iCs/>
          <w:lang w:val="fr-BE"/>
        </w:rPr>
        <w:t>TRA</w:t>
      </w:r>
      <w:r w:rsidRPr="00C94C38">
        <w:rPr>
          <w:rFonts w:cstheme="minorHAnsi"/>
          <w:lang w:val="fr-BE"/>
        </w:rPr>
        <w:t xml:space="preserve"> 2012/76, par. 3.2</w:t>
      </w:r>
      <w:r w:rsidR="005F5BB3" w:rsidRPr="00C94C38">
        <w:rPr>
          <w:rFonts w:cstheme="minorHAnsi"/>
          <w:lang w:val="fr-BE"/>
        </w:rPr>
        <w:t>.</w:t>
      </w:r>
    </w:p>
  </w:footnote>
  <w:footnote w:id="284">
    <w:p w14:paraId="7C30E25B" w14:textId="77777777" w:rsidR="0007610C" w:rsidRDefault="0007610C" w:rsidP="003820BE">
      <w:pPr>
        <w:pStyle w:val="FootnoteText"/>
        <w:jc w:val="both"/>
      </w:pPr>
      <w:r>
        <w:rPr>
          <w:rStyle w:val="FootnoteReference"/>
        </w:rPr>
        <w:footnoteRef/>
      </w:r>
      <w:r>
        <w:t xml:space="preserve"> Reynolds 2015, p. 253-257.</w:t>
      </w:r>
    </w:p>
  </w:footnote>
  <w:footnote w:id="285">
    <w:p w14:paraId="2F4B5E28" w14:textId="2C341F80" w:rsidR="003D72AD" w:rsidRPr="007F48C3" w:rsidRDefault="0007610C" w:rsidP="003820BE">
      <w:pPr>
        <w:pStyle w:val="FootnoteText"/>
        <w:jc w:val="both"/>
      </w:pPr>
      <w:r>
        <w:rPr>
          <w:rStyle w:val="FootnoteReference"/>
        </w:rPr>
        <w:footnoteRef/>
      </w:r>
      <w:r>
        <w:t xml:space="preserve"> Hansma, </w:t>
      </w:r>
      <w:r w:rsidRPr="00272944">
        <w:t xml:space="preserve">in: </w:t>
      </w:r>
      <w:r w:rsidRPr="00272944">
        <w:rPr>
          <w:i/>
          <w:iCs/>
        </w:rPr>
        <w:t>Arbeidsovereenkomst</w:t>
      </w:r>
      <w:r w:rsidRPr="00272944">
        <w:t xml:space="preserve">, art. </w:t>
      </w:r>
      <w:r>
        <w:t>G ESH (herzien)</w:t>
      </w:r>
      <w:r w:rsidRPr="00272944">
        <w:t xml:space="preserve">, aant. </w:t>
      </w:r>
      <w:r>
        <w:t>2.3</w:t>
      </w:r>
      <w:r w:rsidR="009801D2">
        <w:t xml:space="preserve"> </w:t>
      </w:r>
      <w:r w:rsidR="009801D2" w:rsidRPr="009801D2">
        <w:t xml:space="preserve">(online, bijgewerkt 1 januari </w:t>
      </w:r>
      <w:r w:rsidR="009801D2">
        <w:t>2023</w:t>
      </w:r>
      <w:r w:rsidR="009801D2" w:rsidRPr="009801D2">
        <w:t>)</w:t>
      </w:r>
      <w:r w:rsidR="007C4617">
        <w:t xml:space="preserve">, met verwijzing naar </w:t>
      </w:r>
      <w:r w:rsidR="007C4617" w:rsidRPr="00093565">
        <w:t>HvJ EU 21 december 2016, C-201/15 (</w:t>
      </w:r>
      <w:r w:rsidR="007C4617" w:rsidRPr="00093565">
        <w:rPr>
          <w:i/>
          <w:iCs/>
        </w:rPr>
        <w:t>AGET Iraklis</w:t>
      </w:r>
      <w:r w:rsidR="007C4617" w:rsidRPr="00093565">
        <w:t>), m.nt. Laagland</w:t>
      </w:r>
      <w:r w:rsidR="007C4617" w:rsidRPr="007C4617">
        <w:t xml:space="preserve">, </w:t>
      </w:r>
      <w:r w:rsidR="007C4617" w:rsidRPr="007C4617">
        <w:rPr>
          <w:i/>
          <w:iCs/>
        </w:rPr>
        <w:t>AR Updates</w:t>
      </w:r>
      <w:r w:rsidR="007C4617" w:rsidRPr="007C4617">
        <w:t xml:space="preserve"> 2017</w:t>
      </w:r>
      <w:r w:rsidR="007C4617">
        <w:t>.</w:t>
      </w:r>
      <w:r>
        <w:t xml:space="preserve"> </w:t>
      </w:r>
      <w:r w:rsidR="00BA1555" w:rsidRPr="00BA1555">
        <w:t xml:space="preserve">Anders (ten onrechte): Rb. Midden-Nederland (vzr.) 26 april 2018, </w:t>
      </w:r>
      <w:r w:rsidR="00BA1555" w:rsidRPr="00BA1555">
        <w:rPr>
          <w:i/>
          <w:iCs/>
        </w:rPr>
        <w:t>RAR</w:t>
      </w:r>
      <w:r w:rsidR="00BA1555" w:rsidRPr="00BA1555">
        <w:t xml:space="preserve"> 2018/115. </w:t>
      </w:r>
      <w:r w:rsidR="00540A61">
        <w:t>Kritisch</w:t>
      </w:r>
      <w:r w:rsidR="0036355B">
        <w:t xml:space="preserve"> op een (te) laagdrempelige </w:t>
      </w:r>
      <w:r w:rsidR="0080665C">
        <w:t>toepasselijkheid</w:t>
      </w:r>
      <w:r w:rsidR="0036355B">
        <w:t xml:space="preserve"> van de vestigingsvrijheid</w:t>
      </w:r>
      <w:r w:rsidR="00B439E0">
        <w:t xml:space="preserve"> zijn</w:t>
      </w:r>
      <w:r w:rsidR="00540A61">
        <w:t xml:space="preserve"> Dorssemont &amp; Rocca 201</w:t>
      </w:r>
      <w:r w:rsidR="00D160AE">
        <w:t>9</w:t>
      </w:r>
      <w:r w:rsidR="00540A61">
        <w:t>, p. 495.</w:t>
      </w:r>
    </w:p>
  </w:footnote>
  <w:footnote w:id="286">
    <w:p w14:paraId="1FBE5EAD" w14:textId="3938F16F" w:rsidR="0007610C" w:rsidRDefault="0007610C" w:rsidP="003820BE">
      <w:pPr>
        <w:pStyle w:val="FootnoteText"/>
        <w:jc w:val="both"/>
      </w:pPr>
      <w:r>
        <w:rPr>
          <w:rStyle w:val="FootnoteReference"/>
        </w:rPr>
        <w:footnoteRef/>
      </w:r>
      <w:r>
        <w:t xml:space="preserve"> </w:t>
      </w:r>
      <w:r w:rsidRPr="007C528B">
        <w:t xml:space="preserve">Ellingsen, </w:t>
      </w:r>
      <w:r w:rsidRPr="007C528B">
        <w:rPr>
          <w:i/>
          <w:iCs/>
        </w:rPr>
        <w:t>CMLR</w:t>
      </w:r>
      <w:r w:rsidRPr="007C528B">
        <w:t xml:space="preserve"> 2022, p</w:t>
      </w:r>
      <w:r>
        <w:t xml:space="preserve">. 600-601. Anders: Teklè, </w:t>
      </w:r>
      <w:r>
        <w:rPr>
          <w:i/>
          <w:iCs/>
        </w:rPr>
        <w:t>ELLJ</w:t>
      </w:r>
      <w:r>
        <w:t xml:space="preserve"> 2018, p. 260-261, die beweert dat </w:t>
      </w:r>
      <w:r w:rsidRPr="001439FC">
        <w:t xml:space="preserve">de positie van het </w:t>
      </w:r>
      <w:r>
        <w:t>Hof</w:t>
      </w:r>
      <w:r w:rsidRPr="001439FC">
        <w:t xml:space="preserve"> in </w:t>
      </w:r>
      <w:r w:rsidRPr="001439FC">
        <w:rPr>
          <w:i/>
          <w:iCs/>
        </w:rPr>
        <w:t>Viking</w:t>
      </w:r>
      <w:r w:rsidRPr="001439FC">
        <w:t xml:space="preserve"> en </w:t>
      </w:r>
      <w:r w:rsidRPr="001439FC">
        <w:rPr>
          <w:i/>
          <w:iCs/>
        </w:rPr>
        <w:t>Laval</w:t>
      </w:r>
      <w:r w:rsidRPr="001439FC">
        <w:t xml:space="preserve"> een keuze </w:t>
      </w:r>
      <w:r>
        <w:t>was</w:t>
      </w:r>
      <w:r w:rsidRPr="001439FC">
        <w:t xml:space="preserve"> en niet het resultaat van een tekstuele of teleologische toepassing van</w:t>
      </w:r>
      <w:r w:rsidR="007C4617">
        <w:t xml:space="preserve"> het</w:t>
      </w:r>
      <w:r w:rsidRPr="001439FC">
        <w:t xml:space="preserve"> </w:t>
      </w:r>
      <w:r>
        <w:t>Unie</w:t>
      </w:r>
      <w:r w:rsidRPr="001439FC">
        <w:t>recht.</w:t>
      </w:r>
    </w:p>
  </w:footnote>
  <w:footnote w:id="287">
    <w:p w14:paraId="67E4E548" w14:textId="3A204A6A" w:rsidR="005A7240" w:rsidRDefault="005A7240" w:rsidP="003820BE">
      <w:pPr>
        <w:pStyle w:val="FootnoteText"/>
        <w:jc w:val="both"/>
      </w:pPr>
      <w:r>
        <w:rPr>
          <w:rStyle w:val="FootnoteReference"/>
        </w:rPr>
        <w:footnoteRef/>
      </w:r>
      <w:r>
        <w:t xml:space="preserve"> De CoE lijkt ten opzichte van het EHRM en het ECSR nog een stapje verder te gaan en hekelt </w:t>
      </w:r>
      <w:r w:rsidR="00B904FC">
        <w:t>de</w:t>
      </w:r>
      <w:r>
        <w:t xml:space="preserve"> hele idee </w:t>
      </w:r>
      <w:r w:rsidRPr="002C3F9F">
        <w:t xml:space="preserve">dat het </w:t>
      </w:r>
      <w:r>
        <w:t>stakingsrecht</w:t>
      </w:r>
      <w:r w:rsidRPr="002C3F9F">
        <w:t xml:space="preserve"> </w:t>
      </w:r>
      <w:r w:rsidR="00BA4752">
        <w:t>kan worden</w:t>
      </w:r>
      <w:r w:rsidRPr="002C3F9F">
        <w:t xml:space="preserve"> afgewogen tegen </w:t>
      </w:r>
      <w:r>
        <w:t xml:space="preserve">de </w:t>
      </w:r>
      <w:r w:rsidR="006E6927">
        <w:t>verkeersvrijheden</w:t>
      </w:r>
      <w:r w:rsidR="00754F01">
        <w:t xml:space="preserve"> (par</w:t>
      </w:r>
      <w:r>
        <w:t>.</w:t>
      </w:r>
      <w:r w:rsidR="00754F01">
        <w:t xml:space="preserve"> 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C96AD" w14:textId="60BFD0F0" w:rsidR="00C97F38" w:rsidRDefault="00C97F38">
    <w:pPr>
      <w:pStyle w:val="Header"/>
    </w:pPr>
    <w:r>
      <w:rPr>
        <w:noProof/>
        <w:lang w:eastAsia="nl-NL"/>
      </w:rPr>
      <w:drawing>
        <wp:anchor distT="0" distB="0" distL="114300" distR="114300" simplePos="0" relativeHeight="251659264" behindDoc="0" locked="0" layoutInCell="1" allowOverlap="1" wp14:anchorId="39BF6479" wp14:editId="6E9A9CDB">
          <wp:simplePos x="0" y="0"/>
          <wp:positionH relativeFrom="rightMargin">
            <wp:posOffset>-448295</wp:posOffset>
          </wp:positionH>
          <wp:positionV relativeFrom="paragraph">
            <wp:posOffset>-300990</wp:posOffset>
          </wp:positionV>
          <wp:extent cx="796247" cy="584791"/>
          <wp:effectExtent l="0" t="0" r="4445" b="6350"/>
          <wp:wrapNone/>
          <wp:docPr id="1601676054" name="Afbeelding 1601676054" descr="Afbeelding met logo, symbool, Lettertype, emblee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logo, symbool, Lettertype, embleem&#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247" cy="584791"/>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50B64"/>
    <w:multiLevelType w:val="hybridMultilevel"/>
    <w:tmpl w:val="2A22C40A"/>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381312"/>
    <w:multiLevelType w:val="hybridMultilevel"/>
    <w:tmpl w:val="A45ABE84"/>
    <w:lvl w:ilvl="0" w:tplc="2E18A654">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04CC2931"/>
    <w:multiLevelType w:val="hybridMultilevel"/>
    <w:tmpl w:val="07EA1D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50F3655"/>
    <w:multiLevelType w:val="hybridMultilevel"/>
    <w:tmpl w:val="8410B8D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7527A55"/>
    <w:multiLevelType w:val="multilevel"/>
    <w:tmpl w:val="C5C6F1BE"/>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97926E6"/>
    <w:multiLevelType w:val="hybridMultilevel"/>
    <w:tmpl w:val="DCAA0A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F7634EE"/>
    <w:multiLevelType w:val="hybridMultilevel"/>
    <w:tmpl w:val="591881BC"/>
    <w:lvl w:ilvl="0" w:tplc="3E5A6746">
      <w:start w:val="2"/>
      <w:numFmt w:val="bullet"/>
      <w:lvlText w:val=""/>
      <w:lvlJc w:val="left"/>
      <w:pPr>
        <w:ind w:left="720" w:hanging="360"/>
      </w:pPr>
      <w:rPr>
        <w:rFonts w:ascii="Wingdings" w:eastAsiaTheme="minorHAnsi"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3737E07"/>
    <w:multiLevelType w:val="hybridMultilevel"/>
    <w:tmpl w:val="936E8FF2"/>
    <w:lvl w:ilvl="0" w:tplc="D50E119A">
      <w:numFmt w:val="bullet"/>
      <w:lvlText w:val=""/>
      <w:lvlJc w:val="left"/>
      <w:pPr>
        <w:ind w:left="1080" w:hanging="360"/>
      </w:pPr>
      <w:rPr>
        <w:rFonts w:ascii="Wingdings" w:eastAsiaTheme="minorHAnsi" w:hAnsi="Wingdings" w:cstheme="minorBidi" w:hint="default"/>
      </w:rPr>
    </w:lvl>
    <w:lvl w:ilvl="1" w:tplc="2E18A654">
      <w:start w:val="1"/>
      <w:numFmt w:val="bullet"/>
      <w:lvlText w:val=""/>
      <w:lvlJc w:val="left"/>
      <w:pPr>
        <w:ind w:left="1800" w:hanging="360"/>
      </w:pPr>
      <w:rPr>
        <w:rFonts w:ascii="Symbol" w:hAnsi="Symbol"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4AB538CE"/>
    <w:multiLevelType w:val="hybridMultilevel"/>
    <w:tmpl w:val="AE964DAA"/>
    <w:lvl w:ilvl="0" w:tplc="4FD86AE8">
      <w:start w:val="1"/>
      <w:numFmt w:val="decimal"/>
      <w:lvlText w:val="%1."/>
      <w:lvlJc w:val="left"/>
      <w:pPr>
        <w:ind w:left="720" w:hanging="360"/>
      </w:pPr>
      <w:rPr>
        <w:rFonts w:asciiTheme="minorHAnsi" w:eastAsiaTheme="minorHAnsi" w:hAnsiTheme="minorHAnsi" w:cstheme="minorBidi"/>
      </w:rPr>
    </w:lvl>
    <w:lvl w:ilvl="1" w:tplc="04130003">
      <w:start w:val="1"/>
      <w:numFmt w:val="bullet"/>
      <w:lvlText w:val="o"/>
      <w:lvlJc w:val="left"/>
      <w:pPr>
        <w:ind w:left="1440" w:hanging="360"/>
      </w:pPr>
      <w:rPr>
        <w:rFonts w:ascii="Courier New" w:hAnsi="Courier New" w:cs="Courier New" w:hint="default"/>
      </w:rPr>
    </w:lvl>
    <w:lvl w:ilvl="2" w:tplc="D50E119A">
      <w:numFmt w:val="bullet"/>
      <w:lvlText w:val=""/>
      <w:lvlJc w:val="left"/>
      <w:pPr>
        <w:ind w:left="2160" w:hanging="360"/>
      </w:pPr>
      <w:rPr>
        <w:rFonts w:ascii="Wingdings" w:eastAsiaTheme="minorHAnsi" w:hAnsi="Wingdings" w:cstheme="minorBidi" w:hint="default"/>
      </w:rPr>
    </w:lvl>
    <w:lvl w:ilvl="3" w:tplc="2E18A654">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DA15976"/>
    <w:multiLevelType w:val="hybridMultilevel"/>
    <w:tmpl w:val="96FCD7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F686CDE"/>
    <w:multiLevelType w:val="hybridMultilevel"/>
    <w:tmpl w:val="1E88C86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67903F7"/>
    <w:multiLevelType w:val="hybridMultilevel"/>
    <w:tmpl w:val="F87689B8"/>
    <w:lvl w:ilvl="0" w:tplc="4568F1C6">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7B96185"/>
    <w:multiLevelType w:val="hybridMultilevel"/>
    <w:tmpl w:val="CDC23AD0"/>
    <w:lvl w:ilvl="0" w:tplc="FFFFFFFF">
      <w:start w:val="1"/>
      <w:numFmt w:val="decimal"/>
      <w:lvlText w:val="%1."/>
      <w:lvlJc w:val="left"/>
      <w:pPr>
        <w:ind w:left="720" w:hanging="360"/>
      </w:pPr>
      <w:rPr>
        <w:rFonts w:asciiTheme="minorHAnsi" w:eastAsiaTheme="minorHAnsi" w:hAnsiTheme="minorHAnsi" w:cstheme="minorBidi"/>
      </w:rPr>
    </w:lvl>
    <w:lvl w:ilvl="1" w:tplc="04130001">
      <w:start w:val="1"/>
      <w:numFmt w:val="bullet"/>
      <w:lvlText w:val=""/>
      <w:lvlJc w:val="left"/>
      <w:pPr>
        <w:ind w:left="1440" w:hanging="360"/>
      </w:pPr>
      <w:rPr>
        <w:rFonts w:ascii="Symbol" w:hAnsi="Symbol" w:hint="default"/>
      </w:rPr>
    </w:lvl>
    <w:lvl w:ilvl="2" w:tplc="FFFFFFFF">
      <w:numFmt w:val="bullet"/>
      <w:lvlText w:val=""/>
      <w:lvlJc w:val="left"/>
      <w:pPr>
        <w:ind w:left="2160" w:hanging="360"/>
      </w:pPr>
      <w:rPr>
        <w:rFonts w:ascii="Wingdings" w:eastAsiaTheme="minorHAnsi" w:hAnsi="Wingdings" w:cstheme="minorBidi"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A4F1F11"/>
    <w:multiLevelType w:val="hybridMultilevel"/>
    <w:tmpl w:val="E8A478F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4" w15:restartNumberingAfterBreak="0">
    <w:nsid w:val="6DC26FBB"/>
    <w:multiLevelType w:val="multilevel"/>
    <w:tmpl w:val="38EC41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6753D2E"/>
    <w:multiLevelType w:val="hybridMultilevel"/>
    <w:tmpl w:val="9AE248F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6AE38A0"/>
    <w:multiLevelType w:val="hybridMultilevel"/>
    <w:tmpl w:val="53A42F96"/>
    <w:lvl w:ilvl="0" w:tplc="04130011">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A236F02"/>
    <w:multiLevelType w:val="multilevel"/>
    <w:tmpl w:val="DC16F6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503521640">
    <w:abstractNumId w:val="8"/>
  </w:num>
  <w:num w:numId="2" w16cid:durableId="1911387109">
    <w:abstractNumId w:val="7"/>
  </w:num>
  <w:num w:numId="3" w16cid:durableId="1465462629">
    <w:abstractNumId w:val="1"/>
  </w:num>
  <w:num w:numId="4" w16cid:durableId="1328241041">
    <w:abstractNumId w:val="13"/>
  </w:num>
  <w:num w:numId="5" w16cid:durableId="98567210">
    <w:abstractNumId w:val="12"/>
  </w:num>
  <w:num w:numId="6" w16cid:durableId="904142376">
    <w:abstractNumId w:val="5"/>
  </w:num>
  <w:num w:numId="7" w16cid:durableId="742027451">
    <w:abstractNumId w:val="2"/>
  </w:num>
  <w:num w:numId="8" w16cid:durableId="592588236">
    <w:abstractNumId w:val="14"/>
  </w:num>
  <w:num w:numId="9" w16cid:durableId="1343894102">
    <w:abstractNumId w:val="17"/>
  </w:num>
  <w:num w:numId="10" w16cid:durableId="1033071092">
    <w:abstractNumId w:val="10"/>
  </w:num>
  <w:num w:numId="11" w16cid:durableId="1675759427">
    <w:abstractNumId w:val="6"/>
  </w:num>
  <w:num w:numId="12" w16cid:durableId="1524976082">
    <w:abstractNumId w:val="3"/>
  </w:num>
  <w:num w:numId="13" w16cid:durableId="379281480">
    <w:abstractNumId w:val="15"/>
  </w:num>
  <w:num w:numId="14" w16cid:durableId="1310941407">
    <w:abstractNumId w:val="11"/>
  </w:num>
  <w:num w:numId="15" w16cid:durableId="773018965">
    <w:abstractNumId w:val="16"/>
  </w:num>
  <w:num w:numId="16" w16cid:durableId="1646617167">
    <w:abstractNumId w:val="4"/>
  </w:num>
  <w:num w:numId="17" w16cid:durableId="774788998">
    <w:abstractNumId w:val="0"/>
  </w:num>
  <w:num w:numId="18" w16cid:durableId="17085556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A0A"/>
    <w:rsid w:val="0000007D"/>
    <w:rsid w:val="000003E0"/>
    <w:rsid w:val="0000091D"/>
    <w:rsid w:val="00000E49"/>
    <w:rsid w:val="00000E6A"/>
    <w:rsid w:val="00001300"/>
    <w:rsid w:val="000013B8"/>
    <w:rsid w:val="000013ED"/>
    <w:rsid w:val="0000189E"/>
    <w:rsid w:val="00001942"/>
    <w:rsid w:val="000019D2"/>
    <w:rsid w:val="00001A40"/>
    <w:rsid w:val="00001A7F"/>
    <w:rsid w:val="00001B91"/>
    <w:rsid w:val="00001C77"/>
    <w:rsid w:val="00001CAB"/>
    <w:rsid w:val="00001D8A"/>
    <w:rsid w:val="000021A0"/>
    <w:rsid w:val="000024D4"/>
    <w:rsid w:val="000029AE"/>
    <w:rsid w:val="00002B50"/>
    <w:rsid w:val="00002DD5"/>
    <w:rsid w:val="00002F41"/>
    <w:rsid w:val="00003582"/>
    <w:rsid w:val="000036E3"/>
    <w:rsid w:val="000037D3"/>
    <w:rsid w:val="00003E68"/>
    <w:rsid w:val="00004155"/>
    <w:rsid w:val="000043AD"/>
    <w:rsid w:val="000043E6"/>
    <w:rsid w:val="00004461"/>
    <w:rsid w:val="0000455C"/>
    <w:rsid w:val="000046B9"/>
    <w:rsid w:val="00004904"/>
    <w:rsid w:val="00004947"/>
    <w:rsid w:val="00005021"/>
    <w:rsid w:val="00005388"/>
    <w:rsid w:val="00005578"/>
    <w:rsid w:val="000059AF"/>
    <w:rsid w:val="00005A8C"/>
    <w:rsid w:val="00005D39"/>
    <w:rsid w:val="00005FA4"/>
    <w:rsid w:val="00006058"/>
    <w:rsid w:val="00006325"/>
    <w:rsid w:val="00006441"/>
    <w:rsid w:val="000068FD"/>
    <w:rsid w:val="00006C63"/>
    <w:rsid w:val="000074F6"/>
    <w:rsid w:val="00007B5B"/>
    <w:rsid w:val="00007DAB"/>
    <w:rsid w:val="00007E4D"/>
    <w:rsid w:val="000105F0"/>
    <w:rsid w:val="0001087D"/>
    <w:rsid w:val="00010AEA"/>
    <w:rsid w:val="00010DE6"/>
    <w:rsid w:val="00010EC0"/>
    <w:rsid w:val="0001105D"/>
    <w:rsid w:val="00011562"/>
    <w:rsid w:val="000116E2"/>
    <w:rsid w:val="0001177E"/>
    <w:rsid w:val="0001179B"/>
    <w:rsid w:val="000117DD"/>
    <w:rsid w:val="00011917"/>
    <w:rsid w:val="00011993"/>
    <w:rsid w:val="00011996"/>
    <w:rsid w:val="00012004"/>
    <w:rsid w:val="000120A1"/>
    <w:rsid w:val="00012241"/>
    <w:rsid w:val="00012268"/>
    <w:rsid w:val="000123DE"/>
    <w:rsid w:val="00012CBF"/>
    <w:rsid w:val="0001341F"/>
    <w:rsid w:val="00013538"/>
    <w:rsid w:val="0001369B"/>
    <w:rsid w:val="00013739"/>
    <w:rsid w:val="00013814"/>
    <w:rsid w:val="00013B3B"/>
    <w:rsid w:val="00013F19"/>
    <w:rsid w:val="0001410F"/>
    <w:rsid w:val="000141B8"/>
    <w:rsid w:val="000144A9"/>
    <w:rsid w:val="00014696"/>
    <w:rsid w:val="00014AE3"/>
    <w:rsid w:val="00014EB1"/>
    <w:rsid w:val="00014F2C"/>
    <w:rsid w:val="00014FA2"/>
    <w:rsid w:val="00015378"/>
    <w:rsid w:val="00015959"/>
    <w:rsid w:val="0001596B"/>
    <w:rsid w:val="00015A78"/>
    <w:rsid w:val="00015AFD"/>
    <w:rsid w:val="00015B6A"/>
    <w:rsid w:val="00015E66"/>
    <w:rsid w:val="00016073"/>
    <w:rsid w:val="000161B6"/>
    <w:rsid w:val="00016329"/>
    <w:rsid w:val="00016570"/>
    <w:rsid w:val="00016651"/>
    <w:rsid w:val="00016760"/>
    <w:rsid w:val="000167ED"/>
    <w:rsid w:val="00016857"/>
    <w:rsid w:val="00016BA8"/>
    <w:rsid w:val="000172F1"/>
    <w:rsid w:val="000174A5"/>
    <w:rsid w:val="00017913"/>
    <w:rsid w:val="00017946"/>
    <w:rsid w:val="00017A42"/>
    <w:rsid w:val="00017B14"/>
    <w:rsid w:val="00017E28"/>
    <w:rsid w:val="00017E56"/>
    <w:rsid w:val="000200B2"/>
    <w:rsid w:val="00020157"/>
    <w:rsid w:val="00020226"/>
    <w:rsid w:val="0002069C"/>
    <w:rsid w:val="00020C9F"/>
    <w:rsid w:val="0002144C"/>
    <w:rsid w:val="00021812"/>
    <w:rsid w:val="00021B7D"/>
    <w:rsid w:val="00021BB4"/>
    <w:rsid w:val="00022046"/>
    <w:rsid w:val="00022097"/>
    <w:rsid w:val="000222F8"/>
    <w:rsid w:val="00022AB4"/>
    <w:rsid w:val="00022C6A"/>
    <w:rsid w:val="000231F9"/>
    <w:rsid w:val="00023424"/>
    <w:rsid w:val="000234C6"/>
    <w:rsid w:val="000234E4"/>
    <w:rsid w:val="00023593"/>
    <w:rsid w:val="00023F57"/>
    <w:rsid w:val="0002404D"/>
    <w:rsid w:val="0002439E"/>
    <w:rsid w:val="000245C7"/>
    <w:rsid w:val="000245D2"/>
    <w:rsid w:val="0002498B"/>
    <w:rsid w:val="00024B7E"/>
    <w:rsid w:val="00024E58"/>
    <w:rsid w:val="000250AD"/>
    <w:rsid w:val="000250BF"/>
    <w:rsid w:val="000254A0"/>
    <w:rsid w:val="00025549"/>
    <w:rsid w:val="00025780"/>
    <w:rsid w:val="00025798"/>
    <w:rsid w:val="00025905"/>
    <w:rsid w:val="00025E0A"/>
    <w:rsid w:val="00025EAB"/>
    <w:rsid w:val="00025FD1"/>
    <w:rsid w:val="00026217"/>
    <w:rsid w:val="00026582"/>
    <w:rsid w:val="00026B5D"/>
    <w:rsid w:val="00026C46"/>
    <w:rsid w:val="00026EC2"/>
    <w:rsid w:val="000270AA"/>
    <w:rsid w:val="000271A6"/>
    <w:rsid w:val="00027352"/>
    <w:rsid w:val="0002752E"/>
    <w:rsid w:val="00027956"/>
    <w:rsid w:val="00027FFE"/>
    <w:rsid w:val="000300D6"/>
    <w:rsid w:val="00030129"/>
    <w:rsid w:val="0003013A"/>
    <w:rsid w:val="000302C8"/>
    <w:rsid w:val="000303B0"/>
    <w:rsid w:val="000307AA"/>
    <w:rsid w:val="000308CA"/>
    <w:rsid w:val="00030BA6"/>
    <w:rsid w:val="00030C21"/>
    <w:rsid w:val="00030EE0"/>
    <w:rsid w:val="00030EF2"/>
    <w:rsid w:val="00030F7F"/>
    <w:rsid w:val="000315C1"/>
    <w:rsid w:val="00031813"/>
    <w:rsid w:val="00031BC8"/>
    <w:rsid w:val="00031C8E"/>
    <w:rsid w:val="00031CE7"/>
    <w:rsid w:val="00031FAD"/>
    <w:rsid w:val="0003203B"/>
    <w:rsid w:val="00032369"/>
    <w:rsid w:val="000326E3"/>
    <w:rsid w:val="0003270F"/>
    <w:rsid w:val="00032867"/>
    <w:rsid w:val="000328BD"/>
    <w:rsid w:val="00032A07"/>
    <w:rsid w:val="00032C4C"/>
    <w:rsid w:val="00032D78"/>
    <w:rsid w:val="000334A8"/>
    <w:rsid w:val="000337F3"/>
    <w:rsid w:val="00033AF8"/>
    <w:rsid w:val="00033DB9"/>
    <w:rsid w:val="00033E9A"/>
    <w:rsid w:val="00033F7E"/>
    <w:rsid w:val="00033F92"/>
    <w:rsid w:val="00034278"/>
    <w:rsid w:val="0003458F"/>
    <w:rsid w:val="000347C7"/>
    <w:rsid w:val="00034AC2"/>
    <w:rsid w:val="00034BE7"/>
    <w:rsid w:val="000350AE"/>
    <w:rsid w:val="00035174"/>
    <w:rsid w:val="0003519D"/>
    <w:rsid w:val="000355E8"/>
    <w:rsid w:val="0003582A"/>
    <w:rsid w:val="00035B7C"/>
    <w:rsid w:val="00035C6C"/>
    <w:rsid w:val="00035DFD"/>
    <w:rsid w:val="00035EFC"/>
    <w:rsid w:val="000364EE"/>
    <w:rsid w:val="00036742"/>
    <w:rsid w:val="00036946"/>
    <w:rsid w:val="00036A12"/>
    <w:rsid w:val="00036A2C"/>
    <w:rsid w:val="00036D0B"/>
    <w:rsid w:val="00036FAA"/>
    <w:rsid w:val="000370C7"/>
    <w:rsid w:val="000370D5"/>
    <w:rsid w:val="000372E3"/>
    <w:rsid w:val="00037545"/>
    <w:rsid w:val="00037568"/>
    <w:rsid w:val="00037B2A"/>
    <w:rsid w:val="00037B7E"/>
    <w:rsid w:val="00037C82"/>
    <w:rsid w:val="00037E2A"/>
    <w:rsid w:val="00037EA8"/>
    <w:rsid w:val="0004059A"/>
    <w:rsid w:val="000406A2"/>
    <w:rsid w:val="000406AD"/>
    <w:rsid w:val="000408B7"/>
    <w:rsid w:val="00040969"/>
    <w:rsid w:val="00040A9C"/>
    <w:rsid w:val="00040F92"/>
    <w:rsid w:val="000410E6"/>
    <w:rsid w:val="00041137"/>
    <w:rsid w:val="00041177"/>
    <w:rsid w:val="000412CC"/>
    <w:rsid w:val="000415E4"/>
    <w:rsid w:val="00041646"/>
    <w:rsid w:val="00041778"/>
    <w:rsid w:val="00041D60"/>
    <w:rsid w:val="00042066"/>
    <w:rsid w:val="00042459"/>
    <w:rsid w:val="00042790"/>
    <w:rsid w:val="0004279F"/>
    <w:rsid w:val="000428CF"/>
    <w:rsid w:val="00042995"/>
    <w:rsid w:val="00042BF8"/>
    <w:rsid w:val="00042C7F"/>
    <w:rsid w:val="00043033"/>
    <w:rsid w:val="0004313D"/>
    <w:rsid w:val="00043223"/>
    <w:rsid w:val="00043BC5"/>
    <w:rsid w:val="00043E46"/>
    <w:rsid w:val="000447D4"/>
    <w:rsid w:val="0004490A"/>
    <w:rsid w:val="0004497B"/>
    <w:rsid w:val="00044FD8"/>
    <w:rsid w:val="000451EE"/>
    <w:rsid w:val="000454C0"/>
    <w:rsid w:val="00045634"/>
    <w:rsid w:val="00045ABC"/>
    <w:rsid w:val="00045BE1"/>
    <w:rsid w:val="00045D50"/>
    <w:rsid w:val="00046084"/>
    <w:rsid w:val="00046106"/>
    <w:rsid w:val="00046381"/>
    <w:rsid w:val="000463F1"/>
    <w:rsid w:val="00046407"/>
    <w:rsid w:val="00046414"/>
    <w:rsid w:val="00046466"/>
    <w:rsid w:val="00046590"/>
    <w:rsid w:val="00046A49"/>
    <w:rsid w:val="00046C74"/>
    <w:rsid w:val="00046C98"/>
    <w:rsid w:val="00046CDD"/>
    <w:rsid w:val="00046D07"/>
    <w:rsid w:val="00047434"/>
    <w:rsid w:val="000476C5"/>
    <w:rsid w:val="000477A4"/>
    <w:rsid w:val="000477B3"/>
    <w:rsid w:val="00047863"/>
    <w:rsid w:val="000478EF"/>
    <w:rsid w:val="00047A2C"/>
    <w:rsid w:val="00047D25"/>
    <w:rsid w:val="00047D84"/>
    <w:rsid w:val="00047F0A"/>
    <w:rsid w:val="0005040E"/>
    <w:rsid w:val="00050429"/>
    <w:rsid w:val="000505C3"/>
    <w:rsid w:val="000505FD"/>
    <w:rsid w:val="000508D8"/>
    <w:rsid w:val="00050BC4"/>
    <w:rsid w:val="00050C61"/>
    <w:rsid w:val="00050C8B"/>
    <w:rsid w:val="00050ED5"/>
    <w:rsid w:val="00051015"/>
    <w:rsid w:val="000517D1"/>
    <w:rsid w:val="00051A0A"/>
    <w:rsid w:val="00051F33"/>
    <w:rsid w:val="000521FB"/>
    <w:rsid w:val="0005254A"/>
    <w:rsid w:val="000525C0"/>
    <w:rsid w:val="000529AC"/>
    <w:rsid w:val="00052DE6"/>
    <w:rsid w:val="0005301D"/>
    <w:rsid w:val="00053208"/>
    <w:rsid w:val="00053631"/>
    <w:rsid w:val="00053A45"/>
    <w:rsid w:val="00053DA4"/>
    <w:rsid w:val="00054216"/>
    <w:rsid w:val="00054473"/>
    <w:rsid w:val="00054722"/>
    <w:rsid w:val="00054835"/>
    <w:rsid w:val="0005485E"/>
    <w:rsid w:val="00054AFB"/>
    <w:rsid w:val="00054C09"/>
    <w:rsid w:val="00054E7D"/>
    <w:rsid w:val="00054EB4"/>
    <w:rsid w:val="00055137"/>
    <w:rsid w:val="00055589"/>
    <w:rsid w:val="000557F1"/>
    <w:rsid w:val="00055A77"/>
    <w:rsid w:val="00055F5D"/>
    <w:rsid w:val="000560F0"/>
    <w:rsid w:val="0005629E"/>
    <w:rsid w:val="0005632C"/>
    <w:rsid w:val="00056905"/>
    <w:rsid w:val="00056A56"/>
    <w:rsid w:val="00056AB4"/>
    <w:rsid w:val="00056DF5"/>
    <w:rsid w:val="00056FD7"/>
    <w:rsid w:val="000570C6"/>
    <w:rsid w:val="00057370"/>
    <w:rsid w:val="00057569"/>
    <w:rsid w:val="000578B9"/>
    <w:rsid w:val="00057A19"/>
    <w:rsid w:val="00060148"/>
    <w:rsid w:val="00060482"/>
    <w:rsid w:val="000606AB"/>
    <w:rsid w:val="00060768"/>
    <w:rsid w:val="00060818"/>
    <w:rsid w:val="00060836"/>
    <w:rsid w:val="00060965"/>
    <w:rsid w:val="000609E7"/>
    <w:rsid w:val="00060A6D"/>
    <w:rsid w:val="00060C93"/>
    <w:rsid w:val="00060CCD"/>
    <w:rsid w:val="00060E75"/>
    <w:rsid w:val="00060F4E"/>
    <w:rsid w:val="00060F81"/>
    <w:rsid w:val="00060F92"/>
    <w:rsid w:val="00061231"/>
    <w:rsid w:val="0006138E"/>
    <w:rsid w:val="00061394"/>
    <w:rsid w:val="0006153C"/>
    <w:rsid w:val="00061631"/>
    <w:rsid w:val="000617E9"/>
    <w:rsid w:val="00061B2D"/>
    <w:rsid w:val="00061F78"/>
    <w:rsid w:val="0006210E"/>
    <w:rsid w:val="000621A5"/>
    <w:rsid w:val="000622C4"/>
    <w:rsid w:val="00062530"/>
    <w:rsid w:val="00062845"/>
    <w:rsid w:val="00062901"/>
    <w:rsid w:val="00062ADE"/>
    <w:rsid w:val="00062C08"/>
    <w:rsid w:val="00062F2E"/>
    <w:rsid w:val="00063258"/>
    <w:rsid w:val="0006360D"/>
    <w:rsid w:val="0006369D"/>
    <w:rsid w:val="0006370F"/>
    <w:rsid w:val="00063A26"/>
    <w:rsid w:val="00063B16"/>
    <w:rsid w:val="00063E71"/>
    <w:rsid w:val="00063F73"/>
    <w:rsid w:val="00064C40"/>
    <w:rsid w:val="000650FF"/>
    <w:rsid w:val="00065219"/>
    <w:rsid w:val="00065A7A"/>
    <w:rsid w:val="00065DC2"/>
    <w:rsid w:val="00066120"/>
    <w:rsid w:val="0006625B"/>
    <w:rsid w:val="000662CB"/>
    <w:rsid w:val="00066A7E"/>
    <w:rsid w:val="00066AEA"/>
    <w:rsid w:val="00066D2A"/>
    <w:rsid w:val="00066D71"/>
    <w:rsid w:val="00066E1E"/>
    <w:rsid w:val="00067424"/>
    <w:rsid w:val="000677A9"/>
    <w:rsid w:val="00067FFE"/>
    <w:rsid w:val="00070248"/>
    <w:rsid w:val="0007053A"/>
    <w:rsid w:val="000706E9"/>
    <w:rsid w:val="0007073A"/>
    <w:rsid w:val="00070869"/>
    <w:rsid w:val="000708BB"/>
    <w:rsid w:val="00070E4D"/>
    <w:rsid w:val="00071041"/>
    <w:rsid w:val="0007149A"/>
    <w:rsid w:val="0007158A"/>
    <w:rsid w:val="00071B2E"/>
    <w:rsid w:val="00071B8C"/>
    <w:rsid w:val="00072190"/>
    <w:rsid w:val="000722A8"/>
    <w:rsid w:val="000728F5"/>
    <w:rsid w:val="00072A11"/>
    <w:rsid w:val="00073164"/>
    <w:rsid w:val="0007324D"/>
    <w:rsid w:val="000732ED"/>
    <w:rsid w:val="00073414"/>
    <w:rsid w:val="00073650"/>
    <w:rsid w:val="0007382A"/>
    <w:rsid w:val="000739E6"/>
    <w:rsid w:val="00073CE0"/>
    <w:rsid w:val="00074084"/>
    <w:rsid w:val="000746F4"/>
    <w:rsid w:val="00074719"/>
    <w:rsid w:val="000747CA"/>
    <w:rsid w:val="000747D5"/>
    <w:rsid w:val="00074969"/>
    <w:rsid w:val="00074B16"/>
    <w:rsid w:val="00074BB2"/>
    <w:rsid w:val="00074C81"/>
    <w:rsid w:val="000753AE"/>
    <w:rsid w:val="0007549C"/>
    <w:rsid w:val="000754A3"/>
    <w:rsid w:val="000754C1"/>
    <w:rsid w:val="0007590E"/>
    <w:rsid w:val="00075EE7"/>
    <w:rsid w:val="000760BA"/>
    <w:rsid w:val="0007610C"/>
    <w:rsid w:val="00076248"/>
    <w:rsid w:val="00076355"/>
    <w:rsid w:val="00076687"/>
    <w:rsid w:val="000769C5"/>
    <w:rsid w:val="00076B4E"/>
    <w:rsid w:val="00076B53"/>
    <w:rsid w:val="00076D46"/>
    <w:rsid w:val="00076E90"/>
    <w:rsid w:val="00077040"/>
    <w:rsid w:val="0007705D"/>
    <w:rsid w:val="00077212"/>
    <w:rsid w:val="00077375"/>
    <w:rsid w:val="0007762A"/>
    <w:rsid w:val="00077B0F"/>
    <w:rsid w:val="00077F46"/>
    <w:rsid w:val="00077F79"/>
    <w:rsid w:val="0008033B"/>
    <w:rsid w:val="0008044A"/>
    <w:rsid w:val="00080718"/>
    <w:rsid w:val="000807DA"/>
    <w:rsid w:val="00080884"/>
    <w:rsid w:val="00080B57"/>
    <w:rsid w:val="00080C12"/>
    <w:rsid w:val="00080E99"/>
    <w:rsid w:val="000810FE"/>
    <w:rsid w:val="000811D3"/>
    <w:rsid w:val="00081513"/>
    <w:rsid w:val="00081602"/>
    <w:rsid w:val="000817C1"/>
    <w:rsid w:val="000817F0"/>
    <w:rsid w:val="00081BFC"/>
    <w:rsid w:val="00081F15"/>
    <w:rsid w:val="00082157"/>
    <w:rsid w:val="0008263C"/>
    <w:rsid w:val="000830BC"/>
    <w:rsid w:val="000832F3"/>
    <w:rsid w:val="0008357C"/>
    <w:rsid w:val="000835BE"/>
    <w:rsid w:val="00083731"/>
    <w:rsid w:val="00083C70"/>
    <w:rsid w:val="00083CFE"/>
    <w:rsid w:val="00083FBC"/>
    <w:rsid w:val="00084028"/>
    <w:rsid w:val="00084591"/>
    <w:rsid w:val="00084D15"/>
    <w:rsid w:val="00085425"/>
    <w:rsid w:val="0008549E"/>
    <w:rsid w:val="00085A53"/>
    <w:rsid w:val="00085A8E"/>
    <w:rsid w:val="00085AF3"/>
    <w:rsid w:val="00085E16"/>
    <w:rsid w:val="00086159"/>
    <w:rsid w:val="000864FD"/>
    <w:rsid w:val="00086977"/>
    <w:rsid w:val="00086D11"/>
    <w:rsid w:val="00086E26"/>
    <w:rsid w:val="0008701E"/>
    <w:rsid w:val="0008707D"/>
    <w:rsid w:val="00087298"/>
    <w:rsid w:val="000877F8"/>
    <w:rsid w:val="0008786F"/>
    <w:rsid w:val="000879B5"/>
    <w:rsid w:val="00087B13"/>
    <w:rsid w:val="00087C02"/>
    <w:rsid w:val="00087C73"/>
    <w:rsid w:val="00087FE7"/>
    <w:rsid w:val="00090121"/>
    <w:rsid w:val="00090293"/>
    <w:rsid w:val="00090314"/>
    <w:rsid w:val="00090419"/>
    <w:rsid w:val="000904BE"/>
    <w:rsid w:val="0009061C"/>
    <w:rsid w:val="0009085C"/>
    <w:rsid w:val="00090966"/>
    <w:rsid w:val="0009097E"/>
    <w:rsid w:val="00090CB9"/>
    <w:rsid w:val="00090D8C"/>
    <w:rsid w:val="00090EA6"/>
    <w:rsid w:val="000912BC"/>
    <w:rsid w:val="000916AE"/>
    <w:rsid w:val="00091C75"/>
    <w:rsid w:val="000921CE"/>
    <w:rsid w:val="0009267D"/>
    <w:rsid w:val="0009269E"/>
    <w:rsid w:val="00092A8E"/>
    <w:rsid w:val="00092AF4"/>
    <w:rsid w:val="00092DED"/>
    <w:rsid w:val="00092E15"/>
    <w:rsid w:val="00092F77"/>
    <w:rsid w:val="0009302E"/>
    <w:rsid w:val="000933DE"/>
    <w:rsid w:val="00093565"/>
    <w:rsid w:val="000936A3"/>
    <w:rsid w:val="000937FA"/>
    <w:rsid w:val="00093A05"/>
    <w:rsid w:val="00093A2A"/>
    <w:rsid w:val="00093A64"/>
    <w:rsid w:val="00093AD0"/>
    <w:rsid w:val="00093E1A"/>
    <w:rsid w:val="0009403C"/>
    <w:rsid w:val="00094092"/>
    <w:rsid w:val="000943F8"/>
    <w:rsid w:val="000945F0"/>
    <w:rsid w:val="0009469B"/>
    <w:rsid w:val="000948DB"/>
    <w:rsid w:val="00094F26"/>
    <w:rsid w:val="00094FA5"/>
    <w:rsid w:val="0009511A"/>
    <w:rsid w:val="00095D64"/>
    <w:rsid w:val="00095DE4"/>
    <w:rsid w:val="00095DFF"/>
    <w:rsid w:val="00095E75"/>
    <w:rsid w:val="000968AC"/>
    <w:rsid w:val="000969B7"/>
    <w:rsid w:val="00096AF1"/>
    <w:rsid w:val="00096BCF"/>
    <w:rsid w:val="0009727D"/>
    <w:rsid w:val="00097564"/>
    <w:rsid w:val="00097647"/>
    <w:rsid w:val="00097A55"/>
    <w:rsid w:val="00097BD3"/>
    <w:rsid w:val="00097D0B"/>
    <w:rsid w:val="00097E36"/>
    <w:rsid w:val="000A0F14"/>
    <w:rsid w:val="000A110A"/>
    <w:rsid w:val="000A119B"/>
    <w:rsid w:val="000A178F"/>
    <w:rsid w:val="000A1B54"/>
    <w:rsid w:val="000A1B65"/>
    <w:rsid w:val="000A1D15"/>
    <w:rsid w:val="000A1E27"/>
    <w:rsid w:val="000A1F78"/>
    <w:rsid w:val="000A2C76"/>
    <w:rsid w:val="000A2C91"/>
    <w:rsid w:val="000A2E47"/>
    <w:rsid w:val="000A2FBF"/>
    <w:rsid w:val="000A3088"/>
    <w:rsid w:val="000A330E"/>
    <w:rsid w:val="000A3686"/>
    <w:rsid w:val="000A3900"/>
    <w:rsid w:val="000A3A9A"/>
    <w:rsid w:val="000A44A1"/>
    <w:rsid w:val="000A44FB"/>
    <w:rsid w:val="000A4742"/>
    <w:rsid w:val="000A486D"/>
    <w:rsid w:val="000A4988"/>
    <w:rsid w:val="000A4A4E"/>
    <w:rsid w:val="000A4BF8"/>
    <w:rsid w:val="000A5184"/>
    <w:rsid w:val="000A52F0"/>
    <w:rsid w:val="000A53D3"/>
    <w:rsid w:val="000A5A88"/>
    <w:rsid w:val="000A5C10"/>
    <w:rsid w:val="000A61F3"/>
    <w:rsid w:val="000A6318"/>
    <w:rsid w:val="000A63F6"/>
    <w:rsid w:val="000A6415"/>
    <w:rsid w:val="000A6503"/>
    <w:rsid w:val="000A6516"/>
    <w:rsid w:val="000A68CD"/>
    <w:rsid w:val="000A6A27"/>
    <w:rsid w:val="000A6A64"/>
    <w:rsid w:val="000A6B57"/>
    <w:rsid w:val="000A6F74"/>
    <w:rsid w:val="000A72D6"/>
    <w:rsid w:val="000A73AB"/>
    <w:rsid w:val="000A7CD5"/>
    <w:rsid w:val="000A7DDD"/>
    <w:rsid w:val="000B026E"/>
    <w:rsid w:val="000B038F"/>
    <w:rsid w:val="000B03AD"/>
    <w:rsid w:val="000B06B3"/>
    <w:rsid w:val="000B0967"/>
    <w:rsid w:val="000B0A45"/>
    <w:rsid w:val="000B0DD2"/>
    <w:rsid w:val="000B163B"/>
    <w:rsid w:val="000B1BAC"/>
    <w:rsid w:val="000B1BBD"/>
    <w:rsid w:val="000B1C68"/>
    <w:rsid w:val="000B23E3"/>
    <w:rsid w:val="000B254C"/>
    <w:rsid w:val="000B25C2"/>
    <w:rsid w:val="000B25DC"/>
    <w:rsid w:val="000B2A7C"/>
    <w:rsid w:val="000B2DC9"/>
    <w:rsid w:val="000B2E6B"/>
    <w:rsid w:val="000B3077"/>
    <w:rsid w:val="000B322A"/>
    <w:rsid w:val="000B340C"/>
    <w:rsid w:val="000B34DE"/>
    <w:rsid w:val="000B36CC"/>
    <w:rsid w:val="000B39D4"/>
    <w:rsid w:val="000B3B0E"/>
    <w:rsid w:val="000B3BC3"/>
    <w:rsid w:val="000B3DB7"/>
    <w:rsid w:val="000B4131"/>
    <w:rsid w:val="000B415C"/>
    <w:rsid w:val="000B431A"/>
    <w:rsid w:val="000B4342"/>
    <w:rsid w:val="000B445E"/>
    <w:rsid w:val="000B46BA"/>
    <w:rsid w:val="000B471B"/>
    <w:rsid w:val="000B4930"/>
    <w:rsid w:val="000B4B8B"/>
    <w:rsid w:val="000B4CE3"/>
    <w:rsid w:val="000B4DBC"/>
    <w:rsid w:val="000B4E56"/>
    <w:rsid w:val="000B5224"/>
    <w:rsid w:val="000B57AB"/>
    <w:rsid w:val="000B57CB"/>
    <w:rsid w:val="000B59B2"/>
    <w:rsid w:val="000B59ED"/>
    <w:rsid w:val="000B5CC6"/>
    <w:rsid w:val="000B5D42"/>
    <w:rsid w:val="000B5DFB"/>
    <w:rsid w:val="000B5EA9"/>
    <w:rsid w:val="000B613C"/>
    <w:rsid w:val="000B6396"/>
    <w:rsid w:val="000B664C"/>
    <w:rsid w:val="000B6D04"/>
    <w:rsid w:val="000B6F74"/>
    <w:rsid w:val="000B7083"/>
    <w:rsid w:val="000B71F7"/>
    <w:rsid w:val="000C004D"/>
    <w:rsid w:val="000C07B4"/>
    <w:rsid w:val="000C0838"/>
    <w:rsid w:val="000C0B29"/>
    <w:rsid w:val="000C0CB4"/>
    <w:rsid w:val="000C0D28"/>
    <w:rsid w:val="000C0DDC"/>
    <w:rsid w:val="000C1102"/>
    <w:rsid w:val="000C12C4"/>
    <w:rsid w:val="000C1538"/>
    <w:rsid w:val="000C1897"/>
    <w:rsid w:val="000C1933"/>
    <w:rsid w:val="000C1A45"/>
    <w:rsid w:val="000C1BF8"/>
    <w:rsid w:val="000C1CD6"/>
    <w:rsid w:val="000C1D24"/>
    <w:rsid w:val="000C1E15"/>
    <w:rsid w:val="000C1E3C"/>
    <w:rsid w:val="000C205B"/>
    <w:rsid w:val="000C2143"/>
    <w:rsid w:val="000C2257"/>
    <w:rsid w:val="000C22C8"/>
    <w:rsid w:val="000C2725"/>
    <w:rsid w:val="000C3961"/>
    <w:rsid w:val="000C3AAC"/>
    <w:rsid w:val="000C3CFE"/>
    <w:rsid w:val="000C3D2F"/>
    <w:rsid w:val="000C41B9"/>
    <w:rsid w:val="000C420A"/>
    <w:rsid w:val="000C4572"/>
    <w:rsid w:val="000C4903"/>
    <w:rsid w:val="000C4A36"/>
    <w:rsid w:val="000C4AAC"/>
    <w:rsid w:val="000C4B02"/>
    <w:rsid w:val="000C4E71"/>
    <w:rsid w:val="000C5073"/>
    <w:rsid w:val="000C50C1"/>
    <w:rsid w:val="000C55D2"/>
    <w:rsid w:val="000C581C"/>
    <w:rsid w:val="000C5A89"/>
    <w:rsid w:val="000C5AF3"/>
    <w:rsid w:val="000C5B0D"/>
    <w:rsid w:val="000C5EBA"/>
    <w:rsid w:val="000C60B0"/>
    <w:rsid w:val="000C6408"/>
    <w:rsid w:val="000C66D1"/>
    <w:rsid w:val="000C696E"/>
    <w:rsid w:val="000C69D4"/>
    <w:rsid w:val="000C6A42"/>
    <w:rsid w:val="000C6AF9"/>
    <w:rsid w:val="000C6CC3"/>
    <w:rsid w:val="000C6EE2"/>
    <w:rsid w:val="000C6EF5"/>
    <w:rsid w:val="000C6F33"/>
    <w:rsid w:val="000C7401"/>
    <w:rsid w:val="000C7E2A"/>
    <w:rsid w:val="000C7F49"/>
    <w:rsid w:val="000D0050"/>
    <w:rsid w:val="000D0067"/>
    <w:rsid w:val="000D0527"/>
    <w:rsid w:val="000D054B"/>
    <w:rsid w:val="000D0779"/>
    <w:rsid w:val="000D0A00"/>
    <w:rsid w:val="000D0C5B"/>
    <w:rsid w:val="000D0CFF"/>
    <w:rsid w:val="000D0FC1"/>
    <w:rsid w:val="000D1276"/>
    <w:rsid w:val="000D1539"/>
    <w:rsid w:val="000D15BB"/>
    <w:rsid w:val="000D1647"/>
    <w:rsid w:val="000D1B4B"/>
    <w:rsid w:val="000D22F2"/>
    <w:rsid w:val="000D263F"/>
    <w:rsid w:val="000D2691"/>
    <w:rsid w:val="000D276F"/>
    <w:rsid w:val="000D29B1"/>
    <w:rsid w:val="000D34D9"/>
    <w:rsid w:val="000D3527"/>
    <w:rsid w:val="000D37D2"/>
    <w:rsid w:val="000D3A21"/>
    <w:rsid w:val="000D3C0F"/>
    <w:rsid w:val="000D43EC"/>
    <w:rsid w:val="000D43FD"/>
    <w:rsid w:val="000D459B"/>
    <w:rsid w:val="000D47F7"/>
    <w:rsid w:val="000D4EC1"/>
    <w:rsid w:val="000D5457"/>
    <w:rsid w:val="000D56C4"/>
    <w:rsid w:val="000D5973"/>
    <w:rsid w:val="000D5980"/>
    <w:rsid w:val="000D5A93"/>
    <w:rsid w:val="000D5ACC"/>
    <w:rsid w:val="000D5C1D"/>
    <w:rsid w:val="000D5CB0"/>
    <w:rsid w:val="000D5D2E"/>
    <w:rsid w:val="000D5F8A"/>
    <w:rsid w:val="000D63AF"/>
    <w:rsid w:val="000D65C7"/>
    <w:rsid w:val="000D6CFD"/>
    <w:rsid w:val="000D7235"/>
    <w:rsid w:val="000D727C"/>
    <w:rsid w:val="000D7402"/>
    <w:rsid w:val="000D765D"/>
    <w:rsid w:val="000D7746"/>
    <w:rsid w:val="000D7891"/>
    <w:rsid w:val="000D7896"/>
    <w:rsid w:val="000D793E"/>
    <w:rsid w:val="000D7BF8"/>
    <w:rsid w:val="000D7C89"/>
    <w:rsid w:val="000D7E81"/>
    <w:rsid w:val="000D7ED8"/>
    <w:rsid w:val="000E0026"/>
    <w:rsid w:val="000E04AE"/>
    <w:rsid w:val="000E07D7"/>
    <w:rsid w:val="000E098C"/>
    <w:rsid w:val="000E1117"/>
    <w:rsid w:val="000E1430"/>
    <w:rsid w:val="000E14F5"/>
    <w:rsid w:val="000E1A22"/>
    <w:rsid w:val="000E1BC3"/>
    <w:rsid w:val="000E1CFC"/>
    <w:rsid w:val="000E2245"/>
    <w:rsid w:val="000E2360"/>
    <w:rsid w:val="000E24A4"/>
    <w:rsid w:val="000E2716"/>
    <w:rsid w:val="000E2745"/>
    <w:rsid w:val="000E2776"/>
    <w:rsid w:val="000E2A7A"/>
    <w:rsid w:val="000E2D6D"/>
    <w:rsid w:val="000E3489"/>
    <w:rsid w:val="000E35FF"/>
    <w:rsid w:val="000E378A"/>
    <w:rsid w:val="000E39B8"/>
    <w:rsid w:val="000E3BE7"/>
    <w:rsid w:val="000E3C4B"/>
    <w:rsid w:val="000E3F45"/>
    <w:rsid w:val="000E441F"/>
    <w:rsid w:val="000E49E2"/>
    <w:rsid w:val="000E4C18"/>
    <w:rsid w:val="000E4D3C"/>
    <w:rsid w:val="000E4DB2"/>
    <w:rsid w:val="000E501A"/>
    <w:rsid w:val="000E50C6"/>
    <w:rsid w:val="000E518A"/>
    <w:rsid w:val="000E5575"/>
    <w:rsid w:val="000E5924"/>
    <w:rsid w:val="000E5AA6"/>
    <w:rsid w:val="000E5ECC"/>
    <w:rsid w:val="000E5F57"/>
    <w:rsid w:val="000E60B3"/>
    <w:rsid w:val="000E634F"/>
    <w:rsid w:val="000E63B8"/>
    <w:rsid w:val="000E653D"/>
    <w:rsid w:val="000E6557"/>
    <w:rsid w:val="000E692F"/>
    <w:rsid w:val="000E6B85"/>
    <w:rsid w:val="000E6BB9"/>
    <w:rsid w:val="000E6DE0"/>
    <w:rsid w:val="000E7131"/>
    <w:rsid w:val="000E7203"/>
    <w:rsid w:val="000E7924"/>
    <w:rsid w:val="000E799B"/>
    <w:rsid w:val="000E79DE"/>
    <w:rsid w:val="000E7CE3"/>
    <w:rsid w:val="000F00E8"/>
    <w:rsid w:val="000F0374"/>
    <w:rsid w:val="000F0408"/>
    <w:rsid w:val="000F079F"/>
    <w:rsid w:val="000F09AF"/>
    <w:rsid w:val="000F0B64"/>
    <w:rsid w:val="000F1001"/>
    <w:rsid w:val="000F13F1"/>
    <w:rsid w:val="000F1626"/>
    <w:rsid w:val="000F171B"/>
    <w:rsid w:val="000F17B3"/>
    <w:rsid w:val="000F17CD"/>
    <w:rsid w:val="000F1827"/>
    <w:rsid w:val="000F1B03"/>
    <w:rsid w:val="000F210A"/>
    <w:rsid w:val="000F2328"/>
    <w:rsid w:val="000F2461"/>
    <w:rsid w:val="000F249C"/>
    <w:rsid w:val="000F270F"/>
    <w:rsid w:val="000F2974"/>
    <w:rsid w:val="000F2C38"/>
    <w:rsid w:val="000F2E12"/>
    <w:rsid w:val="000F31C3"/>
    <w:rsid w:val="000F33CE"/>
    <w:rsid w:val="000F34F2"/>
    <w:rsid w:val="000F3605"/>
    <w:rsid w:val="000F36F7"/>
    <w:rsid w:val="000F3ACE"/>
    <w:rsid w:val="000F3FB9"/>
    <w:rsid w:val="000F42FD"/>
    <w:rsid w:val="000F4340"/>
    <w:rsid w:val="000F435B"/>
    <w:rsid w:val="000F47D3"/>
    <w:rsid w:val="000F486B"/>
    <w:rsid w:val="000F4B5E"/>
    <w:rsid w:val="000F4FA9"/>
    <w:rsid w:val="000F5122"/>
    <w:rsid w:val="000F531B"/>
    <w:rsid w:val="000F5653"/>
    <w:rsid w:val="000F5B60"/>
    <w:rsid w:val="000F5FFC"/>
    <w:rsid w:val="000F6275"/>
    <w:rsid w:val="000F6490"/>
    <w:rsid w:val="000F6551"/>
    <w:rsid w:val="000F6553"/>
    <w:rsid w:val="000F677E"/>
    <w:rsid w:val="000F6996"/>
    <w:rsid w:val="000F6B4A"/>
    <w:rsid w:val="000F6C21"/>
    <w:rsid w:val="000F726C"/>
    <w:rsid w:val="000F7293"/>
    <w:rsid w:val="000F7365"/>
    <w:rsid w:val="000F7409"/>
    <w:rsid w:val="000F741C"/>
    <w:rsid w:val="000F765E"/>
    <w:rsid w:val="000F78EB"/>
    <w:rsid w:val="000F79B7"/>
    <w:rsid w:val="000F7A68"/>
    <w:rsid w:val="000F7C92"/>
    <w:rsid w:val="000F7EFC"/>
    <w:rsid w:val="00100345"/>
    <w:rsid w:val="001006A8"/>
    <w:rsid w:val="00100703"/>
    <w:rsid w:val="00100A46"/>
    <w:rsid w:val="00100B6D"/>
    <w:rsid w:val="00100CE2"/>
    <w:rsid w:val="00100DAD"/>
    <w:rsid w:val="0010164D"/>
    <w:rsid w:val="00101ADA"/>
    <w:rsid w:val="00101BD5"/>
    <w:rsid w:val="00101E82"/>
    <w:rsid w:val="001020DF"/>
    <w:rsid w:val="00102231"/>
    <w:rsid w:val="0010270C"/>
    <w:rsid w:val="001029D8"/>
    <w:rsid w:val="00102F40"/>
    <w:rsid w:val="00103170"/>
    <w:rsid w:val="00103258"/>
    <w:rsid w:val="001033C4"/>
    <w:rsid w:val="001035A3"/>
    <w:rsid w:val="001035B3"/>
    <w:rsid w:val="001036B6"/>
    <w:rsid w:val="001037F6"/>
    <w:rsid w:val="00103AD0"/>
    <w:rsid w:val="00103CF8"/>
    <w:rsid w:val="00103E47"/>
    <w:rsid w:val="001041F6"/>
    <w:rsid w:val="001042CD"/>
    <w:rsid w:val="001049C9"/>
    <w:rsid w:val="00104A30"/>
    <w:rsid w:val="00104CBE"/>
    <w:rsid w:val="00104F9C"/>
    <w:rsid w:val="001050AF"/>
    <w:rsid w:val="00105522"/>
    <w:rsid w:val="001056AA"/>
    <w:rsid w:val="001057A7"/>
    <w:rsid w:val="001057C3"/>
    <w:rsid w:val="001057EC"/>
    <w:rsid w:val="00105BB4"/>
    <w:rsid w:val="00105E0D"/>
    <w:rsid w:val="0010625E"/>
    <w:rsid w:val="001062BF"/>
    <w:rsid w:val="00106353"/>
    <w:rsid w:val="0010691B"/>
    <w:rsid w:val="00106B18"/>
    <w:rsid w:val="00106C3D"/>
    <w:rsid w:val="00106ED0"/>
    <w:rsid w:val="0010738A"/>
    <w:rsid w:val="001075BB"/>
    <w:rsid w:val="0010767F"/>
    <w:rsid w:val="00107997"/>
    <w:rsid w:val="00107AB8"/>
    <w:rsid w:val="00107B36"/>
    <w:rsid w:val="00107C56"/>
    <w:rsid w:val="00107CDE"/>
    <w:rsid w:val="001101BC"/>
    <w:rsid w:val="0011024C"/>
    <w:rsid w:val="00110325"/>
    <w:rsid w:val="0011034F"/>
    <w:rsid w:val="001106D2"/>
    <w:rsid w:val="00110F4F"/>
    <w:rsid w:val="00111076"/>
    <w:rsid w:val="001110D2"/>
    <w:rsid w:val="00111166"/>
    <w:rsid w:val="0011130F"/>
    <w:rsid w:val="00111366"/>
    <w:rsid w:val="001116A8"/>
    <w:rsid w:val="001117DB"/>
    <w:rsid w:val="00111BC3"/>
    <w:rsid w:val="00111BD5"/>
    <w:rsid w:val="00111C2A"/>
    <w:rsid w:val="00111E96"/>
    <w:rsid w:val="001128CD"/>
    <w:rsid w:val="00112925"/>
    <w:rsid w:val="0011298F"/>
    <w:rsid w:val="001129CE"/>
    <w:rsid w:val="00112F1E"/>
    <w:rsid w:val="00113025"/>
    <w:rsid w:val="0011307F"/>
    <w:rsid w:val="0011316D"/>
    <w:rsid w:val="001132CB"/>
    <w:rsid w:val="00113E3D"/>
    <w:rsid w:val="00113F2D"/>
    <w:rsid w:val="00114470"/>
    <w:rsid w:val="001149F9"/>
    <w:rsid w:val="00114BA5"/>
    <w:rsid w:val="00114D0D"/>
    <w:rsid w:val="00114DBB"/>
    <w:rsid w:val="00114DE1"/>
    <w:rsid w:val="00115105"/>
    <w:rsid w:val="001156F9"/>
    <w:rsid w:val="00115AC0"/>
    <w:rsid w:val="00115D1C"/>
    <w:rsid w:val="00115DFA"/>
    <w:rsid w:val="00115FFC"/>
    <w:rsid w:val="001162BA"/>
    <w:rsid w:val="00116392"/>
    <w:rsid w:val="001167AC"/>
    <w:rsid w:val="00116A65"/>
    <w:rsid w:val="00116A7A"/>
    <w:rsid w:val="00116CB3"/>
    <w:rsid w:val="00117494"/>
    <w:rsid w:val="001176AA"/>
    <w:rsid w:val="0011784C"/>
    <w:rsid w:val="00117861"/>
    <w:rsid w:val="00117AA6"/>
    <w:rsid w:val="00117B5B"/>
    <w:rsid w:val="00117CEE"/>
    <w:rsid w:val="00117CFF"/>
    <w:rsid w:val="00117D2F"/>
    <w:rsid w:val="00117ED4"/>
    <w:rsid w:val="00117FDD"/>
    <w:rsid w:val="00120365"/>
    <w:rsid w:val="00120547"/>
    <w:rsid w:val="001205CF"/>
    <w:rsid w:val="001206FE"/>
    <w:rsid w:val="00120742"/>
    <w:rsid w:val="00120797"/>
    <w:rsid w:val="00120B21"/>
    <w:rsid w:val="00120EEA"/>
    <w:rsid w:val="00120F2E"/>
    <w:rsid w:val="00120F2F"/>
    <w:rsid w:val="001210A1"/>
    <w:rsid w:val="00121A6A"/>
    <w:rsid w:val="00121BA6"/>
    <w:rsid w:val="00121CA6"/>
    <w:rsid w:val="0012204A"/>
    <w:rsid w:val="001221C7"/>
    <w:rsid w:val="00122739"/>
    <w:rsid w:val="00122A70"/>
    <w:rsid w:val="00122CC0"/>
    <w:rsid w:val="00122E5A"/>
    <w:rsid w:val="00123276"/>
    <w:rsid w:val="0012351D"/>
    <w:rsid w:val="001238FF"/>
    <w:rsid w:val="00123A17"/>
    <w:rsid w:val="00123A83"/>
    <w:rsid w:val="00123C60"/>
    <w:rsid w:val="00123DAB"/>
    <w:rsid w:val="0012415E"/>
    <w:rsid w:val="00124188"/>
    <w:rsid w:val="0012463D"/>
    <w:rsid w:val="00124E00"/>
    <w:rsid w:val="00124ECF"/>
    <w:rsid w:val="0012510F"/>
    <w:rsid w:val="00125209"/>
    <w:rsid w:val="001253DE"/>
    <w:rsid w:val="00125AAD"/>
    <w:rsid w:val="00125BB1"/>
    <w:rsid w:val="00125CF2"/>
    <w:rsid w:val="00126180"/>
    <w:rsid w:val="00126564"/>
    <w:rsid w:val="00126785"/>
    <w:rsid w:val="001268AC"/>
    <w:rsid w:val="00126B77"/>
    <w:rsid w:val="001271C6"/>
    <w:rsid w:val="001271DA"/>
    <w:rsid w:val="001276A3"/>
    <w:rsid w:val="0012770B"/>
    <w:rsid w:val="00127743"/>
    <w:rsid w:val="001277F4"/>
    <w:rsid w:val="00127DD0"/>
    <w:rsid w:val="00130248"/>
    <w:rsid w:val="00130563"/>
    <w:rsid w:val="001308D9"/>
    <w:rsid w:val="00130B2F"/>
    <w:rsid w:val="00130CD2"/>
    <w:rsid w:val="00131012"/>
    <w:rsid w:val="00131327"/>
    <w:rsid w:val="00131748"/>
    <w:rsid w:val="00131A2C"/>
    <w:rsid w:val="00131C6C"/>
    <w:rsid w:val="00131C88"/>
    <w:rsid w:val="00131DB0"/>
    <w:rsid w:val="001321FC"/>
    <w:rsid w:val="0013258B"/>
    <w:rsid w:val="00132712"/>
    <w:rsid w:val="001327CC"/>
    <w:rsid w:val="001328CB"/>
    <w:rsid w:val="00132CFD"/>
    <w:rsid w:val="00132E89"/>
    <w:rsid w:val="00132E9F"/>
    <w:rsid w:val="001336DC"/>
    <w:rsid w:val="001338DD"/>
    <w:rsid w:val="0013394A"/>
    <w:rsid w:val="00133D66"/>
    <w:rsid w:val="00135006"/>
    <w:rsid w:val="00135065"/>
    <w:rsid w:val="00135205"/>
    <w:rsid w:val="001352FA"/>
    <w:rsid w:val="00135415"/>
    <w:rsid w:val="001354F9"/>
    <w:rsid w:val="00135A50"/>
    <w:rsid w:val="00135B57"/>
    <w:rsid w:val="00135DE9"/>
    <w:rsid w:val="00136098"/>
    <w:rsid w:val="0013610C"/>
    <w:rsid w:val="001361E6"/>
    <w:rsid w:val="0013637A"/>
    <w:rsid w:val="001364D3"/>
    <w:rsid w:val="001364DB"/>
    <w:rsid w:val="0013683A"/>
    <w:rsid w:val="00137116"/>
    <w:rsid w:val="00137355"/>
    <w:rsid w:val="00137743"/>
    <w:rsid w:val="0013786C"/>
    <w:rsid w:val="0013786E"/>
    <w:rsid w:val="00137877"/>
    <w:rsid w:val="00137CB8"/>
    <w:rsid w:val="00137D36"/>
    <w:rsid w:val="00137D4A"/>
    <w:rsid w:val="001401AC"/>
    <w:rsid w:val="0014033D"/>
    <w:rsid w:val="0014054C"/>
    <w:rsid w:val="00140555"/>
    <w:rsid w:val="0014055D"/>
    <w:rsid w:val="00140802"/>
    <w:rsid w:val="001409DD"/>
    <w:rsid w:val="00140A4C"/>
    <w:rsid w:val="00140AF0"/>
    <w:rsid w:val="00140F9F"/>
    <w:rsid w:val="00141092"/>
    <w:rsid w:val="00141195"/>
    <w:rsid w:val="0014144F"/>
    <w:rsid w:val="0014156B"/>
    <w:rsid w:val="001415A3"/>
    <w:rsid w:val="001415C7"/>
    <w:rsid w:val="0014176A"/>
    <w:rsid w:val="00141B16"/>
    <w:rsid w:val="00141B81"/>
    <w:rsid w:val="00141CDE"/>
    <w:rsid w:val="00141D69"/>
    <w:rsid w:val="00141EC2"/>
    <w:rsid w:val="00141FB8"/>
    <w:rsid w:val="00142069"/>
    <w:rsid w:val="00142A7B"/>
    <w:rsid w:val="00142E24"/>
    <w:rsid w:val="00142ECA"/>
    <w:rsid w:val="00142FA4"/>
    <w:rsid w:val="0014312E"/>
    <w:rsid w:val="0014345B"/>
    <w:rsid w:val="00143485"/>
    <w:rsid w:val="001435C8"/>
    <w:rsid w:val="001435D5"/>
    <w:rsid w:val="001436ED"/>
    <w:rsid w:val="001439A1"/>
    <w:rsid w:val="001439FC"/>
    <w:rsid w:val="00143A8E"/>
    <w:rsid w:val="00143B61"/>
    <w:rsid w:val="00143D54"/>
    <w:rsid w:val="001443E4"/>
    <w:rsid w:val="00144905"/>
    <w:rsid w:val="00144953"/>
    <w:rsid w:val="00144A70"/>
    <w:rsid w:val="00144DDD"/>
    <w:rsid w:val="00144E42"/>
    <w:rsid w:val="00145261"/>
    <w:rsid w:val="001454C9"/>
    <w:rsid w:val="001455CE"/>
    <w:rsid w:val="00145656"/>
    <w:rsid w:val="00145777"/>
    <w:rsid w:val="001458F8"/>
    <w:rsid w:val="00145D6B"/>
    <w:rsid w:val="00145DCD"/>
    <w:rsid w:val="00145F32"/>
    <w:rsid w:val="00146015"/>
    <w:rsid w:val="00146056"/>
    <w:rsid w:val="001460B2"/>
    <w:rsid w:val="00146201"/>
    <w:rsid w:val="001462D1"/>
    <w:rsid w:val="0014647E"/>
    <w:rsid w:val="00146559"/>
    <w:rsid w:val="00146602"/>
    <w:rsid w:val="001466E3"/>
    <w:rsid w:val="0014672F"/>
    <w:rsid w:val="00146819"/>
    <w:rsid w:val="00146969"/>
    <w:rsid w:val="00146D9A"/>
    <w:rsid w:val="001472A8"/>
    <w:rsid w:val="001473C2"/>
    <w:rsid w:val="00147544"/>
    <w:rsid w:val="00147694"/>
    <w:rsid w:val="001479E1"/>
    <w:rsid w:val="001479F6"/>
    <w:rsid w:val="00147BC2"/>
    <w:rsid w:val="00147F8A"/>
    <w:rsid w:val="001503C7"/>
    <w:rsid w:val="00150803"/>
    <w:rsid w:val="001508FD"/>
    <w:rsid w:val="00150B47"/>
    <w:rsid w:val="00150D04"/>
    <w:rsid w:val="00150D53"/>
    <w:rsid w:val="0015103E"/>
    <w:rsid w:val="00151123"/>
    <w:rsid w:val="001513FC"/>
    <w:rsid w:val="0015162D"/>
    <w:rsid w:val="001517CE"/>
    <w:rsid w:val="0015188E"/>
    <w:rsid w:val="001518C2"/>
    <w:rsid w:val="00151AAA"/>
    <w:rsid w:val="00151D4A"/>
    <w:rsid w:val="00151F0F"/>
    <w:rsid w:val="00151F43"/>
    <w:rsid w:val="0015230C"/>
    <w:rsid w:val="00152370"/>
    <w:rsid w:val="0015259A"/>
    <w:rsid w:val="00152619"/>
    <w:rsid w:val="001526C4"/>
    <w:rsid w:val="0015271B"/>
    <w:rsid w:val="001527D3"/>
    <w:rsid w:val="0015281D"/>
    <w:rsid w:val="001528E5"/>
    <w:rsid w:val="00152A16"/>
    <w:rsid w:val="00152E97"/>
    <w:rsid w:val="00152F75"/>
    <w:rsid w:val="00153281"/>
    <w:rsid w:val="001534A0"/>
    <w:rsid w:val="0015356F"/>
    <w:rsid w:val="00153644"/>
    <w:rsid w:val="001538CC"/>
    <w:rsid w:val="001538FA"/>
    <w:rsid w:val="00154212"/>
    <w:rsid w:val="00154427"/>
    <w:rsid w:val="001544D9"/>
    <w:rsid w:val="00154574"/>
    <w:rsid w:val="001545D1"/>
    <w:rsid w:val="00154AF2"/>
    <w:rsid w:val="00154CBE"/>
    <w:rsid w:val="00154DD2"/>
    <w:rsid w:val="00155132"/>
    <w:rsid w:val="001552B0"/>
    <w:rsid w:val="00155550"/>
    <w:rsid w:val="001555A0"/>
    <w:rsid w:val="00155960"/>
    <w:rsid w:val="00155A40"/>
    <w:rsid w:val="00155BE6"/>
    <w:rsid w:val="00155D92"/>
    <w:rsid w:val="00155DED"/>
    <w:rsid w:val="00155E55"/>
    <w:rsid w:val="00155EDA"/>
    <w:rsid w:val="00155EE9"/>
    <w:rsid w:val="001562BE"/>
    <w:rsid w:val="0015636A"/>
    <w:rsid w:val="00156398"/>
    <w:rsid w:val="001564F7"/>
    <w:rsid w:val="0015663D"/>
    <w:rsid w:val="00156A78"/>
    <w:rsid w:val="00156B6C"/>
    <w:rsid w:val="00156C0D"/>
    <w:rsid w:val="00156C52"/>
    <w:rsid w:val="00156DB9"/>
    <w:rsid w:val="00156E17"/>
    <w:rsid w:val="00157020"/>
    <w:rsid w:val="00157048"/>
    <w:rsid w:val="001576B1"/>
    <w:rsid w:val="00157C03"/>
    <w:rsid w:val="00157E3B"/>
    <w:rsid w:val="00157FD7"/>
    <w:rsid w:val="001600A7"/>
    <w:rsid w:val="001600B5"/>
    <w:rsid w:val="001600EE"/>
    <w:rsid w:val="001602FB"/>
    <w:rsid w:val="0016061A"/>
    <w:rsid w:val="00160775"/>
    <w:rsid w:val="001607C3"/>
    <w:rsid w:val="00160CDA"/>
    <w:rsid w:val="00160E9E"/>
    <w:rsid w:val="00161339"/>
    <w:rsid w:val="0016143F"/>
    <w:rsid w:val="0016178E"/>
    <w:rsid w:val="00161A41"/>
    <w:rsid w:val="00161ABF"/>
    <w:rsid w:val="00161E13"/>
    <w:rsid w:val="001621B1"/>
    <w:rsid w:val="0016262B"/>
    <w:rsid w:val="00162889"/>
    <w:rsid w:val="0016294E"/>
    <w:rsid w:val="00162ACF"/>
    <w:rsid w:val="00163317"/>
    <w:rsid w:val="001635DB"/>
    <w:rsid w:val="00163848"/>
    <w:rsid w:val="0016385C"/>
    <w:rsid w:val="00163F43"/>
    <w:rsid w:val="001646E4"/>
    <w:rsid w:val="00164C1F"/>
    <w:rsid w:val="00164F70"/>
    <w:rsid w:val="00165084"/>
    <w:rsid w:val="00165210"/>
    <w:rsid w:val="00165635"/>
    <w:rsid w:val="00165A76"/>
    <w:rsid w:val="00165E6B"/>
    <w:rsid w:val="001660E9"/>
    <w:rsid w:val="00166348"/>
    <w:rsid w:val="00166362"/>
    <w:rsid w:val="001664A7"/>
    <w:rsid w:val="001664EB"/>
    <w:rsid w:val="001665DB"/>
    <w:rsid w:val="0016663E"/>
    <w:rsid w:val="00166A15"/>
    <w:rsid w:val="00166C2B"/>
    <w:rsid w:val="00166DC7"/>
    <w:rsid w:val="00166F01"/>
    <w:rsid w:val="001670B2"/>
    <w:rsid w:val="001670F4"/>
    <w:rsid w:val="0016720B"/>
    <w:rsid w:val="001673B7"/>
    <w:rsid w:val="0016777D"/>
    <w:rsid w:val="0016787D"/>
    <w:rsid w:val="00167B0A"/>
    <w:rsid w:val="00167C4A"/>
    <w:rsid w:val="00167C7A"/>
    <w:rsid w:val="00167FB3"/>
    <w:rsid w:val="00167FC8"/>
    <w:rsid w:val="0017013A"/>
    <w:rsid w:val="00170210"/>
    <w:rsid w:val="0017044C"/>
    <w:rsid w:val="00170498"/>
    <w:rsid w:val="00170872"/>
    <w:rsid w:val="001709DB"/>
    <w:rsid w:val="00170EFD"/>
    <w:rsid w:val="001712B1"/>
    <w:rsid w:val="00171352"/>
    <w:rsid w:val="001713D4"/>
    <w:rsid w:val="001715B2"/>
    <w:rsid w:val="00171875"/>
    <w:rsid w:val="0017188F"/>
    <w:rsid w:val="001718C3"/>
    <w:rsid w:val="00171A6A"/>
    <w:rsid w:val="00171C32"/>
    <w:rsid w:val="00171C70"/>
    <w:rsid w:val="00171EDC"/>
    <w:rsid w:val="0017222C"/>
    <w:rsid w:val="00172273"/>
    <w:rsid w:val="001726CB"/>
    <w:rsid w:val="00172AEE"/>
    <w:rsid w:val="00172C2A"/>
    <w:rsid w:val="001732FB"/>
    <w:rsid w:val="00173399"/>
    <w:rsid w:val="00173407"/>
    <w:rsid w:val="001738B5"/>
    <w:rsid w:val="00173E2E"/>
    <w:rsid w:val="00173F4E"/>
    <w:rsid w:val="001740FD"/>
    <w:rsid w:val="00174261"/>
    <w:rsid w:val="00174386"/>
    <w:rsid w:val="00174391"/>
    <w:rsid w:val="00174843"/>
    <w:rsid w:val="001748C3"/>
    <w:rsid w:val="00174D8B"/>
    <w:rsid w:val="00175186"/>
    <w:rsid w:val="001754DC"/>
    <w:rsid w:val="0017583C"/>
    <w:rsid w:val="001759D5"/>
    <w:rsid w:val="00175B11"/>
    <w:rsid w:val="00175C07"/>
    <w:rsid w:val="00175D32"/>
    <w:rsid w:val="00176117"/>
    <w:rsid w:val="00176139"/>
    <w:rsid w:val="0017640F"/>
    <w:rsid w:val="001769AA"/>
    <w:rsid w:val="00176F3B"/>
    <w:rsid w:val="00177048"/>
    <w:rsid w:val="00177067"/>
    <w:rsid w:val="00177259"/>
    <w:rsid w:val="0017733D"/>
    <w:rsid w:val="0017758F"/>
    <w:rsid w:val="001776D6"/>
    <w:rsid w:val="0017774C"/>
    <w:rsid w:val="001778BB"/>
    <w:rsid w:val="001778EC"/>
    <w:rsid w:val="00177B80"/>
    <w:rsid w:val="00177F1F"/>
    <w:rsid w:val="00177F68"/>
    <w:rsid w:val="00177F7D"/>
    <w:rsid w:val="00180101"/>
    <w:rsid w:val="00180147"/>
    <w:rsid w:val="00180760"/>
    <w:rsid w:val="00180A11"/>
    <w:rsid w:val="00180B38"/>
    <w:rsid w:val="00180BA2"/>
    <w:rsid w:val="00180DE6"/>
    <w:rsid w:val="001810BD"/>
    <w:rsid w:val="00181266"/>
    <w:rsid w:val="0018138B"/>
    <w:rsid w:val="001816C7"/>
    <w:rsid w:val="001817B5"/>
    <w:rsid w:val="001818BA"/>
    <w:rsid w:val="00181B07"/>
    <w:rsid w:val="00181B45"/>
    <w:rsid w:val="00181CAD"/>
    <w:rsid w:val="00181DB4"/>
    <w:rsid w:val="001823C0"/>
    <w:rsid w:val="001823FB"/>
    <w:rsid w:val="00182624"/>
    <w:rsid w:val="00182914"/>
    <w:rsid w:val="0018294F"/>
    <w:rsid w:val="00182C49"/>
    <w:rsid w:val="00182C69"/>
    <w:rsid w:val="00182F69"/>
    <w:rsid w:val="00183362"/>
    <w:rsid w:val="001833E7"/>
    <w:rsid w:val="001834C4"/>
    <w:rsid w:val="00183651"/>
    <w:rsid w:val="00183847"/>
    <w:rsid w:val="00183984"/>
    <w:rsid w:val="00183EC2"/>
    <w:rsid w:val="00184252"/>
    <w:rsid w:val="001845BA"/>
    <w:rsid w:val="00184757"/>
    <w:rsid w:val="0018498C"/>
    <w:rsid w:val="00184B66"/>
    <w:rsid w:val="00184E77"/>
    <w:rsid w:val="00184F26"/>
    <w:rsid w:val="00185139"/>
    <w:rsid w:val="00185598"/>
    <w:rsid w:val="001857D4"/>
    <w:rsid w:val="0018598D"/>
    <w:rsid w:val="00185ABA"/>
    <w:rsid w:val="00185D32"/>
    <w:rsid w:val="00185D46"/>
    <w:rsid w:val="00185DB5"/>
    <w:rsid w:val="0018613E"/>
    <w:rsid w:val="0018614E"/>
    <w:rsid w:val="0018650C"/>
    <w:rsid w:val="00186695"/>
    <w:rsid w:val="0018677C"/>
    <w:rsid w:val="0018678D"/>
    <w:rsid w:val="00186822"/>
    <w:rsid w:val="0018682F"/>
    <w:rsid w:val="00186DC6"/>
    <w:rsid w:val="00186E3F"/>
    <w:rsid w:val="00187281"/>
    <w:rsid w:val="00187282"/>
    <w:rsid w:val="00187296"/>
    <w:rsid w:val="00187C63"/>
    <w:rsid w:val="00187C73"/>
    <w:rsid w:val="00187E78"/>
    <w:rsid w:val="001900CC"/>
    <w:rsid w:val="001900FC"/>
    <w:rsid w:val="00190443"/>
    <w:rsid w:val="00190483"/>
    <w:rsid w:val="00190491"/>
    <w:rsid w:val="001904F5"/>
    <w:rsid w:val="0019064A"/>
    <w:rsid w:val="0019094C"/>
    <w:rsid w:val="00190E30"/>
    <w:rsid w:val="00190F36"/>
    <w:rsid w:val="0019103B"/>
    <w:rsid w:val="0019157A"/>
    <w:rsid w:val="001917A5"/>
    <w:rsid w:val="001917C4"/>
    <w:rsid w:val="00191B66"/>
    <w:rsid w:val="00191C66"/>
    <w:rsid w:val="00191ED2"/>
    <w:rsid w:val="00191F65"/>
    <w:rsid w:val="00192041"/>
    <w:rsid w:val="0019230F"/>
    <w:rsid w:val="00192753"/>
    <w:rsid w:val="00192958"/>
    <w:rsid w:val="001929F7"/>
    <w:rsid w:val="00192A88"/>
    <w:rsid w:val="00192AF6"/>
    <w:rsid w:val="00193348"/>
    <w:rsid w:val="001933B0"/>
    <w:rsid w:val="00193469"/>
    <w:rsid w:val="001936F1"/>
    <w:rsid w:val="00193A26"/>
    <w:rsid w:val="00193A90"/>
    <w:rsid w:val="00193AA3"/>
    <w:rsid w:val="00193D69"/>
    <w:rsid w:val="001941A9"/>
    <w:rsid w:val="001941BF"/>
    <w:rsid w:val="00194245"/>
    <w:rsid w:val="00194379"/>
    <w:rsid w:val="00194671"/>
    <w:rsid w:val="00194791"/>
    <w:rsid w:val="00194D02"/>
    <w:rsid w:val="00195196"/>
    <w:rsid w:val="001952C6"/>
    <w:rsid w:val="0019538A"/>
    <w:rsid w:val="00195422"/>
    <w:rsid w:val="001954C4"/>
    <w:rsid w:val="00195791"/>
    <w:rsid w:val="001957DB"/>
    <w:rsid w:val="001957E5"/>
    <w:rsid w:val="00195CFE"/>
    <w:rsid w:val="00195E52"/>
    <w:rsid w:val="00195EFF"/>
    <w:rsid w:val="00196458"/>
    <w:rsid w:val="00196511"/>
    <w:rsid w:val="00196734"/>
    <w:rsid w:val="00196C70"/>
    <w:rsid w:val="00196CCD"/>
    <w:rsid w:val="00196D1B"/>
    <w:rsid w:val="00196FDD"/>
    <w:rsid w:val="00196FE1"/>
    <w:rsid w:val="00196FFB"/>
    <w:rsid w:val="001971B5"/>
    <w:rsid w:val="0019740B"/>
    <w:rsid w:val="001976F8"/>
    <w:rsid w:val="00197AAA"/>
    <w:rsid w:val="00197B3E"/>
    <w:rsid w:val="00197DD7"/>
    <w:rsid w:val="001A0060"/>
    <w:rsid w:val="001A0139"/>
    <w:rsid w:val="001A036E"/>
    <w:rsid w:val="001A03DF"/>
    <w:rsid w:val="001A06EA"/>
    <w:rsid w:val="001A0FD7"/>
    <w:rsid w:val="001A132F"/>
    <w:rsid w:val="001A19AE"/>
    <w:rsid w:val="001A1A6A"/>
    <w:rsid w:val="001A1DD0"/>
    <w:rsid w:val="001A1F5A"/>
    <w:rsid w:val="001A2082"/>
    <w:rsid w:val="001A2655"/>
    <w:rsid w:val="001A26E7"/>
    <w:rsid w:val="001A2942"/>
    <w:rsid w:val="001A2D57"/>
    <w:rsid w:val="001A2DE1"/>
    <w:rsid w:val="001A304E"/>
    <w:rsid w:val="001A305B"/>
    <w:rsid w:val="001A310E"/>
    <w:rsid w:val="001A349F"/>
    <w:rsid w:val="001A35BA"/>
    <w:rsid w:val="001A3870"/>
    <w:rsid w:val="001A3F24"/>
    <w:rsid w:val="001A3F2D"/>
    <w:rsid w:val="001A3FDE"/>
    <w:rsid w:val="001A40E2"/>
    <w:rsid w:val="001A486F"/>
    <w:rsid w:val="001A49C1"/>
    <w:rsid w:val="001A49E2"/>
    <w:rsid w:val="001A4B1A"/>
    <w:rsid w:val="001A4B7F"/>
    <w:rsid w:val="001A4F23"/>
    <w:rsid w:val="001A4FF9"/>
    <w:rsid w:val="001A5082"/>
    <w:rsid w:val="001A52CE"/>
    <w:rsid w:val="001A54A5"/>
    <w:rsid w:val="001A54F3"/>
    <w:rsid w:val="001A59A4"/>
    <w:rsid w:val="001A5A9D"/>
    <w:rsid w:val="001A5AF9"/>
    <w:rsid w:val="001A5BD9"/>
    <w:rsid w:val="001A5C69"/>
    <w:rsid w:val="001A5DD0"/>
    <w:rsid w:val="001A5FE9"/>
    <w:rsid w:val="001A6016"/>
    <w:rsid w:val="001A6133"/>
    <w:rsid w:val="001A62DD"/>
    <w:rsid w:val="001A6767"/>
    <w:rsid w:val="001A693E"/>
    <w:rsid w:val="001A6BC1"/>
    <w:rsid w:val="001A6CBF"/>
    <w:rsid w:val="001A6EB0"/>
    <w:rsid w:val="001A749A"/>
    <w:rsid w:val="001A75C9"/>
    <w:rsid w:val="001A7785"/>
    <w:rsid w:val="001A7BFD"/>
    <w:rsid w:val="001A7C04"/>
    <w:rsid w:val="001B04EF"/>
    <w:rsid w:val="001B0C81"/>
    <w:rsid w:val="001B0FE0"/>
    <w:rsid w:val="001B11E9"/>
    <w:rsid w:val="001B12DF"/>
    <w:rsid w:val="001B136B"/>
    <w:rsid w:val="001B13B8"/>
    <w:rsid w:val="001B13DD"/>
    <w:rsid w:val="001B15CF"/>
    <w:rsid w:val="001B16D1"/>
    <w:rsid w:val="001B1C1E"/>
    <w:rsid w:val="001B2242"/>
    <w:rsid w:val="001B2316"/>
    <w:rsid w:val="001B27B2"/>
    <w:rsid w:val="001B2C18"/>
    <w:rsid w:val="001B30A0"/>
    <w:rsid w:val="001B340A"/>
    <w:rsid w:val="001B3773"/>
    <w:rsid w:val="001B3AFC"/>
    <w:rsid w:val="001B3D15"/>
    <w:rsid w:val="001B3DBC"/>
    <w:rsid w:val="001B3E2A"/>
    <w:rsid w:val="001B403E"/>
    <w:rsid w:val="001B4076"/>
    <w:rsid w:val="001B4177"/>
    <w:rsid w:val="001B4292"/>
    <w:rsid w:val="001B439F"/>
    <w:rsid w:val="001B46BC"/>
    <w:rsid w:val="001B48A8"/>
    <w:rsid w:val="001B4910"/>
    <w:rsid w:val="001B4DA7"/>
    <w:rsid w:val="001B4DE0"/>
    <w:rsid w:val="001B4F6B"/>
    <w:rsid w:val="001B52B0"/>
    <w:rsid w:val="001B5374"/>
    <w:rsid w:val="001B55E8"/>
    <w:rsid w:val="001B5757"/>
    <w:rsid w:val="001B5AE6"/>
    <w:rsid w:val="001B5D60"/>
    <w:rsid w:val="001B5D6D"/>
    <w:rsid w:val="001B5D98"/>
    <w:rsid w:val="001B5EC8"/>
    <w:rsid w:val="001B6219"/>
    <w:rsid w:val="001B62A1"/>
    <w:rsid w:val="001B6455"/>
    <w:rsid w:val="001B652A"/>
    <w:rsid w:val="001B66BD"/>
    <w:rsid w:val="001B6817"/>
    <w:rsid w:val="001B68A4"/>
    <w:rsid w:val="001B68E3"/>
    <w:rsid w:val="001B6B3B"/>
    <w:rsid w:val="001B6BAE"/>
    <w:rsid w:val="001B6C1A"/>
    <w:rsid w:val="001B6C5A"/>
    <w:rsid w:val="001B6E80"/>
    <w:rsid w:val="001B6FF1"/>
    <w:rsid w:val="001B714B"/>
    <w:rsid w:val="001B7161"/>
    <w:rsid w:val="001B7361"/>
    <w:rsid w:val="001B736A"/>
    <w:rsid w:val="001B74A0"/>
    <w:rsid w:val="001B781F"/>
    <w:rsid w:val="001B7907"/>
    <w:rsid w:val="001B7A60"/>
    <w:rsid w:val="001B7C8D"/>
    <w:rsid w:val="001B7D4D"/>
    <w:rsid w:val="001C01A2"/>
    <w:rsid w:val="001C03B7"/>
    <w:rsid w:val="001C05B8"/>
    <w:rsid w:val="001C06DA"/>
    <w:rsid w:val="001C08EF"/>
    <w:rsid w:val="001C0B8C"/>
    <w:rsid w:val="001C0FD7"/>
    <w:rsid w:val="001C1102"/>
    <w:rsid w:val="001C17E6"/>
    <w:rsid w:val="001C1C1B"/>
    <w:rsid w:val="001C225D"/>
    <w:rsid w:val="001C22CF"/>
    <w:rsid w:val="001C2733"/>
    <w:rsid w:val="001C296F"/>
    <w:rsid w:val="001C2A1B"/>
    <w:rsid w:val="001C2E37"/>
    <w:rsid w:val="001C2F0D"/>
    <w:rsid w:val="001C2F64"/>
    <w:rsid w:val="001C3526"/>
    <w:rsid w:val="001C35FB"/>
    <w:rsid w:val="001C36EC"/>
    <w:rsid w:val="001C381C"/>
    <w:rsid w:val="001C3A28"/>
    <w:rsid w:val="001C3AAB"/>
    <w:rsid w:val="001C3DD5"/>
    <w:rsid w:val="001C3E9F"/>
    <w:rsid w:val="001C41B1"/>
    <w:rsid w:val="001C42BF"/>
    <w:rsid w:val="001C4899"/>
    <w:rsid w:val="001C48A3"/>
    <w:rsid w:val="001C4D90"/>
    <w:rsid w:val="001C51A7"/>
    <w:rsid w:val="001C5315"/>
    <w:rsid w:val="001C5A5B"/>
    <w:rsid w:val="001C60D4"/>
    <w:rsid w:val="001C616E"/>
    <w:rsid w:val="001C625C"/>
    <w:rsid w:val="001C6267"/>
    <w:rsid w:val="001C63B8"/>
    <w:rsid w:val="001C66CC"/>
    <w:rsid w:val="001C6E0A"/>
    <w:rsid w:val="001C71B2"/>
    <w:rsid w:val="001C77CA"/>
    <w:rsid w:val="001C77EF"/>
    <w:rsid w:val="001C7985"/>
    <w:rsid w:val="001C7A57"/>
    <w:rsid w:val="001C7FCA"/>
    <w:rsid w:val="001D00F1"/>
    <w:rsid w:val="001D0477"/>
    <w:rsid w:val="001D0668"/>
    <w:rsid w:val="001D0703"/>
    <w:rsid w:val="001D086D"/>
    <w:rsid w:val="001D08D5"/>
    <w:rsid w:val="001D09C8"/>
    <w:rsid w:val="001D0EE0"/>
    <w:rsid w:val="001D0F42"/>
    <w:rsid w:val="001D1083"/>
    <w:rsid w:val="001D118D"/>
    <w:rsid w:val="001D1C60"/>
    <w:rsid w:val="001D1D5B"/>
    <w:rsid w:val="001D1DA4"/>
    <w:rsid w:val="001D1EF9"/>
    <w:rsid w:val="001D2334"/>
    <w:rsid w:val="001D26D4"/>
    <w:rsid w:val="001D28F4"/>
    <w:rsid w:val="001D2A90"/>
    <w:rsid w:val="001D2AA8"/>
    <w:rsid w:val="001D2DBF"/>
    <w:rsid w:val="001D2E11"/>
    <w:rsid w:val="001D2F04"/>
    <w:rsid w:val="001D2FA6"/>
    <w:rsid w:val="001D32AC"/>
    <w:rsid w:val="001D32B1"/>
    <w:rsid w:val="001D32BC"/>
    <w:rsid w:val="001D3318"/>
    <w:rsid w:val="001D36AC"/>
    <w:rsid w:val="001D3AC0"/>
    <w:rsid w:val="001D3B15"/>
    <w:rsid w:val="001D3B43"/>
    <w:rsid w:val="001D3DEE"/>
    <w:rsid w:val="001D3EDB"/>
    <w:rsid w:val="001D4007"/>
    <w:rsid w:val="001D4666"/>
    <w:rsid w:val="001D4EB9"/>
    <w:rsid w:val="001D4FD0"/>
    <w:rsid w:val="001D5764"/>
    <w:rsid w:val="001D57B0"/>
    <w:rsid w:val="001D5DCF"/>
    <w:rsid w:val="001D6235"/>
    <w:rsid w:val="001D62C8"/>
    <w:rsid w:val="001D631C"/>
    <w:rsid w:val="001D65D0"/>
    <w:rsid w:val="001D6699"/>
    <w:rsid w:val="001D66C8"/>
    <w:rsid w:val="001D67F8"/>
    <w:rsid w:val="001D6C22"/>
    <w:rsid w:val="001D6DC4"/>
    <w:rsid w:val="001D6DDF"/>
    <w:rsid w:val="001D6F53"/>
    <w:rsid w:val="001D6FAE"/>
    <w:rsid w:val="001D7349"/>
    <w:rsid w:val="001D7612"/>
    <w:rsid w:val="001D7A01"/>
    <w:rsid w:val="001D7A0A"/>
    <w:rsid w:val="001D7ECE"/>
    <w:rsid w:val="001E00C4"/>
    <w:rsid w:val="001E06E2"/>
    <w:rsid w:val="001E06FD"/>
    <w:rsid w:val="001E0843"/>
    <w:rsid w:val="001E0940"/>
    <w:rsid w:val="001E0B7F"/>
    <w:rsid w:val="001E0D28"/>
    <w:rsid w:val="001E10FE"/>
    <w:rsid w:val="001E11DB"/>
    <w:rsid w:val="001E1210"/>
    <w:rsid w:val="001E12FE"/>
    <w:rsid w:val="001E14C0"/>
    <w:rsid w:val="001E1528"/>
    <w:rsid w:val="001E1621"/>
    <w:rsid w:val="001E18D5"/>
    <w:rsid w:val="001E1947"/>
    <w:rsid w:val="001E1B2B"/>
    <w:rsid w:val="001E263D"/>
    <w:rsid w:val="001E2665"/>
    <w:rsid w:val="001E271D"/>
    <w:rsid w:val="001E2739"/>
    <w:rsid w:val="001E290F"/>
    <w:rsid w:val="001E2C66"/>
    <w:rsid w:val="001E2CB1"/>
    <w:rsid w:val="001E2E51"/>
    <w:rsid w:val="001E3554"/>
    <w:rsid w:val="001E35BD"/>
    <w:rsid w:val="001E36AB"/>
    <w:rsid w:val="001E36E7"/>
    <w:rsid w:val="001E39B6"/>
    <w:rsid w:val="001E3A1C"/>
    <w:rsid w:val="001E3A1E"/>
    <w:rsid w:val="001E3DB6"/>
    <w:rsid w:val="001E40E0"/>
    <w:rsid w:val="001E4298"/>
    <w:rsid w:val="001E45E6"/>
    <w:rsid w:val="001E49A6"/>
    <w:rsid w:val="001E4CDE"/>
    <w:rsid w:val="001E4E6A"/>
    <w:rsid w:val="001E4F75"/>
    <w:rsid w:val="001E4FE9"/>
    <w:rsid w:val="001E52AE"/>
    <w:rsid w:val="001E57A7"/>
    <w:rsid w:val="001E5988"/>
    <w:rsid w:val="001E5C25"/>
    <w:rsid w:val="001E5EBA"/>
    <w:rsid w:val="001E5F30"/>
    <w:rsid w:val="001E612C"/>
    <w:rsid w:val="001E6228"/>
    <w:rsid w:val="001E632C"/>
    <w:rsid w:val="001E66C3"/>
    <w:rsid w:val="001E67AE"/>
    <w:rsid w:val="001E6B96"/>
    <w:rsid w:val="001E6D12"/>
    <w:rsid w:val="001E72AD"/>
    <w:rsid w:val="001E7329"/>
    <w:rsid w:val="001E73F0"/>
    <w:rsid w:val="001E74CC"/>
    <w:rsid w:val="001E74DC"/>
    <w:rsid w:val="001E780A"/>
    <w:rsid w:val="001E79EE"/>
    <w:rsid w:val="001E7AC6"/>
    <w:rsid w:val="001E7BC4"/>
    <w:rsid w:val="001E7F4C"/>
    <w:rsid w:val="001F0030"/>
    <w:rsid w:val="001F023F"/>
    <w:rsid w:val="001F02E9"/>
    <w:rsid w:val="001F04EA"/>
    <w:rsid w:val="001F0547"/>
    <w:rsid w:val="001F07ED"/>
    <w:rsid w:val="001F083B"/>
    <w:rsid w:val="001F0943"/>
    <w:rsid w:val="001F0D0E"/>
    <w:rsid w:val="001F12F6"/>
    <w:rsid w:val="001F165B"/>
    <w:rsid w:val="001F1AD7"/>
    <w:rsid w:val="001F1D04"/>
    <w:rsid w:val="001F1F56"/>
    <w:rsid w:val="001F2072"/>
    <w:rsid w:val="001F25EB"/>
    <w:rsid w:val="001F25FC"/>
    <w:rsid w:val="001F2BED"/>
    <w:rsid w:val="001F2C5B"/>
    <w:rsid w:val="001F2E15"/>
    <w:rsid w:val="001F31F6"/>
    <w:rsid w:val="001F330A"/>
    <w:rsid w:val="001F34CF"/>
    <w:rsid w:val="001F3563"/>
    <w:rsid w:val="001F3A1E"/>
    <w:rsid w:val="001F3BB9"/>
    <w:rsid w:val="001F3ED7"/>
    <w:rsid w:val="001F40E3"/>
    <w:rsid w:val="001F43DA"/>
    <w:rsid w:val="001F4608"/>
    <w:rsid w:val="001F4649"/>
    <w:rsid w:val="001F4734"/>
    <w:rsid w:val="001F487A"/>
    <w:rsid w:val="001F4A5F"/>
    <w:rsid w:val="001F4D0D"/>
    <w:rsid w:val="001F4D78"/>
    <w:rsid w:val="001F4E01"/>
    <w:rsid w:val="001F5690"/>
    <w:rsid w:val="001F59D6"/>
    <w:rsid w:val="001F5A69"/>
    <w:rsid w:val="001F5AF9"/>
    <w:rsid w:val="001F5BBA"/>
    <w:rsid w:val="001F5F9D"/>
    <w:rsid w:val="001F64A5"/>
    <w:rsid w:val="001F64FE"/>
    <w:rsid w:val="001F66EA"/>
    <w:rsid w:val="001F67EB"/>
    <w:rsid w:val="001F68C0"/>
    <w:rsid w:val="001F6938"/>
    <w:rsid w:val="001F69F3"/>
    <w:rsid w:val="001F6D60"/>
    <w:rsid w:val="001F7589"/>
    <w:rsid w:val="001F769F"/>
    <w:rsid w:val="001F7711"/>
    <w:rsid w:val="001F778C"/>
    <w:rsid w:val="001F7AE0"/>
    <w:rsid w:val="0020035A"/>
    <w:rsid w:val="002003A4"/>
    <w:rsid w:val="00200714"/>
    <w:rsid w:val="00200783"/>
    <w:rsid w:val="00200976"/>
    <w:rsid w:val="002009E4"/>
    <w:rsid w:val="00200AFC"/>
    <w:rsid w:val="00200EF6"/>
    <w:rsid w:val="00201171"/>
    <w:rsid w:val="002015E9"/>
    <w:rsid w:val="002016A5"/>
    <w:rsid w:val="002019CF"/>
    <w:rsid w:val="002019FB"/>
    <w:rsid w:val="00201A25"/>
    <w:rsid w:val="00201F2B"/>
    <w:rsid w:val="002024BE"/>
    <w:rsid w:val="0020264D"/>
    <w:rsid w:val="002027AD"/>
    <w:rsid w:val="002029B0"/>
    <w:rsid w:val="00202F36"/>
    <w:rsid w:val="00202FD7"/>
    <w:rsid w:val="0020302A"/>
    <w:rsid w:val="002035D2"/>
    <w:rsid w:val="002038B1"/>
    <w:rsid w:val="00203ACF"/>
    <w:rsid w:val="00203B78"/>
    <w:rsid w:val="00203F05"/>
    <w:rsid w:val="00203F99"/>
    <w:rsid w:val="00204067"/>
    <w:rsid w:val="00204144"/>
    <w:rsid w:val="00204300"/>
    <w:rsid w:val="002043E0"/>
    <w:rsid w:val="0020444D"/>
    <w:rsid w:val="00204542"/>
    <w:rsid w:val="002045BA"/>
    <w:rsid w:val="0020487A"/>
    <w:rsid w:val="00204B9D"/>
    <w:rsid w:val="00204FD1"/>
    <w:rsid w:val="0020521F"/>
    <w:rsid w:val="0020526C"/>
    <w:rsid w:val="0020529B"/>
    <w:rsid w:val="0020541C"/>
    <w:rsid w:val="002054A1"/>
    <w:rsid w:val="00205516"/>
    <w:rsid w:val="0020566C"/>
    <w:rsid w:val="00205784"/>
    <w:rsid w:val="00205D65"/>
    <w:rsid w:val="00205DD1"/>
    <w:rsid w:val="002063AA"/>
    <w:rsid w:val="002065AE"/>
    <w:rsid w:val="00207144"/>
    <w:rsid w:val="00207673"/>
    <w:rsid w:val="002076E8"/>
    <w:rsid w:val="002078F7"/>
    <w:rsid w:val="00207957"/>
    <w:rsid w:val="00207D65"/>
    <w:rsid w:val="00207E25"/>
    <w:rsid w:val="00207E89"/>
    <w:rsid w:val="00207F56"/>
    <w:rsid w:val="0021039D"/>
    <w:rsid w:val="00210839"/>
    <w:rsid w:val="00210A02"/>
    <w:rsid w:val="00210C84"/>
    <w:rsid w:val="00210E1B"/>
    <w:rsid w:val="00210F90"/>
    <w:rsid w:val="00211007"/>
    <w:rsid w:val="002110E4"/>
    <w:rsid w:val="002112A2"/>
    <w:rsid w:val="0021157A"/>
    <w:rsid w:val="0021170E"/>
    <w:rsid w:val="00211724"/>
    <w:rsid w:val="00211764"/>
    <w:rsid w:val="0021249D"/>
    <w:rsid w:val="00212589"/>
    <w:rsid w:val="002127BC"/>
    <w:rsid w:val="00212B03"/>
    <w:rsid w:val="00212DB9"/>
    <w:rsid w:val="00212F80"/>
    <w:rsid w:val="0021312C"/>
    <w:rsid w:val="002131C3"/>
    <w:rsid w:val="0021323C"/>
    <w:rsid w:val="00213477"/>
    <w:rsid w:val="002134B3"/>
    <w:rsid w:val="002135B8"/>
    <w:rsid w:val="00213883"/>
    <w:rsid w:val="0021396F"/>
    <w:rsid w:val="00213CC1"/>
    <w:rsid w:val="00213FBC"/>
    <w:rsid w:val="00213FF8"/>
    <w:rsid w:val="00214076"/>
    <w:rsid w:val="002143DA"/>
    <w:rsid w:val="002146DA"/>
    <w:rsid w:val="002148CA"/>
    <w:rsid w:val="00214A2A"/>
    <w:rsid w:val="00215077"/>
    <w:rsid w:val="0021522A"/>
    <w:rsid w:val="0021525E"/>
    <w:rsid w:val="0021536E"/>
    <w:rsid w:val="00215488"/>
    <w:rsid w:val="002154A1"/>
    <w:rsid w:val="00215B72"/>
    <w:rsid w:val="00215E25"/>
    <w:rsid w:val="00215EA3"/>
    <w:rsid w:val="00215FE3"/>
    <w:rsid w:val="002162E8"/>
    <w:rsid w:val="0021639C"/>
    <w:rsid w:val="0021666B"/>
    <w:rsid w:val="002169BF"/>
    <w:rsid w:val="002169CB"/>
    <w:rsid w:val="00216A42"/>
    <w:rsid w:val="00216A7C"/>
    <w:rsid w:val="00217008"/>
    <w:rsid w:val="0021774E"/>
    <w:rsid w:val="00217971"/>
    <w:rsid w:val="00217C34"/>
    <w:rsid w:val="00217D73"/>
    <w:rsid w:val="00220286"/>
    <w:rsid w:val="00220299"/>
    <w:rsid w:val="002203AB"/>
    <w:rsid w:val="00220AF0"/>
    <w:rsid w:val="00220B38"/>
    <w:rsid w:val="0022126C"/>
    <w:rsid w:val="0022148A"/>
    <w:rsid w:val="0022168A"/>
    <w:rsid w:val="00221691"/>
    <w:rsid w:val="0022181D"/>
    <w:rsid w:val="002218A8"/>
    <w:rsid w:val="00221B4A"/>
    <w:rsid w:val="00221C66"/>
    <w:rsid w:val="00221D85"/>
    <w:rsid w:val="0022234A"/>
    <w:rsid w:val="002227A6"/>
    <w:rsid w:val="00222CEB"/>
    <w:rsid w:val="00222D53"/>
    <w:rsid w:val="002230AF"/>
    <w:rsid w:val="00223526"/>
    <w:rsid w:val="002237C9"/>
    <w:rsid w:val="00223D73"/>
    <w:rsid w:val="00223D7D"/>
    <w:rsid w:val="00223E65"/>
    <w:rsid w:val="00223E6C"/>
    <w:rsid w:val="00223FDF"/>
    <w:rsid w:val="0022401B"/>
    <w:rsid w:val="00224099"/>
    <w:rsid w:val="002243AB"/>
    <w:rsid w:val="002245D0"/>
    <w:rsid w:val="00224721"/>
    <w:rsid w:val="00224835"/>
    <w:rsid w:val="002248E3"/>
    <w:rsid w:val="00224BF5"/>
    <w:rsid w:val="00224E34"/>
    <w:rsid w:val="00224EDD"/>
    <w:rsid w:val="00225017"/>
    <w:rsid w:val="00225194"/>
    <w:rsid w:val="002256C8"/>
    <w:rsid w:val="002259A0"/>
    <w:rsid w:val="00225DBF"/>
    <w:rsid w:val="00226263"/>
    <w:rsid w:val="002265C2"/>
    <w:rsid w:val="002265FB"/>
    <w:rsid w:val="002266AD"/>
    <w:rsid w:val="00226703"/>
    <w:rsid w:val="00226833"/>
    <w:rsid w:val="0022691E"/>
    <w:rsid w:val="00226F2D"/>
    <w:rsid w:val="00227120"/>
    <w:rsid w:val="00227176"/>
    <w:rsid w:val="0022731E"/>
    <w:rsid w:val="00227377"/>
    <w:rsid w:val="0022738B"/>
    <w:rsid w:val="00227883"/>
    <w:rsid w:val="00227A05"/>
    <w:rsid w:val="00227B64"/>
    <w:rsid w:val="00227CF2"/>
    <w:rsid w:val="00227D1E"/>
    <w:rsid w:val="00230104"/>
    <w:rsid w:val="00230251"/>
    <w:rsid w:val="00230B98"/>
    <w:rsid w:val="00230CA1"/>
    <w:rsid w:val="00230FDC"/>
    <w:rsid w:val="00231003"/>
    <w:rsid w:val="002315FE"/>
    <w:rsid w:val="002316FE"/>
    <w:rsid w:val="00231D09"/>
    <w:rsid w:val="00231E09"/>
    <w:rsid w:val="00231F4C"/>
    <w:rsid w:val="002321E5"/>
    <w:rsid w:val="002322B6"/>
    <w:rsid w:val="002322F8"/>
    <w:rsid w:val="00232346"/>
    <w:rsid w:val="00232448"/>
    <w:rsid w:val="0023270E"/>
    <w:rsid w:val="00232B1D"/>
    <w:rsid w:val="00232F24"/>
    <w:rsid w:val="00232FBA"/>
    <w:rsid w:val="00233039"/>
    <w:rsid w:val="00233154"/>
    <w:rsid w:val="0023316C"/>
    <w:rsid w:val="0023366D"/>
    <w:rsid w:val="002338EA"/>
    <w:rsid w:val="00233A3E"/>
    <w:rsid w:val="00233DD0"/>
    <w:rsid w:val="002341E6"/>
    <w:rsid w:val="002343E6"/>
    <w:rsid w:val="0023447A"/>
    <w:rsid w:val="00234BCD"/>
    <w:rsid w:val="00234D49"/>
    <w:rsid w:val="00234EE7"/>
    <w:rsid w:val="00235116"/>
    <w:rsid w:val="00235180"/>
    <w:rsid w:val="002352B8"/>
    <w:rsid w:val="002355C8"/>
    <w:rsid w:val="002359C1"/>
    <w:rsid w:val="00235FA5"/>
    <w:rsid w:val="0023616A"/>
    <w:rsid w:val="00236338"/>
    <w:rsid w:val="0023672D"/>
    <w:rsid w:val="00236779"/>
    <w:rsid w:val="002368F6"/>
    <w:rsid w:val="00236995"/>
    <w:rsid w:val="00236C19"/>
    <w:rsid w:val="00236DA8"/>
    <w:rsid w:val="00236F60"/>
    <w:rsid w:val="00236FEE"/>
    <w:rsid w:val="002372B9"/>
    <w:rsid w:val="00237697"/>
    <w:rsid w:val="00237926"/>
    <w:rsid w:val="00237A4A"/>
    <w:rsid w:val="00237A76"/>
    <w:rsid w:val="00237E2E"/>
    <w:rsid w:val="002400F4"/>
    <w:rsid w:val="00240127"/>
    <w:rsid w:val="0024045E"/>
    <w:rsid w:val="002404A8"/>
    <w:rsid w:val="0024061E"/>
    <w:rsid w:val="00240791"/>
    <w:rsid w:val="00240906"/>
    <w:rsid w:val="00240A8F"/>
    <w:rsid w:val="00240B4E"/>
    <w:rsid w:val="00240C8B"/>
    <w:rsid w:val="00240CB5"/>
    <w:rsid w:val="00240D62"/>
    <w:rsid w:val="00240F97"/>
    <w:rsid w:val="002411D5"/>
    <w:rsid w:val="00241365"/>
    <w:rsid w:val="002413B8"/>
    <w:rsid w:val="0024147F"/>
    <w:rsid w:val="00241786"/>
    <w:rsid w:val="0024194F"/>
    <w:rsid w:val="002419C2"/>
    <w:rsid w:val="0024213A"/>
    <w:rsid w:val="0024223D"/>
    <w:rsid w:val="0024231A"/>
    <w:rsid w:val="002424B2"/>
    <w:rsid w:val="002424B8"/>
    <w:rsid w:val="002424FD"/>
    <w:rsid w:val="00242543"/>
    <w:rsid w:val="002427A7"/>
    <w:rsid w:val="002428BE"/>
    <w:rsid w:val="00242A92"/>
    <w:rsid w:val="00242CFD"/>
    <w:rsid w:val="0024313D"/>
    <w:rsid w:val="002431A2"/>
    <w:rsid w:val="0024334A"/>
    <w:rsid w:val="002433EC"/>
    <w:rsid w:val="00243416"/>
    <w:rsid w:val="002437F8"/>
    <w:rsid w:val="002439D3"/>
    <w:rsid w:val="00243AAE"/>
    <w:rsid w:val="00243B92"/>
    <w:rsid w:val="00243C54"/>
    <w:rsid w:val="00243FA8"/>
    <w:rsid w:val="002440BE"/>
    <w:rsid w:val="0024427C"/>
    <w:rsid w:val="002442D6"/>
    <w:rsid w:val="00244516"/>
    <w:rsid w:val="00244573"/>
    <w:rsid w:val="0024479E"/>
    <w:rsid w:val="002447B5"/>
    <w:rsid w:val="002448E4"/>
    <w:rsid w:val="00244BA1"/>
    <w:rsid w:val="00244D3F"/>
    <w:rsid w:val="00244F34"/>
    <w:rsid w:val="00245604"/>
    <w:rsid w:val="002457A3"/>
    <w:rsid w:val="002458E3"/>
    <w:rsid w:val="00245BEA"/>
    <w:rsid w:val="00245C54"/>
    <w:rsid w:val="00245D32"/>
    <w:rsid w:val="00245E36"/>
    <w:rsid w:val="00245EBD"/>
    <w:rsid w:val="00246048"/>
    <w:rsid w:val="002462F8"/>
    <w:rsid w:val="002463F5"/>
    <w:rsid w:val="002465FF"/>
    <w:rsid w:val="002466B0"/>
    <w:rsid w:val="0024677B"/>
    <w:rsid w:val="00246A75"/>
    <w:rsid w:val="00246AD9"/>
    <w:rsid w:val="00246AE6"/>
    <w:rsid w:val="00246E2D"/>
    <w:rsid w:val="00247174"/>
    <w:rsid w:val="002477A4"/>
    <w:rsid w:val="00247BB0"/>
    <w:rsid w:val="00247CBA"/>
    <w:rsid w:val="00247E24"/>
    <w:rsid w:val="00247E69"/>
    <w:rsid w:val="00250030"/>
    <w:rsid w:val="00250589"/>
    <w:rsid w:val="00250AFA"/>
    <w:rsid w:val="00250C44"/>
    <w:rsid w:val="00250D41"/>
    <w:rsid w:val="00250F25"/>
    <w:rsid w:val="002513B9"/>
    <w:rsid w:val="002513F6"/>
    <w:rsid w:val="00251579"/>
    <w:rsid w:val="0025178B"/>
    <w:rsid w:val="00251834"/>
    <w:rsid w:val="00251C0D"/>
    <w:rsid w:val="00251E6D"/>
    <w:rsid w:val="0025229B"/>
    <w:rsid w:val="002525F5"/>
    <w:rsid w:val="0025269F"/>
    <w:rsid w:val="00252D12"/>
    <w:rsid w:val="00252DDF"/>
    <w:rsid w:val="00252EEB"/>
    <w:rsid w:val="00253149"/>
    <w:rsid w:val="0025322C"/>
    <w:rsid w:val="00253270"/>
    <w:rsid w:val="00253611"/>
    <w:rsid w:val="00253743"/>
    <w:rsid w:val="0025378F"/>
    <w:rsid w:val="00253B49"/>
    <w:rsid w:val="00253B6D"/>
    <w:rsid w:val="00253CD3"/>
    <w:rsid w:val="00253D7C"/>
    <w:rsid w:val="00253E20"/>
    <w:rsid w:val="00253EB6"/>
    <w:rsid w:val="00253F53"/>
    <w:rsid w:val="00253FED"/>
    <w:rsid w:val="00254002"/>
    <w:rsid w:val="0025423A"/>
    <w:rsid w:val="0025442F"/>
    <w:rsid w:val="00254B58"/>
    <w:rsid w:val="00254CC5"/>
    <w:rsid w:val="00255011"/>
    <w:rsid w:val="002556A8"/>
    <w:rsid w:val="002556EA"/>
    <w:rsid w:val="002556F9"/>
    <w:rsid w:val="0025577A"/>
    <w:rsid w:val="00255822"/>
    <w:rsid w:val="00255D17"/>
    <w:rsid w:val="00255FA2"/>
    <w:rsid w:val="00256013"/>
    <w:rsid w:val="002563BD"/>
    <w:rsid w:val="00256406"/>
    <w:rsid w:val="002565A9"/>
    <w:rsid w:val="00256AB8"/>
    <w:rsid w:val="00256D90"/>
    <w:rsid w:val="00256DC3"/>
    <w:rsid w:val="00256E6C"/>
    <w:rsid w:val="00256FC1"/>
    <w:rsid w:val="00256FD5"/>
    <w:rsid w:val="002571EF"/>
    <w:rsid w:val="0025787A"/>
    <w:rsid w:val="00257A74"/>
    <w:rsid w:val="00257AE4"/>
    <w:rsid w:val="00257D80"/>
    <w:rsid w:val="00257DA0"/>
    <w:rsid w:val="00257EEC"/>
    <w:rsid w:val="00257F37"/>
    <w:rsid w:val="002601A4"/>
    <w:rsid w:val="002601FE"/>
    <w:rsid w:val="00260218"/>
    <w:rsid w:val="0026046D"/>
    <w:rsid w:val="002604EE"/>
    <w:rsid w:val="00260808"/>
    <w:rsid w:val="0026091A"/>
    <w:rsid w:val="00260AFB"/>
    <w:rsid w:val="00260D89"/>
    <w:rsid w:val="00260F61"/>
    <w:rsid w:val="00260FA2"/>
    <w:rsid w:val="002611D0"/>
    <w:rsid w:val="002612A5"/>
    <w:rsid w:val="0026192C"/>
    <w:rsid w:val="00261A32"/>
    <w:rsid w:val="00261BBD"/>
    <w:rsid w:val="00261C62"/>
    <w:rsid w:val="00261FAE"/>
    <w:rsid w:val="00262097"/>
    <w:rsid w:val="002620F3"/>
    <w:rsid w:val="002621CC"/>
    <w:rsid w:val="00262447"/>
    <w:rsid w:val="002626A9"/>
    <w:rsid w:val="002626C3"/>
    <w:rsid w:val="00262B9F"/>
    <w:rsid w:val="00262D61"/>
    <w:rsid w:val="00263254"/>
    <w:rsid w:val="002635C6"/>
    <w:rsid w:val="002635CE"/>
    <w:rsid w:val="00263B63"/>
    <w:rsid w:val="00264400"/>
    <w:rsid w:val="00264433"/>
    <w:rsid w:val="002644A7"/>
    <w:rsid w:val="002646BE"/>
    <w:rsid w:val="00264741"/>
    <w:rsid w:val="002647A6"/>
    <w:rsid w:val="00264A05"/>
    <w:rsid w:val="0026509D"/>
    <w:rsid w:val="00265119"/>
    <w:rsid w:val="00265121"/>
    <w:rsid w:val="00265507"/>
    <w:rsid w:val="0026570D"/>
    <w:rsid w:val="00265966"/>
    <w:rsid w:val="00265A2A"/>
    <w:rsid w:val="00265DC7"/>
    <w:rsid w:val="002667A3"/>
    <w:rsid w:val="00266A1C"/>
    <w:rsid w:val="0026706E"/>
    <w:rsid w:val="002670A7"/>
    <w:rsid w:val="002677A7"/>
    <w:rsid w:val="00267894"/>
    <w:rsid w:val="0026797A"/>
    <w:rsid w:val="002679AC"/>
    <w:rsid w:val="002704EA"/>
    <w:rsid w:val="002704F6"/>
    <w:rsid w:val="00270DE7"/>
    <w:rsid w:val="00270E6B"/>
    <w:rsid w:val="00271073"/>
    <w:rsid w:val="0027122B"/>
    <w:rsid w:val="00271836"/>
    <w:rsid w:val="00271BD7"/>
    <w:rsid w:val="00271D26"/>
    <w:rsid w:val="00272739"/>
    <w:rsid w:val="00272775"/>
    <w:rsid w:val="00272944"/>
    <w:rsid w:val="00272D9E"/>
    <w:rsid w:val="00273000"/>
    <w:rsid w:val="0027324A"/>
    <w:rsid w:val="00273979"/>
    <w:rsid w:val="00273A4E"/>
    <w:rsid w:val="00273B69"/>
    <w:rsid w:val="00273FF0"/>
    <w:rsid w:val="0027405D"/>
    <w:rsid w:val="002743EA"/>
    <w:rsid w:val="002745F3"/>
    <w:rsid w:val="002747F9"/>
    <w:rsid w:val="00274891"/>
    <w:rsid w:val="00274953"/>
    <w:rsid w:val="00274A62"/>
    <w:rsid w:val="002750BE"/>
    <w:rsid w:val="00275229"/>
    <w:rsid w:val="002753A6"/>
    <w:rsid w:val="0027571A"/>
    <w:rsid w:val="00275A9D"/>
    <w:rsid w:val="0027637D"/>
    <w:rsid w:val="002766DE"/>
    <w:rsid w:val="002767A5"/>
    <w:rsid w:val="00276818"/>
    <w:rsid w:val="00276913"/>
    <w:rsid w:val="00276BBA"/>
    <w:rsid w:val="00276BD4"/>
    <w:rsid w:val="00276C03"/>
    <w:rsid w:val="00277203"/>
    <w:rsid w:val="002776A8"/>
    <w:rsid w:val="00277997"/>
    <w:rsid w:val="00277B1E"/>
    <w:rsid w:val="00277EAE"/>
    <w:rsid w:val="00277FE7"/>
    <w:rsid w:val="0028035C"/>
    <w:rsid w:val="002807A6"/>
    <w:rsid w:val="00280C59"/>
    <w:rsid w:val="00280DD3"/>
    <w:rsid w:val="00281025"/>
    <w:rsid w:val="0028105E"/>
    <w:rsid w:val="00281209"/>
    <w:rsid w:val="002812DA"/>
    <w:rsid w:val="00281395"/>
    <w:rsid w:val="002815CA"/>
    <w:rsid w:val="002816B2"/>
    <w:rsid w:val="00281847"/>
    <w:rsid w:val="002818DC"/>
    <w:rsid w:val="00281A05"/>
    <w:rsid w:val="00282132"/>
    <w:rsid w:val="00282177"/>
    <w:rsid w:val="0028217F"/>
    <w:rsid w:val="002821A3"/>
    <w:rsid w:val="00282229"/>
    <w:rsid w:val="00282406"/>
    <w:rsid w:val="002826E6"/>
    <w:rsid w:val="00282C9E"/>
    <w:rsid w:val="00282CC0"/>
    <w:rsid w:val="00282E2C"/>
    <w:rsid w:val="00283157"/>
    <w:rsid w:val="00283208"/>
    <w:rsid w:val="00283259"/>
    <w:rsid w:val="0028359D"/>
    <w:rsid w:val="002835DE"/>
    <w:rsid w:val="00283728"/>
    <w:rsid w:val="0028375B"/>
    <w:rsid w:val="00283857"/>
    <w:rsid w:val="00283FB5"/>
    <w:rsid w:val="00284196"/>
    <w:rsid w:val="00284717"/>
    <w:rsid w:val="00284B45"/>
    <w:rsid w:val="00284C66"/>
    <w:rsid w:val="00284D88"/>
    <w:rsid w:val="00284F6B"/>
    <w:rsid w:val="00285180"/>
    <w:rsid w:val="00285189"/>
    <w:rsid w:val="0028581D"/>
    <w:rsid w:val="00285B52"/>
    <w:rsid w:val="00285C37"/>
    <w:rsid w:val="00285D49"/>
    <w:rsid w:val="00285E9F"/>
    <w:rsid w:val="00286002"/>
    <w:rsid w:val="0028608B"/>
    <w:rsid w:val="002860D9"/>
    <w:rsid w:val="002862E1"/>
    <w:rsid w:val="00286895"/>
    <w:rsid w:val="00286B90"/>
    <w:rsid w:val="00286BA2"/>
    <w:rsid w:val="00286CBB"/>
    <w:rsid w:val="00286CE6"/>
    <w:rsid w:val="00286DE3"/>
    <w:rsid w:val="00287154"/>
    <w:rsid w:val="00287323"/>
    <w:rsid w:val="0028733B"/>
    <w:rsid w:val="0028771D"/>
    <w:rsid w:val="00287799"/>
    <w:rsid w:val="00287DD9"/>
    <w:rsid w:val="00287EB7"/>
    <w:rsid w:val="00287F32"/>
    <w:rsid w:val="00287F91"/>
    <w:rsid w:val="0029039E"/>
    <w:rsid w:val="00290688"/>
    <w:rsid w:val="00290982"/>
    <w:rsid w:val="00290A34"/>
    <w:rsid w:val="00290ACF"/>
    <w:rsid w:val="00290B1D"/>
    <w:rsid w:val="00290B96"/>
    <w:rsid w:val="00290CA7"/>
    <w:rsid w:val="00290FBC"/>
    <w:rsid w:val="0029106F"/>
    <w:rsid w:val="002917E9"/>
    <w:rsid w:val="00291CF8"/>
    <w:rsid w:val="00291D86"/>
    <w:rsid w:val="00291F7E"/>
    <w:rsid w:val="00292437"/>
    <w:rsid w:val="0029260D"/>
    <w:rsid w:val="00292635"/>
    <w:rsid w:val="002926C5"/>
    <w:rsid w:val="0029316C"/>
    <w:rsid w:val="002932AD"/>
    <w:rsid w:val="0029358C"/>
    <w:rsid w:val="0029377A"/>
    <w:rsid w:val="002938A6"/>
    <w:rsid w:val="00293A0A"/>
    <w:rsid w:val="00293AE5"/>
    <w:rsid w:val="00293D54"/>
    <w:rsid w:val="00293EE9"/>
    <w:rsid w:val="00293FE9"/>
    <w:rsid w:val="0029408B"/>
    <w:rsid w:val="002941DA"/>
    <w:rsid w:val="002941E1"/>
    <w:rsid w:val="002941FD"/>
    <w:rsid w:val="002947C6"/>
    <w:rsid w:val="0029480E"/>
    <w:rsid w:val="00294821"/>
    <w:rsid w:val="00294E19"/>
    <w:rsid w:val="00294EB6"/>
    <w:rsid w:val="00294FE3"/>
    <w:rsid w:val="00295039"/>
    <w:rsid w:val="0029512E"/>
    <w:rsid w:val="00295132"/>
    <w:rsid w:val="002954F8"/>
    <w:rsid w:val="00295522"/>
    <w:rsid w:val="002955D9"/>
    <w:rsid w:val="00295930"/>
    <w:rsid w:val="00295DBE"/>
    <w:rsid w:val="00295DE8"/>
    <w:rsid w:val="00295FF0"/>
    <w:rsid w:val="00296176"/>
    <w:rsid w:val="00296597"/>
    <w:rsid w:val="002966B0"/>
    <w:rsid w:val="00296827"/>
    <w:rsid w:val="0029688E"/>
    <w:rsid w:val="00296FDE"/>
    <w:rsid w:val="0029701B"/>
    <w:rsid w:val="00297298"/>
    <w:rsid w:val="00297779"/>
    <w:rsid w:val="00297B89"/>
    <w:rsid w:val="00297B8B"/>
    <w:rsid w:val="002A02B7"/>
    <w:rsid w:val="002A0461"/>
    <w:rsid w:val="002A0655"/>
    <w:rsid w:val="002A0980"/>
    <w:rsid w:val="002A09C6"/>
    <w:rsid w:val="002A0AB2"/>
    <w:rsid w:val="002A12BD"/>
    <w:rsid w:val="002A18AF"/>
    <w:rsid w:val="002A1965"/>
    <w:rsid w:val="002A1B2B"/>
    <w:rsid w:val="002A1DC1"/>
    <w:rsid w:val="002A1F41"/>
    <w:rsid w:val="002A2100"/>
    <w:rsid w:val="002A23CE"/>
    <w:rsid w:val="002A2826"/>
    <w:rsid w:val="002A2E4C"/>
    <w:rsid w:val="002A3088"/>
    <w:rsid w:val="002A31A7"/>
    <w:rsid w:val="002A3294"/>
    <w:rsid w:val="002A3548"/>
    <w:rsid w:val="002A35FC"/>
    <w:rsid w:val="002A39C8"/>
    <w:rsid w:val="002A3C15"/>
    <w:rsid w:val="002A40FE"/>
    <w:rsid w:val="002A43CA"/>
    <w:rsid w:val="002A4486"/>
    <w:rsid w:val="002A4495"/>
    <w:rsid w:val="002A4B33"/>
    <w:rsid w:val="002A4BFE"/>
    <w:rsid w:val="002A4EB8"/>
    <w:rsid w:val="002A50A7"/>
    <w:rsid w:val="002A5239"/>
    <w:rsid w:val="002A55FD"/>
    <w:rsid w:val="002A5A39"/>
    <w:rsid w:val="002A5BB6"/>
    <w:rsid w:val="002A5D63"/>
    <w:rsid w:val="002A5ED6"/>
    <w:rsid w:val="002A5F92"/>
    <w:rsid w:val="002A60F9"/>
    <w:rsid w:val="002A62B5"/>
    <w:rsid w:val="002A636D"/>
    <w:rsid w:val="002A65B9"/>
    <w:rsid w:val="002A6656"/>
    <w:rsid w:val="002A692D"/>
    <w:rsid w:val="002A6BF4"/>
    <w:rsid w:val="002A6C7B"/>
    <w:rsid w:val="002A7159"/>
    <w:rsid w:val="002A76B4"/>
    <w:rsid w:val="002A77DE"/>
    <w:rsid w:val="002A7C48"/>
    <w:rsid w:val="002A7C62"/>
    <w:rsid w:val="002A7DF3"/>
    <w:rsid w:val="002A7EAF"/>
    <w:rsid w:val="002A7EBC"/>
    <w:rsid w:val="002B03B5"/>
    <w:rsid w:val="002B0602"/>
    <w:rsid w:val="002B0677"/>
    <w:rsid w:val="002B0688"/>
    <w:rsid w:val="002B088E"/>
    <w:rsid w:val="002B089F"/>
    <w:rsid w:val="002B08EB"/>
    <w:rsid w:val="002B0AC8"/>
    <w:rsid w:val="002B0C5C"/>
    <w:rsid w:val="002B0CC9"/>
    <w:rsid w:val="002B0D71"/>
    <w:rsid w:val="002B1081"/>
    <w:rsid w:val="002B1750"/>
    <w:rsid w:val="002B1AD7"/>
    <w:rsid w:val="002B1C52"/>
    <w:rsid w:val="002B21E7"/>
    <w:rsid w:val="002B2748"/>
    <w:rsid w:val="002B2AFA"/>
    <w:rsid w:val="002B2D79"/>
    <w:rsid w:val="002B2E3F"/>
    <w:rsid w:val="002B3412"/>
    <w:rsid w:val="002B3589"/>
    <w:rsid w:val="002B3A0B"/>
    <w:rsid w:val="002B41A6"/>
    <w:rsid w:val="002B423E"/>
    <w:rsid w:val="002B4343"/>
    <w:rsid w:val="002B49C0"/>
    <w:rsid w:val="002B4C9D"/>
    <w:rsid w:val="002B515A"/>
    <w:rsid w:val="002B529F"/>
    <w:rsid w:val="002B5566"/>
    <w:rsid w:val="002B55EE"/>
    <w:rsid w:val="002B6110"/>
    <w:rsid w:val="002B6191"/>
    <w:rsid w:val="002B6234"/>
    <w:rsid w:val="002B6340"/>
    <w:rsid w:val="002B63F7"/>
    <w:rsid w:val="002B6496"/>
    <w:rsid w:val="002B6975"/>
    <w:rsid w:val="002B6A59"/>
    <w:rsid w:val="002B6B5D"/>
    <w:rsid w:val="002B6CCC"/>
    <w:rsid w:val="002B6D66"/>
    <w:rsid w:val="002B7290"/>
    <w:rsid w:val="002B745B"/>
    <w:rsid w:val="002B79F4"/>
    <w:rsid w:val="002B7D9E"/>
    <w:rsid w:val="002C01CC"/>
    <w:rsid w:val="002C0488"/>
    <w:rsid w:val="002C0508"/>
    <w:rsid w:val="002C071C"/>
    <w:rsid w:val="002C0738"/>
    <w:rsid w:val="002C08EF"/>
    <w:rsid w:val="002C0984"/>
    <w:rsid w:val="002C0E70"/>
    <w:rsid w:val="002C0E73"/>
    <w:rsid w:val="002C1159"/>
    <w:rsid w:val="002C1558"/>
    <w:rsid w:val="002C168A"/>
    <w:rsid w:val="002C1DA1"/>
    <w:rsid w:val="002C2368"/>
    <w:rsid w:val="002C2719"/>
    <w:rsid w:val="002C27A4"/>
    <w:rsid w:val="002C28D6"/>
    <w:rsid w:val="002C2920"/>
    <w:rsid w:val="002C29EB"/>
    <w:rsid w:val="002C2A1B"/>
    <w:rsid w:val="002C2BF7"/>
    <w:rsid w:val="002C2C0C"/>
    <w:rsid w:val="002C2D2A"/>
    <w:rsid w:val="002C2D82"/>
    <w:rsid w:val="002C320B"/>
    <w:rsid w:val="002C3254"/>
    <w:rsid w:val="002C335B"/>
    <w:rsid w:val="002C3373"/>
    <w:rsid w:val="002C3709"/>
    <w:rsid w:val="002C3967"/>
    <w:rsid w:val="002C3BC4"/>
    <w:rsid w:val="002C3F9F"/>
    <w:rsid w:val="002C4362"/>
    <w:rsid w:val="002C4708"/>
    <w:rsid w:val="002C484A"/>
    <w:rsid w:val="002C4E6B"/>
    <w:rsid w:val="002C5020"/>
    <w:rsid w:val="002C5042"/>
    <w:rsid w:val="002C5181"/>
    <w:rsid w:val="002C5908"/>
    <w:rsid w:val="002C597A"/>
    <w:rsid w:val="002C5DCA"/>
    <w:rsid w:val="002C5E3F"/>
    <w:rsid w:val="002C5F4C"/>
    <w:rsid w:val="002C6557"/>
    <w:rsid w:val="002C6BBB"/>
    <w:rsid w:val="002C6F23"/>
    <w:rsid w:val="002C6FE6"/>
    <w:rsid w:val="002C7699"/>
    <w:rsid w:val="002C7720"/>
    <w:rsid w:val="002C77B3"/>
    <w:rsid w:val="002C77E1"/>
    <w:rsid w:val="002C78DC"/>
    <w:rsid w:val="002C7F19"/>
    <w:rsid w:val="002D00F1"/>
    <w:rsid w:val="002D0196"/>
    <w:rsid w:val="002D03E1"/>
    <w:rsid w:val="002D0409"/>
    <w:rsid w:val="002D0820"/>
    <w:rsid w:val="002D0D8E"/>
    <w:rsid w:val="002D0FEC"/>
    <w:rsid w:val="002D11E8"/>
    <w:rsid w:val="002D11FE"/>
    <w:rsid w:val="002D1209"/>
    <w:rsid w:val="002D1612"/>
    <w:rsid w:val="002D19D9"/>
    <w:rsid w:val="002D1DEC"/>
    <w:rsid w:val="002D1E8C"/>
    <w:rsid w:val="002D1FBF"/>
    <w:rsid w:val="002D28DC"/>
    <w:rsid w:val="002D2DC8"/>
    <w:rsid w:val="002D3124"/>
    <w:rsid w:val="002D3227"/>
    <w:rsid w:val="002D32BB"/>
    <w:rsid w:val="002D332B"/>
    <w:rsid w:val="002D3461"/>
    <w:rsid w:val="002D348C"/>
    <w:rsid w:val="002D365D"/>
    <w:rsid w:val="002D36DD"/>
    <w:rsid w:val="002D37B7"/>
    <w:rsid w:val="002D382B"/>
    <w:rsid w:val="002D3899"/>
    <w:rsid w:val="002D3C8C"/>
    <w:rsid w:val="002D3CA1"/>
    <w:rsid w:val="002D3DC2"/>
    <w:rsid w:val="002D3ED9"/>
    <w:rsid w:val="002D4233"/>
    <w:rsid w:val="002D4527"/>
    <w:rsid w:val="002D46EE"/>
    <w:rsid w:val="002D4741"/>
    <w:rsid w:val="002D4B60"/>
    <w:rsid w:val="002D4C70"/>
    <w:rsid w:val="002D4EF4"/>
    <w:rsid w:val="002D4F7C"/>
    <w:rsid w:val="002D5335"/>
    <w:rsid w:val="002D540C"/>
    <w:rsid w:val="002D56F2"/>
    <w:rsid w:val="002D59A9"/>
    <w:rsid w:val="002D59FB"/>
    <w:rsid w:val="002D5CF6"/>
    <w:rsid w:val="002D5D10"/>
    <w:rsid w:val="002D5D57"/>
    <w:rsid w:val="002D6014"/>
    <w:rsid w:val="002D60D5"/>
    <w:rsid w:val="002D6197"/>
    <w:rsid w:val="002D6273"/>
    <w:rsid w:val="002D630A"/>
    <w:rsid w:val="002D635E"/>
    <w:rsid w:val="002D6505"/>
    <w:rsid w:val="002D66DC"/>
    <w:rsid w:val="002D6702"/>
    <w:rsid w:val="002D6878"/>
    <w:rsid w:val="002D6B0B"/>
    <w:rsid w:val="002D6BED"/>
    <w:rsid w:val="002D6F35"/>
    <w:rsid w:val="002D75DB"/>
    <w:rsid w:val="002D75E3"/>
    <w:rsid w:val="002D7906"/>
    <w:rsid w:val="002D7928"/>
    <w:rsid w:val="002D79E5"/>
    <w:rsid w:val="002D7A0D"/>
    <w:rsid w:val="002D7B46"/>
    <w:rsid w:val="002D7BD3"/>
    <w:rsid w:val="002D7CC3"/>
    <w:rsid w:val="002D7D35"/>
    <w:rsid w:val="002D7DAC"/>
    <w:rsid w:val="002D7E97"/>
    <w:rsid w:val="002E0557"/>
    <w:rsid w:val="002E07CE"/>
    <w:rsid w:val="002E0926"/>
    <w:rsid w:val="002E0A8B"/>
    <w:rsid w:val="002E0B14"/>
    <w:rsid w:val="002E0F65"/>
    <w:rsid w:val="002E0FC4"/>
    <w:rsid w:val="002E1822"/>
    <w:rsid w:val="002E194E"/>
    <w:rsid w:val="002E1F44"/>
    <w:rsid w:val="002E2037"/>
    <w:rsid w:val="002E20F5"/>
    <w:rsid w:val="002E214B"/>
    <w:rsid w:val="002E2415"/>
    <w:rsid w:val="002E25E6"/>
    <w:rsid w:val="002E29B3"/>
    <w:rsid w:val="002E29B8"/>
    <w:rsid w:val="002E2A77"/>
    <w:rsid w:val="002E2AEE"/>
    <w:rsid w:val="002E2C0D"/>
    <w:rsid w:val="002E2D09"/>
    <w:rsid w:val="002E2ECC"/>
    <w:rsid w:val="002E3151"/>
    <w:rsid w:val="002E32C1"/>
    <w:rsid w:val="002E3316"/>
    <w:rsid w:val="002E34B9"/>
    <w:rsid w:val="002E3857"/>
    <w:rsid w:val="002E3CC0"/>
    <w:rsid w:val="002E3D41"/>
    <w:rsid w:val="002E3EFF"/>
    <w:rsid w:val="002E430D"/>
    <w:rsid w:val="002E49D0"/>
    <w:rsid w:val="002E4A93"/>
    <w:rsid w:val="002E4B81"/>
    <w:rsid w:val="002E4BF5"/>
    <w:rsid w:val="002E4C0C"/>
    <w:rsid w:val="002E4D15"/>
    <w:rsid w:val="002E4DDB"/>
    <w:rsid w:val="002E4E29"/>
    <w:rsid w:val="002E5080"/>
    <w:rsid w:val="002E53B7"/>
    <w:rsid w:val="002E5A7B"/>
    <w:rsid w:val="002E5A9C"/>
    <w:rsid w:val="002E5F26"/>
    <w:rsid w:val="002E60E9"/>
    <w:rsid w:val="002E6154"/>
    <w:rsid w:val="002E6224"/>
    <w:rsid w:val="002E64A4"/>
    <w:rsid w:val="002E65FE"/>
    <w:rsid w:val="002E6765"/>
    <w:rsid w:val="002E67EC"/>
    <w:rsid w:val="002E6A8D"/>
    <w:rsid w:val="002E6B63"/>
    <w:rsid w:val="002E6FDC"/>
    <w:rsid w:val="002E7133"/>
    <w:rsid w:val="002E7180"/>
    <w:rsid w:val="002E72B1"/>
    <w:rsid w:val="002E73BD"/>
    <w:rsid w:val="002E7587"/>
    <w:rsid w:val="002E75F9"/>
    <w:rsid w:val="002E7970"/>
    <w:rsid w:val="002E7B92"/>
    <w:rsid w:val="002E7F6F"/>
    <w:rsid w:val="002E7FB9"/>
    <w:rsid w:val="002E7FC2"/>
    <w:rsid w:val="002F00E1"/>
    <w:rsid w:val="002F01A8"/>
    <w:rsid w:val="002F0480"/>
    <w:rsid w:val="002F04B6"/>
    <w:rsid w:val="002F0514"/>
    <w:rsid w:val="002F05E9"/>
    <w:rsid w:val="002F07F4"/>
    <w:rsid w:val="002F0806"/>
    <w:rsid w:val="002F0BEE"/>
    <w:rsid w:val="002F0DD3"/>
    <w:rsid w:val="002F0E74"/>
    <w:rsid w:val="002F0EB4"/>
    <w:rsid w:val="002F0FAC"/>
    <w:rsid w:val="002F0FC5"/>
    <w:rsid w:val="002F117B"/>
    <w:rsid w:val="002F13A8"/>
    <w:rsid w:val="002F1A39"/>
    <w:rsid w:val="002F20C0"/>
    <w:rsid w:val="002F20CB"/>
    <w:rsid w:val="002F235C"/>
    <w:rsid w:val="002F238A"/>
    <w:rsid w:val="002F269F"/>
    <w:rsid w:val="002F28EB"/>
    <w:rsid w:val="002F2B47"/>
    <w:rsid w:val="002F2EA3"/>
    <w:rsid w:val="002F340C"/>
    <w:rsid w:val="002F3B1B"/>
    <w:rsid w:val="002F3C3B"/>
    <w:rsid w:val="002F421F"/>
    <w:rsid w:val="002F4230"/>
    <w:rsid w:val="002F455A"/>
    <w:rsid w:val="002F4985"/>
    <w:rsid w:val="002F498C"/>
    <w:rsid w:val="002F4990"/>
    <w:rsid w:val="002F4ACE"/>
    <w:rsid w:val="002F4AE1"/>
    <w:rsid w:val="002F4B10"/>
    <w:rsid w:val="002F4F8F"/>
    <w:rsid w:val="002F507C"/>
    <w:rsid w:val="002F52BD"/>
    <w:rsid w:val="002F5376"/>
    <w:rsid w:val="002F5515"/>
    <w:rsid w:val="002F577E"/>
    <w:rsid w:val="002F5824"/>
    <w:rsid w:val="002F5E63"/>
    <w:rsid w:val="002F601B"/>
    <w:rsid w:val="002F617A"/>
    <w:rsid w:val="002F617C"/>
    <w:rsid w:val="002F625E"/>
    <w:rsid w:val="002F62A2"/>
    <w:rsid w:val="002F62AB"/>
    <w:rsid w:val="002F6372"/>
    <w:rsid w:val="002F6917"/>
    <w:rsid w:val="002F6C31"/>
    <w:rsid w:val="002F6C74"/>
    <w:rsid w:val="002F7048"/>
    <w:rsid w:val="002F7213"/>
    <w:rsid w:val="002F74EB"/>
    <w:rsid w:val="002F767E"/>
    <w:rsid w:val="002F78BF"/>
    <w:rsid w:val="002F78F7"/>
    <w:rsid w:val="002F7913"/>
    <w:rsid w:val="002F79AE"/>
    <w:rsid w:val="002F79E0"/>
    <w:rsid w:val="002F7E9C"/>
    <w:rsid w:val="0030011E"/>
    <w:rsid w:val="00300364"/>
    <w:rsid w:val="00300510"/>
    <w:rsid w:val="00300528"/>
    <w:rsid w:val="0030073F"/>
    <w:rsid w:val="003010F0"/>
    <w:rsid w:val="00301288"/>
    <w:rsid w:val="0030161E"/>
    <w:rsid w:val="00301B53"/>
    <w:rsid w:val="00301E60"/>
    <w:rsid w:val="00301F69"/>
    <w:rsid w:val="003021E7"/>
    <w:rsid w:val="00302684"/>
    <w:rsid w:val="00302723"/>
    <w:rsid w:val="0030276C"/>
    <w:rsid w:val="00302C98"/>
    <w:rsid w:val="00302D29"/>
    <w:rsid w:val="00302D7E"/>
    <w:rsid w:val="0030313A"/>
    <w:rsid w:val="003031CD"/>
    <w:rsid w:val="00303328"/>
    <w:rsid w:val="00303353"/>
    <w:rsid w:val="003034F9"/>
    <w:rsid w:val="00303636"/>
    <w:rsid w:val="00303970"/>
    <w:rsid w:val="00303A74"/>
    <w:rsid w:val="00303C69"/>
    <w:rsid w:val="00303C89"/>
    <w:rsid w:val="00303D7B"/>
    <w:rsid w:val="00303DBB"/>
    <w:rsid w:val="00303E27"/>
    <w:rsid w:val="0030403B"/>
    <w:rsid w:val="003044B7"/>
    <w:rsid w:val="0030467D"/>
    <w:rsid w:val="003049FC"/>
    <w:rsid w:val="00304CC6"/>
    <w:rsid w:val="00305240"/>
    <w:rsid w:val="0030525F"/>
    <w:rsid w:val="003053DD"/>
    <w:rsid w:val="00305621"/>
    <w:rsid w:val="003056B2"/>
    <w:rsid w:val="0030570C"/>
    <w:rsid w:val="0030586C"/>
    <w:rsid w:val="00305F92"/>
    <w:rsid w:val="0030607B"/>
    <w:rsid w:val="00306248"/>
    <w:rsid w:val="00306492"/>
    <w:rsid w:val="003064E2"/>
    <w:rsid w:val="0030685D"/>
    <w:rsid w:val="00306A60"/>
    <w:rsid w:val="00306E31"/>
    <w:rsid w:val="00306F21"/>
    <w:rsid w:val="00306F45"/>
    <w:rsid w:val="00307003"/>
    <w:rsid w:val="00307315"/>
    <w:rsid w:val="0030738A"/>
    <w:rsid w:val="0030775C"/>
    <w:rsid w:val="003078D4"/>
    <w:rsid w:val="0030795F"/>
    <w:rsid w:val="00307E00"/>
    <w:rsid w:val="00310069"/>
    <w:rsid w:val="003100FA"/>
    <w:rsid w:val="00310807"/>
    <w:rsid w:val="00310CAB"/>
    <w:rsid w:val="00310DC7"/>
    <w:rsid w:val="00310DE1"/>
    <w:rsid w:val="00310FDE"/>
    <w:rsid w:val="00311232"/>
    <w:rsid w:val="003113BE"/>
    <w:rsid w:val="003113D7"/>
    <w:rsid w:val="003115E0"/>
    <w:rsid w:val="00311677"/>
    <w:rsid w:val="00311837"/>
    <w:rsid w:val="00311A24"/>
    <w:rsid w:val="00311A28"/>
    <w:rsid w:val="00311AC6"/>
    <w:rsid w:val="00311B28"/>
    <w:rsid w:val="00311D0A"/>
    <w:rsid w:val="00311D25"/>
    <w:rsid w:val="003124EF"/>
    <w:rsid w:val="003125A3"/>
    <w:rsid w:val="0031291E"/>
    <w:rsid w:val="00312B77"/>
    <w:rsid w:val="003133D4"/>
    <w:rsid w:val="00313445"/>
    <w:rsid w:val="00313539"/>
    <w:rsid w:val="00314271"/>
    <w:rsid w:val="003143F6"/>
    <w:rsid w:val="00314BD7"/>
    <w:rsid w:val="00314E21"/>
    <w:rsid w:val="00314E28"/>
    <w:rsid w:val="00314EEF"/>
    <w:rsid w:val="00314F06"/>
    <w:rsid w:val="003150EC"/>
    <w:rsid w:val="0031542D"/>
    <w:rsid w:val="00315439"/>
    <w:rsid w:val="00315572"/>
    <w:rsid w:val="00315590"/>
    <w:rsid w:val="003155F2"/>
    <w:rsid w:val="003156A4"/>
    <w:rsid w:val="003159EC"/>
    <w:rsid w:val="00315E91"/>
    <w:rsid w:val="00315F46"/>
    <w:rsid w:val="00315F4F"/>
    <w:rsid w:val="00316055"/>
    <w:rsid w:val="0031605C"/>
    <w:rsid w:val="0031619E"/>
    <w:rsid w:val="0031639C"/>
    <w:rsid w:val="0031640D"/>
    <w:rsid w:val="0031646D"/>
    <w:rsid w:val="003169AC"/>
    <w:rsid w:val="003169AD"/>
    <w:rsid w:val="00316B62"/>
    <w:rsid w:val="00316C58"/>
    <w:rsid w:val="00316CD0"/>
    <w:rsid w:val="00316D17"/>
    <w:rsid w:val="00316D4A"/>
    <w:rsid w:val="00316D93"/>
    <w:rsid w:val="00316FCF"/>
    <w:rsid w:val="00317069"/>
    <w:rsid w:val="00317101"/>
    <w:rsid w:val="0031731B"/>
    <w:rsid w:val="00317836"/>
    <w:rsid w:val="00317898"/>
    <w:rsid w:val="003179B6"/>
    <w:rsid w:val="00317A3F"/>
    <w:rsid w:val="003200C6"/>
    <w:rsid w:val="00320708"/>
    <w:rsid w:val="00320904"/>
    <w:rsid w:val="00320B50"/>
    <w:rsid w:val="00321022"/>
    <w:rsid w:val="00321298"/>
    <w:rsid w:val="0032139D"/>
    <w:rsid w:val="0032159C"/>
    <w:rsid w:val="0032178F"/>
    <w:rsid w:val="00321826"/>
    <w:rsid w:val="003218AE"/>
    <w:rsid w:val="00321A74"/>
    <w:rsid w:val="00321B24"/>
    <w:rsid w:val="00321B38"/>
    <w:rsid w:val="00321BC2"/>
    <w:rsid w:val="00321D3C"/>
    <w:rsid w:val="003220EE"/>
    <w:rsid w:val="00322399"/>
    <w:rsid w:val="00322831"/>
    <w:rsid w:val="00322CA1"/>
    <w:rsid w:val="00322E34"/>
    <w:rsid w:val="00322E5E"/>
    <w:rsid w:val="00323789"/>
    <w:rsid w:val="00323825"/>
    <w:rsid w:val="003239C6"/>
    <w:rsid w:val="00323A7B"/>
    <w:rsid w:val="00323CE5"/>
    <w:rsid w:val="003240BA"/>
    <w:rsid w:val="00324372"/>
    <w:rsid w:val="0032445C"/>
    <w:rsid w:val="0032451F"/>
    <w:rsid w:val="00324535"/>
    <w:rsid w:val="00324621"/>
    <w:rsid w:val="00324671"/>
    <w:rsid w:val="003246A1"/>
    <w:rsid w:val="00324763"/>
    <w:rsid w:val="00324926"/>
    <w:rsid w:val="00324943"/>
    <w:rsid w:val="00324C02"/>
    <w:rsid w:val="00324D8C"/>
    <w:rsid w:val="00324F0C"/>
    <w:rsid w:val="00324F42"/>
    <w:rsid w:val="00324F79"/>
    <w:rsid w:val="00325031"/>
    <w:rsid w:val="0032511A"/>
    <w:rsid w:val="0032513B"/>
    <w:rsid w:val="003251FF"/>
    <w:rsid w:val="00325453"/>
    <w:rsid w:val="00325AB3"/>
    <w:rsid w:val="00325B64"/>
    <w:rsid w:val="00325C57"/>
    <w:rsid w:val="00325CF8"/>
    <w:rsid w:val="00325D4C"/>
    <w:rsid w:val="00325D65"/>
    <w:rsid w:val="00326437"/>
    <w:rsid w:val="00326479"/>
    <w:rsid w:val="0032657C"/>
    <w:rsid w:val="00326734"/>
    <w:rsid w:val="003268FA"/>
    <w:rsid w:val="00326A9F"/>
    <w:rsid w:val="00326B61"/>
    <w:rsid w:val="003277E7"/>
    <w:rsid w:val="003278AA"/>
    <w:rsid w:val="003278CE"/>
    <w:rsid w:val="00327C83"/>
    <w:rsid w:val="003302B0"/>
    <w:rsid w:val="00330381"/>
    <w:rsid w:val="003303EF"/>
    <w:rsid w:val="00330428"/>
    <w:rsid w:val="003304DD"/>
    <w:rsid w:val="00330528"/>
    <w:rsid w:val="0033070E"/>
    <w:rsid w:val="003307FA"/>
    <w:rsid w:val="00330B7F"/>
    <w:rsid w:val="00330E7D"/>
    <w:rsid w:val="00330F93"/>
    <w:rsid w:val="0033103A"/>
    <w:rsid w:val="003310FA"/>
    <w:rsid w:val="0033126A"/>
    <w:rsid w:val="00331668"/>
    <w:rsid w:val="003317B4"/>
    <w:rsid w:val="003318C3"/>
    <w:rsid w:val="00331A12"/>
    <w:rsid w:val="00331B32"/>
    <w:rsid w:val="00332249"/>
    <w:rsid w:val="003324EC"/>
    <w:rsid w:val="0033276B"/>
    <w:rsid w:val="00332D1D"/>
    <w:rsid w:val="00332DDC"/>
    <w:rsid w:val="00332F8D"/>
    <w:rsid w:val="0033311E"/>
    <w:rsid w:val="0033317D"/>
    <w:rsid w:val="0033319D"/>
    <w:rsid w:val="0033393D"/>
    <w:rsid w:val="00333A54"/>
    <w:rsid w:val="00333A71"/>
    <w:rsid w:val="00333E4B"/>
    <w:rsid w:val="00333FFA"/>
    <w:rsid w:val="0033411C"/>
    <w:rsid w:val="00334129"/>
    <w:rsid w:val="00334279"/>
    <w:rsid w:val="003345AD"/>
    <w:rsid w:val="00334B19"/>
    <w:rsid w:val="00334DC9"/>
    <w:rsid w:val="0033516D"/>
    <w:rsid w:val="00335239"/>
    <w:rsid w:val="00335287"/>
    <w:rsid w:val="00335377"/>
    <w:rsid w:val="003354FD"/>
    <w:rsid w:val="0033589C"/>
    <w:rsid w:val="003359B8"/>
    <w:rsid w:val="00335AD6"/>
    <w:rsid w:val="00335CBC"/>
    <w:rsid w:val="00335E70"/>
    <w:rsid w:val="0033622C"/>
    <w:rsid w:val="0033634D"/>
    <w:rsid w:val="00336482"/>
    <w:rsid w:val="00336703"/>
    <w:rsid w:val="0033677E"/>
    <w:rsid w:val="00336996"/>
    <w:rsid w:val="00336E7D"/>
    <w:rsid w:val="00337007"/>
    <w:rsid w:val="003374E2"/>
    <w:rsid w:val="0033774F"/>
    <w:rsid w:val="00337883"/>
    <w:rsid w:val="00337977"/>
    <w:rsid w:val="00337B9B"/>
    <w:rsid w:val="00337EC0"/>
    <w:rsid w:val="00337F4E"/>
    <w:rsid w:val="00340048"/>
    <w:rsid w:val="003407C5"/>
    <w:rsid w:val="00340836"/>
    <w:rsid w:val="003408C1"/>
    <w:rsid w:val="00340941"/>
    <w:rsid w:val="00340BE6"/>
    <w:rsid w:val="00340CBD"/>
    <w:rsid w:val="00340DE8"/>
    <w:rsid w:val="00340E08"/>
    <w:rsid w:val="00341039"/>
    <w:rsid w:val="0034104D"/>
    <w:rsid w:val="0034112A"/>
    <w:rsid w:val="0034125C"/>
    <w:rsid w:val="00341417"/>
    <w:rsid w:val="0034150A"/>
    <w:rsid w:val="0034158E"/>
    <w:rsid w:val="00341828"/>
    <w:rsid w:val="00341965"/>
    <w:rsid w:val="0034199C"/>
    <w:rsid w:val="00341A10"/>
    <w:rsid w:val="00341A62"/>
    <w:rsid w:val="00341F40"/>
    <w:rsid w:val="0034220D"/>
    <w:rsid w:val="0034224B"/>
    <w:rsid w:val="003424C0"/>
    <w:rsid w:val="0034284E"/>
    <w:rsid w:val="003428A1"/>
    <w:rsid w:val="00342B75"/>
    <w:rsid w:val="00342BDC"/>
    <w:rsid w:val="00342FD6"/>
    <w:rsid w:val="00343000"/>
    <w:rsid w:val="0034303E"/>
    <w:rsid w:val="0034371F"/>
    <w:rsid w:val="00343815"/>
    <w:rsid w:val="00343915"/>
    <w:rsid w:val="00343B0A"/>
    <w:rsid w:val="00343BF5"/>
    <w:rsid w:val="00343DE7"/>
    <w:rsid w:val="00344288"/>
    <w:rsid w:val="003447F2"/>
    <w:rsid w:val="003449C0"/>
    <w:rsid w:val="00344B5F"/>
    <w:rsid w:val="00344F91"/>
    <w:rsid w:val="003450FC"/>
    <w:rsid w:val="0034528A"/>
    <w:rsid w:val="00345698"/>
    <w:rsid w:val="003456C4"/>
    <w:rsid w:val="00345808"/>
    <w:rsid w:val="003459E1"/>
    <w:rsid w:val="00345A98"/>
    <w:rsid w:val="00345BA8"/>
    <w:rsid w:val="00345FC4"/>
    <w:rsid w:val="00345FE1"/>
    <w:rsid w:val="00346469"/>
    <w:rsid w:val="003466F6"/>
    <w:rsid w:val="00346A13"/>
    <w:rsid w:val="00346BA9"/>
    <w:rsid w:val="00346E0A"/>
    <w:rsid w:val="0034706D"/>
    <w:rsid w:val="00347690"/>
    <w:rsid w:val="003476C3"/>
    <w:rsid w:val="003476D0"/>
    <w:rsid w:val="0034778B"/>
    <w:rsid w:val="00347962"/>
    <w:rsid w:val="003500A9"/>
    <w:rsid w:val="003501C6"/>
    <w:rsid w:val="00350496"/>
    <w:rsid w:val="00350517"/>
    <w:rsid w:val="0035080E"/>
    <w:rsid w:val="003508C6"/>
    <w:rsid w:val="00350AED"/>
    <w:rsid w:val="00350D2E"/>
    <w:rsid w:val="00350E06"/>
    <w:rsid w:val="00350E2C"/>
    <w:rsid w:val="00351555"/>
    <w:rsid w:val="00351560"/>
    <w:rsid w:val="00351731"/>
    <w:rsid w:val="00351763"/>
    <w:rsid w:val="00351C45"/>
    <w:rsid w:val="00351DDB"/>
    <w:rsid w:val="0035211B"/>
    <w:rsid w:val="00352130"/>
    <w:rsid w:val="0035242F"/>
    <w:rsid w:val="00352A4E"/>
    <w:rsid w:val="00352B64"/>
    <w:rsid w:val="00352D61"/>
    <w:rsid w:val="00352EB7"/>
    <w:rsid w:val="00352F63"/>
    <w:rsid w:val="003532AF"/>
    <w:rsid w:val="0035333E"/>
    <w:rsid w:val="0035337D"/>
    <w:rsid w:val="003533F2"/>
    <w:rsid w:val="0035363A"/>
    <w:rsid w:val="0035366A"/>
    <w:rsid w:val="00353901"/>
    <w:rsid w:val="00353A37"/>
    <w:rsid w:val="00353ADC"/>
    <w:rsid w:val="00353B9A"/>
    <w:rsid w:val="00353D10"/>
    <w:rsid w:val="00353F07"/>
    <w:rsid w:val="00353F3D"/>
    <w:rsid w:val="00353F72"/>
    <w:rsid w:val="0035447F"/>
    <w:rsid w:val="00354500"/>
    <w:rsid w:val="0035480C"/>
    <w:rsid w:val="0035481B"/>
    <w:rsid w:val="0035482B"/>
    <w:rsid w:val="0035484E"/>
    <w:rsid w:val="00354B95"/>
    <w:rsid w:val="00354C73"/>
    <w:rsid w:val="00354CFB"/>
    <w:rsid w:val="00354D4E"/>
    <w:rsid w:val="00355027"/>
    <w:rsid w:val="00355221"/>
    <w:rsid w:val="003552E2"/>
    <w:rsid w:val="0035555B"/>
    <w:rsid w:val="00355C77"/>
    <w:rsid w:val="00355E58"/>
    <w:rsid w:val="00355F03"/>
    <w:rsid w:val="00355FD5"/>
    <w:rsid w:val="00356841"/>
    <w:rsid w:val="00356D64"/>
    <w:rsid w:val="00356D8C"/>
    <w:rsid w:val="003570E8"/>
    <w:rsid w:val="003573D7"/>
    <w:rsid w:val="003578AD"/>
    <w:rsid w:val="00357C4B"/>
    <w:rsid w:val="003605BC"/>
    <w:rsid w:val="003608B2"/>
    <w:rsid w:val="0036096A"/>
    <w:rsid w:val="003609CB"/>
    <w:rsid w:val="00360DEF"/>
    <w:rsid w:val="00360E6C"/>
    <w:rsid w:val="00361148"/>
    <w:rsid w:val="003613F9"/>
    <w:rsid w:val="0036160A"/>
    <w:rsid w:val="00361796"/>
    <w:rsid w:val="00361996"/>
    <w:rsid w:val="00361C54"/>
    <w:rsid w:val="003621BF"/>
    <w:rsid w:val="003622F1"/>
    <w:rsid w:val="0036233E"/>
    <w:rsid w:val="003623E0"/>
    <w:rsid w:val="0036265C"/>
    <w:rsid w:val="00362A53"/>
    <w:rsid w:val="00362F12"/>
    <w:rsid w:val="00362F60"/>
    <w:rsid w:val="00362FA3"/>
    <w:rsid w:val="0036315A"/>
    <w:rsid w:val="00363383"/>
    <w:rsid w:val="00363446"/>
    <w:rsid w:val="0036355B"/>
    <w:rsid w:val="00363579"/>
    <w:rsid w:val="003635AA"/>
    <w:rsid w:val="00363CDC"/>
    <w:rsid w:val="00363F8E"/>
    <w:rsid w:val="003640FE"/>
    <w:rsid w:val="003641A4"/>
    <w:rsid w:val="003642A2"/>
    <w:rsid w:val="003646A0"/>
    <w:rsid w:val="0036474B"/>
    <w:rsid w:val="00364817"/>
    <w:rsid w:val="00364855"/>
    <w:rsid w:val="00364B60"/>
    <w:rsid w:val="00364EE0"/>
    <w:rsid w:val="0036503A"/>
    <w:rsid w:val="00365182"/>
    <w:rsid w:val="003651C3"/>
    <w:rsid w:val="00365202"/>
    <w:rsid w:val="00365350"/>
    <w:rsid w:val="0036535A"/>
    <w:rsid w:val="00365565"/>
    <w:rsid w:val="0036565C"/>
    <w:rsid w:val="0036571B"/>
    <w:rsid w:val="003658CF"/>
    <w:rsid w:val="00365B05"/>
    <w:rsid w:val="00365DE7"/>
    <w:rsid w:val="0036615E"/>
    <w:rsid w:val="003661C4"/>
    <w:rsid w:val="00366293"/>
    <w:rsid w:val="00366430"/>
    <w:rsid w:val="003668A4"/>
    <w:rsid w:val="003668CE"/>
    <w:rsid w:val="003668EB"/>
    <w:rsid w:val="00366B07"/>
    <w:rsid w:val="00366F24"/>
    <w:rsid w:val="003671DC"/>
    <w:rsid w:val="00367248"/>
    <w:rsid w:val="00367356"/>
    <w:rsid w:val="0036744C"/>
    <w:rsid w:val="003675CF"/>
    <w:rsid w:val="003677FE"/>
    <w:rsid w:val="00367C86"/>
    <w:rsid w:val="00367D3C"/>
    <w:rsid w:val="00367F83"/>
    <w:rsid w:val="00370483"/>
    <w:rsid w:val="00370536"/>
    <w:rsid w:val="00370A79"/>
    <w:rsid w:val="00370BD7"/>
    <w:rsid w:val="00370DB9"/>
    <w:rsid w:val="00370E35"/>
    <w:rsid w:val="00370F70"/>
    <w:rsid w:val="00371035"/>
    <w:rsid w:val="00371256"/>
    <w:rsid w:val="003714D4"/>
    <w:rsid w:val="003715DD"/>
    <w:rsid w:val="003716B9"/>
    <w:rsid w:val="00371737"/>
    <w:rsid w:val="003717B4"/>
    <w:rsid w:val="0037182C"/>
    <w:rsid w:val="00371C40"/>
    <w:rsid w:val="00371F24"/>
    <w:rsid w:val="0037205E"/>
    <w:rsid w:val="003722CB"/>
    <w:rsid w:val="0037261F"/>
    <w:rsid w:val="003728C7"/>
    <w:rsid w:val="00372D2B"/>
    <w:rsid w:val="00372FA6"/>
    <w:rsid w:val="003730A1"/>
    <w:rsid w:val="003732C3"/>
    <w:rsid w:val="00373444"/>
    <w:rsid w:val="003735E9"/>
    <w:rsid w:val="00373BD5"/>
    <w:rsid w:val="00373D71"/>
    <w:rsid w:val="00373DAE"/>
    <w:rsid w:val="00374243"/>
    <w:rsid w:val="003745C7"/>
    <w:rsid w:val="00374800"/>
    <w:rsid w:val="003749E5"/>
    <w:rsid w:val="00374C1D"/>
    <w:rsid w:val="00374EEB"/>
    <w:rsid w:val="0037500D"/>
    <w:rsid w:val="00375086"/>
    <w:rsid w:val="003751CD"/>
    <w:rsid w:val="003751D4"/>
    <w:rsid w:val="003755BD"/>
    <w:rsid w:val="003755C0"/>
    <w:rsid w:val="0037568F"/>
    <w:rsid w:val="00375838"/>
    <w:rsid w:val="00375931"/>
    <w:rsid w:val="00375AD3"/>
    <w:rsid w:val="00375B54"/>
    <w:rsid w:val="00375D9E"/>
    <w:rsid w:val="00375E9E"/>
    <w:rsid w:val="00376697"/>
    <w:rsid w:val="003766C1"/>
    <w:rsid w:val="003768A5"/>
    <w:rsid w:val="003769F8"/>
    <w:rsid w:val="00376BC6"/>
    <w:rsid w:val="00376E87"/>
    <w:rsid w:val="00377108"/>
    <w:rsid w:val="003779BF"/>
    <w:rsid w:val="00377A03"/>
    <w:rsid w:val="00377CEF"/>
    <w:rsid w:val="00377D3F"/>
    <w:rsid w:val="00377DD0"/>
    <w:rsid w:val="00377EEB"/>
    <w:rsid w:val="00380105"/>
    <w:rsid w:val="00380113"/>
    <w:rsid w:val="00380380"/>
    <w:rsid w:val="003804BC"/>
    <w:rsid w:val="00380666"/>
    <w:rsid w:val="00380679"/>
    <w:rsid w:val="00380A57"/>
    <w:rsid w:val="00380A7C"/>
    <w:rsid w:val="00380BDF"/>
    <w:rsid w:val="00380DFD"/>
    <w:rsid w:val="00380F80"/>
    <w:rsid w:val="0038109F"/>
    <w:rsid w:val="003810EF"/>
    <w:rsid w:val="00381265"/>
    <w:rsid w:val="0038146D"/>
    <w:rsid w:val="00381F94"/>
    <w:rsid w:val="00382034"/>
    <w:rsid w:val="003820BE"/>
    <w:rsid w:val="003821EE"/>
    <w:rsid w:val="0038220B"/>
    <w:rsid w:val="0038225C"/>
    <w:rsid w:val="003822D9"/>
    <w:rsid w:val="00382772"/>
    <w:rsid w:val="00382773"/>
    <w:rsid w:val="003828BC"/>
    <w:rsid w:val="003829E8"/>
    <w:rsid w:val="00382A7F"/>
    <w:rsid w:val="00382BB5"/>
    <w:rsid w:val="0038300A"/>
    <w:rsid w:val="00383046"/>
    <w:rsid w:val="00383397"/>
    <w:rsid w:val="00383659"/>
    <w:rsid w:val="00383774"/>
    <w:rsid w:val="00383AB3"/>
    <w:rsid w:val="00383D47"/>
    <w:rsid w:val="00383DB9"/>
    <w:rsid w:val="00383F2F"/>
    <w:rsid w:val="003840CA"/>
    <w:rsid w:val="00384683"/>
    <w:rsid w:val="003846C9"/>
    <w:rsid w:val="0038473D"/>
    <w:rsid w:val="0038499E"/>
    <w:rsid w:val="00384A3F"/>
    <w:rsid w:val="00384FBD"/>
    <w:rsid w:val="00385147"/>
    <w:rsid w:val="00385287"/>
    <w:rsid w:val="0038556C"/>
    <w:rsid w:val="003855C2"/>
    <w:rsid w:val="00385777"/>
    <w:rsid w:val="0038597A"/>
    <w:rsid w:val="00385C62"/>
    <w:rsid w:val="00385E95"/>
    <w:rsid w:val="00386092"/>
    <w:rsid w:val="00386208"/>
    <w:rsid w:val="00386936"/>
    <w:rsid w:val="00386955"/>
    <w:rsid w:val="00386AE0"/>
    <w:rsid w:val="00386EED"/>
    <w:rsid w:val="00386F3F"/>
    <w:rsid w:val="00387745"/>
    <w:rsid w:val="00387946"/>
    <w:rsid w:val="00387A11"/>
    <w:rsid w:val="00387E17"/>
    <w:rsid w:val="00390049"/>
    <w:rsid w:val="003902FA"/>
    <w:rsid w:val="00390345"/>
    <w:rsid w:val="0039042A"/>
    <w:rsid w:val="0039042B"/>
    <w:rsid w:val="003904CB"/>
    <w:rsid w:val="0039074D"/>
    <w:rsid w:val="003907F6"/>
    <w:rsid w:val="00390C62"/>
    <w:rsid w:val="00390E03"/>
    <w:rsid w:val="00391173"/>
    <w:rsid w:val="0039138A"/>
    <w:rsid w:val="0039178F"/>
    <w:rsid w:val="003919B3"/>
    <w:rsid w:val="003919E0"/>
    <w:rsid w:val="00391B3A"/>
    <w:rsid w:val="00391B70"/>
    <w:rsid w:val="00391CA5"/>
    <w:rsid w:val="00391E68"/>
    <w:rsid w:val="003921BD"/>
    <w:rsid w:val="003924C3"/>
    <w:rsid w:val="003925CA"/>
    <w:rsid w:val="00392861"/>
    <w:rsid w:val="00392A5C"/>
    <w:rsid w:val="00392D87"/>
    <w:rsid w:val="0039327E"/>
    <w:rsid w:val="00393646"/>
    <w:rsid w:val="00393AF1"/>
    <w:rsid w:val="00393BED"/>
    <w:rsid w:val="00393C24"/>
    <w:rsid w:val="00393E4B"/>
    <w:rsid w:val="00393E6F"/>
    <w:rsid w:val="00393F87"/>
    <w:rsid w:val="00394135"/>
    <w:rsid w:val="003941B7"/>
    <w:rsid w:val="003941CE"/>
    <w:rsid w:val="003941E1"/>
    <w:rsid w:val="0039428A"/>
    <w:rsid w:val="00394577"/>
    <w:rsid w:val="0039457B"/>
    <w:rsid w:val="003945CB"/>
    <w:rsid w:val="003945DA"/>
    <w:rsid w:val="00394796"/>
    <w:rsid w:val="0039492D"/>
    <w:rsid w:val="0039497E"/>
    <w:rsid w:val="00394CEB"/>
    <w:rsid w:val="00394EA6"/>
    <w:rsid w:val="00395235"/>
    <w:rsid w:val="00395483"/>
    <w:rsid w:val="003956D1"/>
    <w:rsid w:val="0039572A"/>
    <w:rsid w:val="0039583B"/>
    <w:rsid w:val="00395985"/>
    <w:rsid w:val="003959E3"/>
    <w:rsid w:val="003960A2"/>
    <w:rsid w:val="00396193"/>
    <w:rsid w:val="00396657"/>
    <w:rsid w:val="00396931"/>
    <w:rsid w:val="00397046"/>
    <w:rsid w:val="00397675"/>
    <w:rsid w:val="003979A1"/>
    <w:rsid w:val="00397A6C"/>
    <w:rsid w:val="00397FB9"/>
    <w:rsid w:val="003A02A1"/>
    <w:rsid w:val="003A0341"/>
    <w:rsid w:val="003A03C5"/>
    <w:rsid w:val="003A0A07"/>
    <w:rsid w:val="003A0A4C"/>
    <w:rsid w:val="003A0B6B"/>
    <w:rsid w:val="003A0BF4"/>
    <w:rsid w:val="003A0FF7"/>
    <w:rsid w:val="003A118B"/>
    <w:rsid w:val="003A1279"/>
    <w:rsid w:val="003A12BF"/>
    <w:rsid w:val="003A1303"/>
    <w:rsid w:val="003A1612"/>
    <w:rsid w:val="003A1645"/>
    <w:rsid w:val="003A1798"/>
    <w:rsid w:val="003A17F6"/>
    <w:rsid w:val="003A1945"/>
    <w:rsid w:val="003A198F"/>
    <w:rsid w:val="003A1A2C"/>
    <w:rsid w:val="003A1A84"/>
    <w:rsid w:val="003A1AB7"/>
    <w:rsid w:val="003A27A6"/>
    <w:rsid w:val="003A2800"/>
    <w:rsid w:val="003A2862"/>
    <w:rsid w:val="003A2B5B"/>
    <w:rsid w:val="003A2B88"/>
    <w:rsid w:val="003A2EC7"/>
    <w:rsid w:val="003A31BF"/>
    <w:rsid w:val="003A35B7"/>
    <w:rsid w:val="003A3631"/>
    <w:rsid w:val="003A385A"/>
    <w:rsid w:val="003A39F6"/>
    <w:rsid w:val="003A3AA9"/>
    <w:rsid w:val="003A3E15"/>
    <w:rsid w:val="003A3EE0"/>
    <w:rsid w:val="003A41CA"/>
    <w:rsid w:val="003A421A"/>
    <w:rsid w:val="003A44F6"/>
    <w:rsid w:val="003A4757"/>
    <w:rsid w:val="003A48AE"/>
    <w:rsid w:val="003A4D8A"/>
    <w:rsid w:val="003A50DE"/>
    <w:rsid w:val="003A521C"/>
    <w:rsid w:val="003A5278"/>
    <w:rsid w:val="003A5292"/>
    <w:rsid w:val="003A556B"/>
    <w:rsid w:val="003A5602"/>
    <w:rsid w:val="003A5813"/>
    <w:rsid w:val="003A5B3B"/>
    <w:rsid w:val="003A5BD8"/>
    <w:rsid w:val="003A6285"/>
    <w:rsid w:val="003A6A1B"/>
    <w:rsid w:val="003A6C26"/>
    <w:rsid w:val="003A6C4A"/>
    <w:rsid w:val="003A6E0E"/>
    <w:rsid w:val="003A6E15"/>
    <w:rsid w:val="003A7238"/>
    <w:rsid w:val="003A7385"/>
    <w:rsid w:val="003A7BA0"/>
    <w:rsid w:val="003A7E52"/>
    <w:rsid w:val="003A7F1F"/>
    <w:rsid w:val="003B0182"/>
    <w:rsid w:val="003B04FA"/>
    <w:rsid w:val="003B0B19"/>
    <w:rsid w:val="003B0C72"/>
    <w:rsid w:val="003B0CD5"/>
    <w:rsid w:val="003B0D63"/>
    <w:rsid w:val="003B1628"/>
    <w:rsid w:val="003B177A"/>
    <w:rsid w:val="003B183F"/>
    <w:rsid w:val="003B1A8E"/>
    <w:rsid w:val="003B227C"/>
    <w:rsid w:val="003B2295"/>
    <w:rsid w:val="003B23FB"/>
    <w:rsid w:val="003B24D5"/>
    <w:rsid w:val="003B2517"/>
    <w:rsid w:val="003B2AD8"/>
    <w:rsid w:val="003B2C95"/>
    <w:rsid w:val="003B2CD5"/>
    <w:rsid w:val="003B2E36"/>
    <w:rsid w:val="003B2F96"/>
    <w:rsid w:val="003B3181"/>
    <w:rsid w:val="003B36E0"/>
    <w:rsid w:val="003B37B7"/>
    <w:rsid w:val="003B38A1"/>
    <w:rsid w:val="003B3B46"/>
    <w:rsid w:val="003B3D0F"/>
    <w:rsid w:val="003B4855"/>
    <w:rsid w:val="003B4938"/>
    <w:rsid w:val="003B4A6C"/>
    <w:rsid w:val="003B4AE9"/>
    <w:rsid w:val="003B4BCC"/>
    <w:rsid w:val="003B4CDB"/>
    <w:rsid w:val="003B5293"/>
    <w:rsid w:val="003B52C3"/>
    <w:rsid w:val="003B534E"/>
    <w:rsid w:val="003B5357"/>
    <w:rsid w:val="003B5387"/>
    <w:rsid w:val="003B54FD"/>
    <w:rsid w:val="003B553A"/>
    <w:rsid w:val="003B5A0B"/>
    <w:rsid w:val="003B5A6D"/>
    <w:rsid w:val="003B5B7C"/>
    <w:rsid w:val="003B5DA8"/>
    <w:rsid w:val="003B5EBF"/>
    <w:rsid w:val="003B6075"/>
    <w:rsid w:val="003B6496"/>
    <w:rsid w:val="003B67CC"/>
    <w:rsid w:val="003B6875"/>
    <w:rsid w:val="003B68C6"/>
    <w:rsid w:val="003B691C"/>
    <w:rsid w:val="003B6A20"/>
    <w:rsid w:val="003B6B9F"/>
    <w:rsid w:val="003B6D29"/>
    <w:rsid w:val="003B712E"/>
    <w:rsid w:val="003B7638"/>
    <w:rsid w:val="003B76F3"/>
    <w:rsid w:val="003B777A"/>
    <w:rsid w:val="003B790B"/>
    <w:rsid w:val="003B7EF4"/>
    <w:rsid w:val="003B7FC3"/>
    <w:rsid w:val="003C01BA"/>
    <w:rsid w:val="003C041F"/>
    <w:rsid w:val="003C0424"/>
    <w:rsid w:val="003C07AD"/>
    <w:rsid w:val="003C0A94"/>
    <w:rsid w:val="003C0C63"/>
    <w:rsid w:val="003C0E9E"/>
    <w:rsid w:val="003C100A"/>
    <w:rsid w:val="003C10EC"/>
    <w:rsid w:val="003C17D7"/>
    <w:rsid w:val="003C17DD"/>
    <w:rsid w:val="003C1961"/>
    <w:rsid w:val="003C1AF4"/>
    <w:rsid w:val="003C1BBA"/>
    <w:rsid w:val="003C2151"/>
    <w:rsid w:val="003C21E7"/>
    <w:rsid w:val="003C232F"/>
    <w:rsid w:val="003C2801"/>
    <w:rsid w:val="003C3077"/>
    <w:rsid w:val="003C3381"/>
    <w:rsid w:val="003C3530"/>
    <w:rsid w:val="003C3583"/>
    <w:rsid w:val="003C35EA"/>
    <w:rsid w:val="003C3AB0"/>
    <w:rsid w:val="003C3AB9"/>
    <w:rsid w:val="003C3AD8"/>
    <w:rsid w:val="003C3C7F"/>
    <w:rsid w:val="003C3D24"/>
    <w:rsid w:val="003C403D"/>
    <w:rsid w:val="003C4162"/>
    <w:rsid w:val="003C4172"/>
    <w:rsid w:val="003C4427"/>
    <w:rsid w:val="003C457D"/>
    <w:rsid w:val="003C4607"/>
    <w:rsid w:val="003C4AC6"/>
    <w:rsid w:val="003C4BFA"/>
    <w:rsid w:val="003C504A"/>
    <w:rsid w:val="003C5DDF"/>
    <w:rsid w:val="003C5F86"/>
    <w:rsid w:val="003C5FF5"/>
    <w:rsid w:val="003C621D"/>
    <w:rsid w:val="003C6569"/>
    <w:rsid w:val="003C661C"/>
    <w:rsid w:val="003C68DE"/>
    <w:rsid w:val="003C6929"/>
    <w:rsid w:val="003C6964"/>
    <w:rsid w:val="003C69B1"/>
    <w:rsid w:val="003C6A38"/>
    <w:rsid w:val="003C6B63"/>
    <w:rsid w:val="003C7302"/>
    <w:rsid w:val="003C7622"/>
    <w:rsid w:val="003C7624"/>
    <w:rsid w:val="003C79BC"/>
    <w:rsid w:val="003C7BA4"/>
    <w:rsid w:val="003C7EC1"/>
    <w:rsid w:val="003D0198"/>
    <w:rsid w:val="003D09E1"/>
    <w:rsid w:val="003D0AAB"/>
    <w:rsid w:val="003D0EAE"/>
    <w:rsid w:val="003D0FC2"/>
    <w:rsid w:val="003D0FD5"/>
    <w:rsid w:val="003D0FDF"/>
    <w:rsid w:val="003D11AC"/>
    <w:rsid w:val="003D15D0"/>
    <w:rsid w:val="003D15E0"/>
    <w:rsid w:val="003D16CC"/>
    <w:rsid w:val="003D1825"/>
    <w:rsid w:val="003D1A33"/>
    <w:rsid w:val="003D1CFB"/>
    <w:rsid w:val="003D1F24"/>
    <w:rsid w:val="003D20EC"/>
    <w:rsid w:val="003D2404"/>
    <w:rsid w:val="003D24CB"/>
    <w:rsid w:val="003D2618"/>
    <w:rsid w:val="003D2622"/>
    <w:rsid w:val="003D29AF"/>
    <w:rsid w:val="003D2B46"/>
    <w:rsid w:val="003D2E2A"/>
    <w:rsid w:val="003D2FAC"/>
    <w:rsid w:val="003D3377"/>
    <w:rsid w:val="003D35D1"/>
    <w:rsid w:val="003D3A6F"/>
    <w:rsid w:val="003D3B4F"/>
    <w:rsid w:val="003D3C3C"/>
    <w:rsid w:val="003D403F"/>
    <w:rsid w:val="003D4095"/>
    <w:rsid w:val="003D429D"/>
    <w:rsid w:val="003D4329"/>
    <w:rsid w:val="003D43A0"/>
    <w:rsid w:val="003D478D"/>
    <w:rsid w:val="003D47EF"/>
    <w:rsid w:val="003D499E"/>
    <w:rsid w:val="003D4C8A"/>
    <w:rsid w:val="003D4C8B"/>
    <w:rsid w:val="003D4E76"/>
    <w:rsid w:val="003D4EC8"/>
    <w:rsid w:val="003D504F"/>
    <w:rsid w:val="003D51D3"/>
    <w:rsid w:val="003D52DA"/>
    <w:rsid w:val="003D56EB"/>
    <w:rsid w:val="003D5853"/>
    <w:rsid w:val="003D5872"/>
    <w:rsid w:val="003D5CFB"/>
    <w:rsid w:val="003D623F"/>
    <w:rsid w:val="003D63D8"/>
    <w:rsid w:val="003D63F6"/>
    <w:rsid w:val="003D6643"/>
    <w:rsid w:val="003D684B"/>
    <w:rsid w:val="003D6BA6"/>
    <w:rsid w:val="003D701B"/>
    <w:rsid w:val="003D705E"/>
    <w:rsid w:val="003D72AD"/>
    <w:rsid w:val="003D7374"/>
    <w:rsid w:val="003D7411"/>
    <w:rsid w:val="003D74FD"/>
    <w:rsid w:val="003D774E"/>
    <w:rsid w:val="003D7855"/>
    <w:rsid w:val="003D79F7"/>
    <w:rsid w:val="003D7CB6"/>
    <w:rsid w:val="003D7D82"/>
    <w:rsid w:val="003E00D4"/>
    <w:rsid w:val="003E0136"/>
    <w:rsid w:val="003E0175"/>
    <w:rsid w:val="003E0268"/>
    <w:rsid w:val="003E03E4"/>
    <w:rsid w:val="003E05A4"/>
    <w:rsid w:val="003E07B1"/>
    <w:rsid w:val="003E0869"/>
    <w:rsid w:val="003E0B2C"/>
    <w:rsid w:val="003E0FE5"/>
    <w:rsid w:val="003E104D"/>
    <w:rsid w:val="003E119A"/>
    <w:rsid w:val="003E158C"/>
    <w:rsid w:val="003E159C"/>
    <w:rsid w:val="003E1611"/>
    <w:rsid w:val="003E17F8"/>
    <w:rsid w:val="003E184A"/>
    <w:rsid w:val="003E191F"/>
    <w:rsid w:val="003E1995"/>
    <w:rsid w:val="003E1F13"/>
    <w:rsid w:val="003E1F4C"/>
    <w:rsid w:val="003E1F81"/>
    <w:rsid w:val="003E2007"/>
    <w:rsid w:val="003E2031"/>
    <w:rsid w:val="003E21FD"/>
    <w:rsid w:val="003E2641"/>
    <w:rsid w:val="003E2652"/>
    <w:rsid w:val="003E273A"/>
    <w:rsid w:val="003E2AD7"/>
    <w:rsid w:val="003E2F42"/>
    <w:rsid w:val="003E312E"/>
    <w:rsid w:val="003E3136"/>
    <w:rsid w:val="003E32C6"/>
    <w:rsid w:val="003E32C8"/>
    <w:rsid w:val="003E343D"/>
    <w:rsid w:val="003E369F"/>
    <w:rsid w:val="003E370E"/>
    <w:rsid w:val="003E3A03"/>
    <w:rsid w:val="003E3B2A"/>
    <w:rsid w:val="003E3DCE"/>
    <w:rsid w:val="003E4004"/>
    <w:rsid w:val="003E408F"/>
    <w:rsid w:val="003E4320"/>
    <w:rsid w:val="003E4357"/>
    <w:rsid w:val="003E435F"/>
    <w:rsid w:val="003E43E7"/>
    <w:rsid w:val="003E47D0"/>
    <w:rsid w:val="003E4962"/>
    <w:rsid w:val="003E4D0A"/>
    <w:rsid w:val="003E4DA2"/>
    <w:rsid w:val="003E52D5"/>
    <w:rsid w:val="003E5394"/>
    <w:rsid w:val="003E586D"/>
    <w:rsid w:val="003E5AC8"/>
    <w:rsid w:val="003E5B31"/>
    <w:rsid w:val="003E5F91"/>
    <w:rsid w:val="003E5FA9"/>
    <w:rsid w:val="003E5FAD"/>
    <w:rsid w:val="003E6155"/>
    <w:rsid w:val="003E65A6"/>
    <w:rsid w:val="003E65E7"/>
    <w:rsid w:val="003E6A89"/>
    <w:rsid w:val="003E6D6D"/>
    <w:rsid w:val="003E74CD"/>
    <w:rsid w:val="003E790C"/>
    <w:rsid w:val="003E7E18"/>
    <w:rsid w:val="003F039A"/>
    <w:rsid w:val="003F03A9"/>
    <w:rsid w:val="003F045A"/>
    <w:rsid w:val="003F0550"/>
    <w:rsid w:val="003F0B9C"/>
    <w:rsid w:val="003F0C71"/>
    <w:rsid w:val="003F0CE5"/>
    <w:rsid w:val="003F0D29"/>
    <w:rsid w:val="003F0DB9"/>
    <w:rsid w:val="003F0DD3"/>
    <w:rsid w:val="003F1250"/>
    <w:rsid w:val="003F15CE"/>
    <w:rsid w:val="003F16B9"/>
    <w:rsid w:val="003F1731"/>
    <w:rsid w:val="003F1748"/>
    <w:rsid w:val="003F1752"/>
    <w:rsid w:val="003F176F"/>
    <w:rsid w:val="003F1FC2"/>
    <w:rsid w:val="003F2205"/>
    <w:rsid w:val="003F2207"/>
    <w:rsid w:val="003F241C"/>
    <w:rsid w:val="003F254D"/>
    <w:rsid w:val="003F2706"/>
    <w:rsid w:val="003F2F45"/>
    <w:rsid w:val="003F3287"/>
    <w:rsid w:val="003F32CF"/>
    <w:rsid w:val="003F332E"/>
    <w:rsid w:val="003F340A"/>
    <w:rsid w:val="003F3536"/>
    <w:rsid w:val="003F35C9"/>
    <w:rsid w:val="003F35D1"/>
    <w:rsid w:val="003F3679"/>
    <w:rsid w:val="003F3848"/>
    <w:rsid w:val="003F38D3"/>
    <w:rsid w:val="003F38F8"/>
    <w:rsid w:val="003F3ABC"/>
    <w:rsid w:val="003F3B57"/>
    <w:rsid w:val="003F3CC1"/>
    <w:rsid w:val="003F3D05"/>
    <w:rsid w:val="003F3DBF"/>
    <w:rsid w:val="003F3DF0"/>
    <w:rsid w:val="003F3E22"/>
    <w:rsid w:val="003F3E3A"/>
    <w:rsid w:val="003F3F2D"/>
    <w:rsid w:val="003F3F4D"/>
    <w:rsid w:val="003F3FEF"/>
    <w:rsid w:val="003F40F3"/>
    <w:rsid w:val="003F419D"/>
    <w:rsid w:val="003F4217"/>
    <w:rsid w:val="003F42BA"/>
    <w:rsid w:val="003F43E2"/>
    <w:rsid w:val="003F448E"/>
    <w:rsid w:val="003F44A5"/>
    <w:rsid w:val="003F462F"/>
    <w:rsid w:val="003F476F"/>
    <w:rsid w:val="003F491D"/>
    <w:rsid w:val="003F49E9"/>
    <w:rsid w:val="003F5097"/>
    <w:rsid w:val="003F5228"/>
    <w:rsid w:val="003F5276"/>
    <w:rsid w:val="003F53B6"/>
    <w:rsid w:val="003F5510"/>
    <w:rsid w:val="003F570E"/>
    <w:rsid w:val="003F5ACB"/>
    <w:rsid w:val="003F5D89"/>
    <w:rsid w:val="003F6201"/>
    <w:rsid w:val="003F65F6"/>
    <w:rsid w:val="003F663C"/>
    <w:rsid w:val="003F6740"/>
    <w:rsid w:val="003F67EF"/>
    <w:rsid w:val="003F6B75"/>
    <w:rsid w:val="003F6BEC"/>
    <w:rsid w:val="003F6E7A"/>
    <w:rsid w:val="003F6F0F"/>
    <w:rsid w:val="003F7082"/>
    <w:rsid w:val="003F710F"/>
    <w:rsid w:val="003F73CF"/>
    <w:rsid w:val="003F744B"/>
    <w:rsid w:val="003F7458"/>
    <w:rsid w:val="003F75FD"/>
    <w:rsid w:val="003F760A"/>
    <w:rsid w:val="003F7645"/>
    <w:rsid w:val="003F77F2"/>
    <w:rsid w:val="003F7FAC"/>
    <w:rsid w:val="00400046"/>
    <w:rsid w:val="004002DC"/>
    <w:rsid w:val="00400420"/>
    <w:rsid w:val="004006CC"/>
    <w:rsid w:val="00400D2F"/>
    <w:rsid w:val="00400E0F"/>
    <w:rsid w:val="00400ED7"/>
    <w:rsid w:val="00401070"/>
    <w:rsid w:val="004010CB"/>
    <w:rsid w:val="004010D4"/>
    <w:rsid w:val="00401350"/>
    <w:rsid w:val="004015C6"/>
    <w:rsid w:val="00401864"/>
    <w:rsid w:val="004018B2"/>
    <w:rsid w:val="00401AB8"/>
    <w:rsid w:val="00401B61"/>
    <w:rsid w:val="004021FE"/>
    <w:rsid w:val="00402394"/>
    <w:rsid w:val="00402403"/>
    <w:rsid w:val="0040240E"/>
    <w:rsid w:val="004030D6"/>
    <w:rsid w:val="0040354A"/>
    <w:rsid w:val="00403CDB"/>
    <w:rsid w:val="00403DD1"/>
    <w:rsid w:val="00403F16"/>
    <w:rsid w:val="00403F39"/>
    <w:rsid w:val="00404452"/>
    <w:rsid w:val="00404453"/>
    <w:rsid w:val="00404ABE"/>
    <w:rsid w:val="00404CA6"/>
    <w:rsid w:val="00404F28"/>
    <w:rsid w:val="00404F67"/>
    <w:rsid w:val="00405380"/>
    <w:rsid w:val="00405674"/>
    <w:rsid w:val="004058EA"/>
    <w:rsid w:val="00405C88"/>
    <w:rsid w:val="004062E7"/>
    <w:rsid w:val="004067A7"/>
    <w:rsid w:val="0040683B"/>
    <w:rsid w:val="00406CE7"/>
    <w:rsid w:val="00406F7A"/>
    <w:rsid w:val="00406FC8"/>
    <w:rsid w:val="004073D2"/>
    <w:rsid w:val="00407604"/>
    <w:rsid w:val="004077DF"/>
    <w:rsid w:val="0040798D"/>
    <w:rsid w:val="00407DC6"/>
    <w:rsid w:val="00407E92"/>
    <w:rsid w:val="0041058C"/>
    <w:rsid w:val="004106A5"/>
    <w:rsid w:val="00410745"/>
    <w:rsid w:val="00410830"/>
    <w:rsid w:val="00410BA6"/>
    <w:rsid w:val="00410BA9"/>
    <w:rsid w:val="004113DA"/>
    <w:rsid w:val="00411433"/>
    <w:rsid w:val="0041154A"/>
    <w:rsid w:val="00411797"/>
    <w:rsid w:val="004119A0"/>
    <w:rsid w:val="00411A63"/>
    <w:rsid w:val="00411C7A"/>
    <w:rsid w:val="00411D30"/>
    <w:rsid w:val="00411FCB"/>
    <w:rsid w:val="0041219D"/>
    <w:rsid w:val="004122CD"/>
    <w:rsid w:val="0041247A"/>
    <w:rsid w:val="004126D4"/>
    <w:rsid w:val="0041293E"/>
    <w:rsid w:val="00412C73"/>
    <w:rsid w:val="00412FED"/>
    <w:rsid w:val="00413037"/>
    <w:rsid w:val="004130EA"/>
    <w:rsid w:val="004132BA"/>
    <w:rsid w:val="00413481"/>
    <w:rsid w:val="00413564"/>
    <w:rsid w:val="004136CC"/>
    <w:rsid w:val="0041375D"/>
    <w:rsid w:val="00413B29"/>
    <w:rsid w:val="00413D2B"/>
    <w:rsid w:val="00413F3D"/>
    <w:rsid w:val="00413FB9"/>
    <w:rsid w:val="00414707"/>
    <w:rsid w:val="0041477B"/>
    <w:rsid w:val="004147A2"/>
    <w:rsid w:val="0041480A"/>
    <w:rsid w:val="00414884"/>
    <w:rsid w:val="004148A1"/>
    <w:rsid w:val="00414901"/>
    <w:rsid w:val="00414A1C"/>
    <w:rsid w:val="00414B2E"/>
    <w:rsid w:val="00414CF0"/>
    <w:rsid w:val="00415066"/>
    <w:rsid w:val="0041516C"/>
    <w:rsid w:val="004152E4"/>
    <w:rsid w:val="004157E4"/>
    <w:rsid w:val="00415BC6"/>
    <w:rsid w:val="00415D59"/>
    <w:rsid w:val="00415E54"/>
    <w:rsid w:val="0041634E"/>
    <w:rsid w:val="004165E7"/>
    <w:rsid w:val="00416690"/>
    <w:rsid w:val="0041677E"/>
    <w:rsid w:val="0041683C"/>
    <w:rsid w:val="00416B46"/>
    <w:rsid w:val="00416D98"/>
    <w:rsid w:val="0041707B"/>
    <w:rsid w:val="004171A5"/>
    <w:rsid w:val="004171C2"/>
    <w:rsid w:val="0041735A"/>
    <w:rsid w:val="0041745F"/>
    <w:rsid w:val="004174A6"/>
    <w:rsid w:val="00417616"/>
    <w:rsid w:val="004176F7"/>
    <w:rsid w:val="00417A72"/>
    <w:rsid w:val="00420134"/>
    <w:rsid w:val="004201C1"/>
    <w:rsid w:val="00420453"/>
    <w:rsid w:val="004206F5"/>
    <w:rsid w:val="00420BAB"/>
    <w:rsid w:val="00420C4C"/>
    <w:rsid w:val="00420CCC"/>
    <w:rsid w:val="00420EE9"/>
    <w:rsid w:val="00420F6A"/>
    <w:rsid w:val="00421105"/>
    <w:rsid w:val="0042117F"/>
    <w:rsid w:val="0042123B"/>
    <w:rsid w:val="00421277"/>
    <w:rsid w:val="0042180F"/>
    <w:rsid w:val="00421C21"/>
    <w:rsid w:val="00421C30"/>
    <w:rsid w:val="00421DBA"/>
    <w:rsid w:val="00421F1F"/>
    <w:rsid w:val="00421FFB"/>
    <w:rsid w:val="0042283B"/>
    <w:rsid w:val="004228F1"/>
    <w:rsid w:val="004229FB"/>
    <w:rsid w:val="00422A45"/>
    <w:rsid w:val="00422B50"/>
    <w:rsid w:val="00422DFF"/>
    <w:rsid w:val="00423437"/>
    <w:rsid w:val="0042343B"/>
    <w:rsid w:val="00423594"/>
    <w:rsid w:val="004235AB"/>
    <w:rsid w:val="004238CF"/>
    <w:rsid w:val="00423AE9"/>
    <w:rsid w:val="00423C0A"/>
    <w:rsid w:val="00423DEE"/>
    <w:rsid w:val="004240AE"/>
    <w:rsid w:val="004240C2"/>
    <w:rsid w:val="004240E5"/>
    <w:rsid w:val="00424130"/>
    <w:rsid w:val="00424437"/>
    <w:rsid w:val="00424455"/>
    <w:rsid w:val="004245A1"/>
    <w:rsid w:val="00424A51"/>
    <w:rsid w:val="00424AAA"/>
    <w:rsid w:val="00424AC0"/>
    <w:rsid w:val="00424BD3"/>
    <w:rsid w:val="004254BD"/>
    <w:rsid w:val="00425656"/>
    <w:rsid w:val="00425791"/>
    <w:rsid w:val="00425809"/>
    <w:rsid w:val="00425819"/>
    <w:rsid w:val="004259F6"/>
    <w:rsid w:val="00425A15"/>
    <w:rsid w:val="00425B98"/>
    <w:rsid w:val="0042619F"/>
    <w:rsid w:val="004261AD"/>
    <w:rsid w:val="0042633D"/>
    <w:rsid w:val="00426871"/>
    <w:rsid w:val="00426B8E"/>
    <w:rsid w:val="00426CCD"/>
    <w:rsid w:val="00426D1C"/>
    <w:rsid w:val="00426E46"/>
    <w:rsid w:val="004274EE"/>
    <w:rsid w:val="00427714"/>
    <w:rsid w:val="00427D6C"/>
    <w:rsid w:val="00427E01"/>
    <w:rsid w:val="00427EB9"/>
    <w:rsid w:val="00427F30"/>
    <w:rsid w:val="00430130"/>
    <w:rsid w:val="00430192"/>
    <w:rsid w:val="004305AD"/>
    <w:rsid w:val="004305BB"/>
    <w:rsid w:val="00430850"/>
    <w:rsid w:val="00430948"/>
    <w:rsid w:val="00430A00"/>
    <w:rsid w:val="00430D73"/>
    <w:rsid w:val="00430E37"/>
    <w:rsid w:val="004312FC"/>
    <w:rsid w:val="00431375"/>
    <w:rsid w:val="00431CAC"/>
    <w:rsid w:val="00431CCD"/>
    <w:rsid w:val="00431F20"/>
    <w:rsid w:val="004321B0"/>
    <w:rsid w:val="004321CF"/>
    <w:rsid w:val="00432377"/>
    <w:rsid w:val="004325B8"/>
    <w:rsid w:val="0043270C"/>
    <w:rsid w:val="004327CE"/>
    <w:rsid w:val="00432A44"/>
    <w:rsid w:val="00432C11"/>
    <w:rsid w:val="00432FA5"/>
    <w:rsid w:val="00433198"/>
    <w:rsid w:val="0043361F"/>
    <w:rsid w:val="004337D7"/>
    <w:rsid w:val="00433D34"/>
    <w:rsid w:val="00433E31"/>
    <w:rsid w:val="00433F69"/>
    <w:rsid w:val="00434108"/>
    <w:rsid w:val="00434156"/>
    <w:rsid w:val="00434301"/>
    <w:rsid w:val="0043487C"/>
    <w:rsid w:val="00434954"/>
    <w:rsid w:val="00434B61"/>
    <w:rsid w:val="00434CB6"/>
    <w:rsid w:val="0043504C"/>
    <w:rsid w:val="004357D4"/>
    <w:rsid w:val="00435A77"/>
    <w:rsid w:val="00435C75"/>
    <w:rsid w:val="00435EB3"/>
    <w:rsid w:val="004367F7"/>
    <w:rsid w:val="00436EFD"/>
    <w:rsid w:val="00436F11"/>
    <w:rsid w:val="0043706B"/>
    <w:rsid w:val="004370F3"/>
    <w:rsid w:val="00437536"/>
    <w:rsid w:val="00437B53"/>
    <w:rsid w:val="00437BCE"/>
    <w:rsid w:val="00437E51"/>
    <w:rsid w:val="0044009E"/>
    <w:rsid w:val="00440105"/>
    <w:rsid w:val="004406E7"/>
    <w:rsid w:val="00440749"/>
    <w:rsid w:val="00440788"/>
    <w:rsid w:val="004409D7"/>
    <w:rsid w:val="00440ADC"/>
    <w:rsid w:val="00440BB9"/>
    <w:rsid w:val="00440D02"/>
    <w:rsid w:val="00440E07"/>
    <w:rsid w:val="0044122D"/>
    <w:rsid w:val="00441335"/>
    <w:rsid w:val="0044134F"/>
    <w:rsid w:val="004414BE"/>
    <w:rsid w:val="004419C0"/>
    <w:rsid w:val="00441ABE"/>
    <w:rsid w:val="00441D1B"/>
    <w:rsid w:val="00442291"/>
    <w:rsid w:val="0044245A"/>
    <w:rsid w:val="004424B4"/>
    <w:rsid w:val="00442528"/>
    <w:rsid w:val="0044258C"/>
    <w:rsid w:val="00442678"/>
    <w:rsid w:val="004427CD"/>
    <w:rsid w:val="004428E5"/>
    <w:rsid w:val="00442C7F"/>
    <w:rsid w:val="00442E93"/>
    <w:rsid w:val="00442F3E"/>
    <w:rsid w:val="00443325"/>
    <w:rsid w:val="004433A6"/>
    <w:rsid w:val="004433C8"/>
    <w:rsid w:val="004435AC"/>
    <w:rsid w:val="004436B3"/>
    <w:rsid w:val="00443888"/>
    <w:rsid w:val="00443957"/>
    <w:rsid w:val="004439CB"/>
    <w:rsid w:val="00443A34"/>
    <w:rsid w:val="0044453F"/>
    <w:rsid w:val="00444662"/>
    <w:rsid w:val="004447B9"/>
    <w:rsid w:val="004447D2"/>
    <w:rsid w:val="0044491D"/>
    <w:rsid w:val="00444A90"/>
    <w:rsid w:val="00444BA1"/>
    <w:rsid w:val="00444F74"/>
    <w:rsid w:val="004450D1"/>
    <w:rsid w:val="004451B2"/>
    <w:rsid w:val="004454FE"/>
    <w:rsid w:val="00445734"/>
    <w:rsid w:val="00445825"/>
    <w:rsid w:val="004458A7"/>
    <w:rsid w:val="00445A6F"/>
    <w:rsid w:val="00445D56"/>
    <w:rsid w:val="00445EAA"/>
    <w:rsid w:val="00445F0E"/>
    <w:rsid w:val="00445F2E"/>
    <w:rsid w:val="00446924"/>
    <w:rsid w:val="00446A41"/>
    <w:rsid w:val="00446E78"/>
    <w:rsid w:val="0044705A"/>
    <w:rsid w:val="0044725A"/>
    <w:rsid w:val="00447326"/>
    <w:rsid w:val="00447949"/>
    <w:rsid w:val="00447AC5"/>
    <w:rsid w:val="00447C35"/>
    <w:rsid w:val="00447F31"/>
    <w:rsid w:val="00450038"/>
    <w:rsid w:val="0045026F"/>
    <w:rsid w:val="004502EB"/>
    <w:rsid w:val="00450379"/>
    <w:rsid w:val="004503F7"/>
    <w:rsid w:val="004504F3"/>
    <w:rsid w:val="00450522"/>
    <w:rsid w:val="004505BA"/>
    <w:rsid w:val="00450B2E"/>
    <w:rsid w:val="00450B8D"/>
    <w:rsid w:val="00450CE2"/>
    <w:rsid w:val="00450E9A"/>
    <w:rsid w:val="00450EB5"/>
    <w:rsid w:val="00450F6A"/>
    <w:rsid w:val="00450FA9"/>
    <w:rsid w:val="00451131"/>
    <w:rsid w:val="00451AA0"/>
    <w:rsid w:val="00451B26"/>
    <w:rsid w:val="0045205D"/>
    <w:rsid w:val="004520BA"/>
    <w:rsid w:val="004520DC"/>
    <w:rsid w:val="004522D0"/>
    <w:rsid w:val="00452442"/>
    <w:rsid w:val="00452594"/>
    <w:rsid w:val="004525DA"/>
    <w:rsid w:val="00452731"/>
    <w:rsid w:val="004528A7"/>
    <w:rsid w:val="00452B58"/>
    <w:rsid w:val="00452DCD"/>
    <w:rsid w:val="00452E19"/>
    <w:rsid w:val="00452F70"/>
    <w:rsid w:val="00453329"/>
    <w:rsid w:val="0045337A"/>
    <w:rsid w:val="004533B2"/>
    <w:rsid w:val="0045377C"/>
    <w:rsid w:val="00453851"/>
    <w:rsid w:val="00453886"/>
    <w:rsid w:val="00453887"/>
    <w:rsid w:val="00453AAB"/>
    <w:rsid w:val="00453DBF"/>
    <w:rsid w:val="00453DF0"/>
    <w:rsid w:val="004540F9"/>
    <w:rsid w:val="00454648"/>
    <w:rsid w:val="00454984"/>
    <w:rsid w:val="00454BC7"/>
    <w:rsid w:val="00454C80"/>
    <w:rsid w:val="00454D3C"/>
    <w:rsid w:val="00454F66"/>
    <w:rsid w:val="00455183"/>
    <w:rsid w:val="00455575"/>
    <w:rsid w:val="00455AE4"/>
    <w:rsid w:val="00455BE0"/>
    <w:rsid w:val="00455F6E"/>
    <w:rsid w:val="00455FFA"/>
    <w:rsid w:val="004568B5"/>
    <w:rsid w:val="00456A15"/>
    <w:rsid w:val="00456E57"/>
    <w:rsid w:val="0045729E"/>
    <w:rsid w:val="00457333"/>
    <w:rsid w:val="00457474"/>
    <w:rsid w:val="004578B3"/>
    <w:rsid w:val="004578BA"/>
    <w:rsid w:val="00457F3E"/>
    <w:rsid w:val="00460229"/>
    <w:rsid w:val="004604FD"/>
    <w:rsid w:val="00460835"/>
    <w:rsid w:val="00460B63"/>
    <w:rsid w:val="00460E85"/>
    <w:rsid w:val="004611DC"/>
    <w:rsid w:val="00461F20"/>
    <w:rsid w:val="00462489"/>
    <w:rsid w:val="0046255E"/>
    <w:rsid w:val="00462870"/>
    <w:rsid w:val="00462CF4"/>
    <w:rsid w:val="00462D99"/>
    <w:rsid w:val="00462E8E"/>
    <w:rsid w:val="0046323D"/>
    <w:rsid w:val="00463453"/>
    <w:rsid w:val="00463C0D"/>
    <w:rsid w:val="0046404B"/>
    <w:rsid w:val="0046409E"/>
    <w:rsid w:val="004643BC"/>
    <w:rsid w:val="004644AF"/>
    <w:rsid w:val="00464617"/>
    <w:rsid w:val="00464763"/>
    <w:rsid w:val="00464BBE"/>
    <w:rsid w:val="00464BC0"/>
    <w:rsid w:val="00464E55"/>
    <w:rsid w:val="004650BF"/>
    <w:rsid w:val="0046530D"/>
    <w:rsid w:val="0046540E"/>
    <w:rsid w:val="004654EA"/>
    <w:rsid w:val="004656B1"/>
    <w:rsid w:val="0046579E"/>
    <w:rsid w:val="00465823"/>
    <w:rsid w:val="00465B1C"/>
    <w:rsid w:val="00465B52"/>
    <w:rsid w:val="0046608E"/>
    <w:rsid w:val="004662B0"/>
    <w:rsid w:val="00466697"/>
    <w:rsid w:val="00466737"/>
    <w:rsid w:val="00466834"/>
    <w:rsid w:val="00466F60"/>
    <w:rsid w:val="00467253"/>
    <w:rsid w:val="00467355"/>
    <w:rsid w:val="004679D7"/>
    <w:rsid w:val="00467A7C"/>
    <w:rsid w:val="00467B61"/>
    <w:rsid w:val="00467C2F"/>
    <w:rsid w:val="00467DEB"/>
    <w:rsid w:val="00467E06"/>
    <w:rsid w:val="00467E0B"/>
    <w:rsid w:val="004703A7"/>
    <w:rsid w:val="0047057A"/>
    <w:rsid w:val="004706A2"/>
    <w:rsid w:val="00470831"/>
    <w:rsid w:val="00470A70"/>
    <w:rsid w:val="00470CB5"/>
    <w:rsid w:val="00470E6D"/>
    <w:rsid w:val="0047132E"/>
    <w:rsid w:val="0047142D"/>
    <w:rsid w:val="004715A9"/>
    <w:rsid w:val="00471856"/>
    <w:rsid w:val="00471932"/>
    <w:rsid w:val="00471D26"/>
    <w:rsid w:val="0047207B"/>
    <w:rsid w:val="00472152"/>
    <w:rsid w:val="004722A0"/>
    <w:rsid w:val="0047253F"/>
    <w:rsid w:val="0047274C"/>
    <w:rsid w:val="0047280F"/>
    <w:rsid w:val="00472B65"/>
    <w:rsid w:val="00472BBB"/>
    <w:rsid w:val="00472E6A"/>
    <w:rsid w:val="00472FB6"/>
    <w:rsid w:val="00473662"/>
    <w:rsid w:val="004737F4"/>
    <w:rsid w:val="004738DE"/>
    <w:rsid w:val="00473A96"/>
    <w:rsid w:val="00473FB9"/>
    <w:rsid w:val="00474296"/>
    <w:rsid w:val="004745AB"/>
    <w:rsid w:val="00474723"/>
    <w:rsid w:val="004749CC"/>
    <w:rsid w:val="00474CA7"/>
    <w:rsid w:val="00474F30"/>
    <w:rsid w:val="00474F4B"/>
    <w:rsid w:val="00474FAA"/>
    <w:rsid w:val="004755AB"/>
    <w:rsid w:val="00476415"/>
    <w:rsid w:val="004768CD"/>
    <w:rsid w:val="00476BCE"/>
    <w:rsid w:val="00476C0A"/>
    <w:rsid w:val="00476C43"/>
    <w:rsid w:val="00476D82"/>
    <w:rsid w:val="00476F76"/>
    <w:rsid w:val="004770F3"/>
    <w:rsid w:val="004771EF"/>
    <w:rsid w:val="004772B3"/>
    <w:rsid w:val="00477569"/>
    <w:rsid w:val="00477D84"/>
    <w:rsid w:val="0048006B"/>
    <w:rsid w:val="004802CF"/>
    <w:rsid w:val="004802E9"/>
    <w:rsid w:val="00480397"/>
    <w:rsid w:val="00480574"/>
    <w:rsid w:val="00480A3F"/>
    <w:rsid w:val="00480ACC"/>
    <w:rsid w:val="00481483"/>
    <w:rsid w:val="004815B2"/>
    <w:rsid w:val="00481602"/>
    <w:rsid w:val="004816E9"/>
    <w:rsid w:val="004817A9"/>
    <w:rsid w:val="0048183E"/>
    <w:rsid w:val="0048192D"/>
    <w:rsid w:val="00481CF8"/>
    <w:rsid w:val="00481F4D"/>
    <w:rsid w:val="00482027"/>
    <w:rsid w:val="004822AE"/>
    <w:rsid w:val="00482A08"/>
    <w:rsid w:val="00483032"/>
    <w:rsid w:val="00483050"/>
    <w:rsid w:val="004836F5"/>
    <w:rsid w:val="004837C2"/>
    <w:rsid w:val="00483999"/>
    <w:rsid w:val="00483AB8"/>
    <w:rsid w:val="00483C66"/>
    <w:rsid w:val="00483D96"/>
    <w:rsid w:val="004840C8"/>
    <w:rsid w:val="004841A9"/>
    <w:rsid w:val="0048422B"/>
    <w:rsid w:val="004844CF"/>
    <w:rsid w:val="00484539"/>
    <w:rsid w:val="00484DEE"/>
    <w:rsid w:val="00484DFB"/>
    <w:rsid w:val="00484FCF"/>
    <w:rsid w:val="00485061"/>
    <w:rsid w:val="004851DB"/>
    <w:rsid w:val="004853B1"/>
    <w:rsid w:val="004856AF"/>
    <w:rsid w:val="004856CF"/>
    <w:rsid w:val="004857CB"/>
    <w:rsid w:val="0048598E"/>
    <w:rsid w:val="00485CCA"/>
    <w:rsid w:val="00485F15"/>
    <w:rsid w:val="004861EE"/>
    <w:rsid w:val="00486273"/>
    <w:rsid w:val="0048640D"/>
    <w:rsid w:val="0048660F"/>
    <w:rsid w:val="0048687B"/>
    <w:rsid w:val="00486C46"/>
    <w:rsid w:val="004870FC"/>
    <w:rsid w:val="004871A6"/>
    <w:rsid w:val="0048721B"/>
    <w:rsid w:val="0048745F"/>
    <w:rsid w:val="00487646"/>
    <w:rsid w:val="00487963"/>
    <w:rsid w:val="00487D27"/>
    <w:rsid w:val="004902A2"/>
    <w:rsid w:val="00490300"/>
    <w:rsid w:val="00490435"/>
    <w:rsid w:val="004904EA"/>
    <w:rsid w:val="004909C8"/>
    <w:rsid w:val="00490A76"/>
    <w:rsid w:val="00490AEE"/>
    <w:rsid w:val="00490DA1"/>
    <w:rsid w:val="004914D1"/>
    <w:rsid w:val="004914F9"/>
    <w:rsid w:val="00491871"/>
    <w:rsid w:val="004918BD"/>
    <w:rsid w:val="00491A66"/>
    <w:rsid w:val="00491B03"/>
    <w:rsid w:val="00491C32"/>
    <w:rsid w:val="00491D8C"/>
    <w:rsid w:val="00491F4D"/>
    <w:rsid w:val="00491F7B"/>
    <w:rsid w:val="00491F99"/>
    <w:rsid w:val="004922FD"/>
    <w:rsid w:val="004923F3"/>
    <w:rsid w:val="004924F9"/>
    <w:rsid w:val="00492818"/>
    <w:rsid w:val="00492A81"/>
    <w:rsid w:val="00492BA8"/>
    <w:rsid w:val="00492C87"/>
    <w:rsid w:val="00492DA1"/>
    <w:rsid w:val="00493007"/>
    <w:rsid w:val="00493219"/>
    <w:rsid w:val="004932A3"/>
    <w:rsid w:val="0049356A"/>
    <w:rsid w:val="00493674"/>
    <w:rsid w:val="0049369D"/>
    <w:rsid w:val="004936BB"/>
    <w:rsid w:val="00493867"/>
    <w:rsid w:val="00493A53"/>
    <w:rsid w:val="00493E34"/>
    <w:rsid w:val="00493E45"/>
    <w:rsid w:val="004940F4"/>
    <w:rsid w:val="0049432E"/>
    <w:rsid w:val="00494B97"/>
    <w:rsid w:val="00494C2C"/>
    <w:rsid w:val="00494D9E"/>
    <w:rsid w:val="00494F10"/>
    <w:rsid w:val="00495287"/>
    <w:rsid w:val="00495360"/>
    <w:rsid w:val="004954D8"/>
    <w:rsid w:val="00495824"/>
    <w:rsid w:val="0049591D"/>
    <w:rsid w:val="00495AF3"/>
    <w:rsid w:val="00495BF6"/>
    <w:rsid w:val="0049610C"/>
    <w:rsid w:val="004968B1"/>
    <w:rsid w:val="00496C1D"/>
    <w:rsid w:val="00496ED5"/>
    <w:rsid w:val="00497053"/>
    <w:rsid w:val="0049715B"/>
    <w:rsid w:val="00497252"/>
    <w:rsid w:val="004979EC"/>
    <w:rsid w:val="00497AAA"/>
    <w:rsid w:val="00497BED"/>
    <w:rsid w:val="00497C1C"/>
    <w:rsid w:val="00497D32"/>
    <w:rsid w:val="00497DFE"/>
    <w:rsid w:val="004A0048"/>
    <w:rsid w:val="004A03BD"/>
    <w:rsid w:val="004A09A7"/>
    <w:rsid w:val="004A0A72"/>
    <w:rsid w:val="004A0CEF"/>
    <w:rsid w:val="004A0F1F"/>
    <w:rsid w:val="004A1084"/>
    <w:rsid w:val="004A1257"/>
    <w:rsid w:val="004A19D4"/>
    <w:rsid w:val="004A1B08"/>
    <w:rsid w:val="004A1D0F"/>
    <w:rsid w:val="004A1F4D"/>
    <w:rsid w:val="004A22D0"/>
    <w:rsid w:val="004A2B0F"/>
    <w:rsid w:val="004A2E95"/>
    <w:rsid w:val="004A2F75"/>
    <w:rsid w:val="004A30B7"/>
    <w:rsid w:val="004A350C"/>
    <w:rsid w:val="004A3645"/>
    <w:rsid w:val="004A3B65"/>
    <w:rsid w:val="004A3C9E"/>
    <w:rsid w:val="004A4084"/>
    <w:rsid w:val="004A43B7"/>
    <w:rsid w:val="004A4707"/>
    <w:rsid w:val="004A4848"/>
    <w:rsid w:val="004A49A7"/>
    <w:rsid w:val="004A4BE5"/>
    <w:rsid w:val="004A5206"/>
    <w:rsid w:val="004A56D7"/>
    <w:rsid w:val="004A5923"/>
    <w:rsid w:val="004A59CA"/>
    <w:rsid w:val="004A5F66"/>
    <w:rsid w:val="004A5FC1"/>
    <w:rsid w:val="004A609C"/>
    <w:rsid w:val="004A6A87"/>
    <w:rsid w:val="004A6E2D"/>
    <w:rsid w:val="004A6F9E"/>
    <w:rsid w:val="004A6FF1"/>
    <w:rsid w:val="004A70F1"/>
    <w:rsid w:val="004A7167"/>
    <w:rsid w:val="004A72A0"/>
    <w:rsid w:val="004A7482"/>
    <w:rsid w:val="004A76A5"/>
    <w:rsid w:val="004A7788"/>
    <w:rsid w:val="004A7F82"/>
    <w:rsid w:val="004A7FB0"/>
    <w:rsid w:val="004B003D"/>
    <w:rsid w:val="004B04AA"/>
    <w:rsid w:val="004B05F1"/>
    <w:rsid w:val="004B110B"/>
    <w:rsid w:val="004B1236"/>
    <w:rsid w:val="004B12B9"/>
    <w:rsid w:val="004B1415"/>
    <w:rsid w:val="004B14B0"/>
    <w:rsid w:val="004B1667"/>
    <w:rsid w:val="004B18FC"/>
    <w:rsid w:val="004B1E8A"/>
    <w:rsid w:val="004B1F2C"/>
    <w:rsid w:val="004B24B9"/>
    <w:rsid w:val="004B252E"/>
    <w:rsid w:val="004B2836"/>
    <w:rsid w:val="004B28EC"/>
    <w:rsid w:val="004B2A68"/>
    <w:rsid w:val="004B2B8A"/>
    <w:rsid w:val="004B2EA3"/>
    <w:rsid w:val="004B2F5F"/>
    <w:rsid w:val="004B3589"/>
    <w:rsid w:val="004B3A25"/>
    <w:rsid w:val="004B41B6"/>
    <w:rsid w:val="004B4212"/>
    <w:rsid w:val="004B424C"/>
    <w:rsid w:val="004B42B5"/>
    <w:rsid w:val="004B439B"/>
    <w:rsid w:val="004B4580"/>
    <w:rsid w:val="004B48B9"/>
    <w:rsid w:val="004B4B84"/>
    <w:rsid w:val="004B4BB7"/>
    <w:rsid w:val="004B4D9F"/>
    <w:rsid w:val="004B4DD5"/>
    <w:rsid w:val="004B5210"/>
    <w:rsid w:val="004B52DB"/>
    <w:rsid w:val="004B5665"/>
    <w:rsid w:val="004B5699"/>
    <w:rsid w:val="004B5899"/>
    <w:rsid w:val="004B5A04"/>
    <w:rsid w:val="004B5B93"/>
    <w:rsid w:val="004B5C90"/>
    <w:rsid w:val="004B5E29"/>
    <w:rsid w:val="004B5E61"/>
    <w:rsid w:val="004B5FC3"/>
    <w:rsid w:val="004B60A6"/>
    <w:rsid w:val="004B6452"/>
    <w:rsid w:val="004B652A"/>
    <w:rsid w:val="004B6590"/>
    <w:rsid w:val="004B66F6"/>
    <w:rsid w:val="004B6872"/>
    <w:rsid w:val="004B6E9C"/>
    <w:rsid w:val="004B7299"/>
    <w:rsid w:val="004B77DA"/>
    <w:rsid w:val="004B787D"/>
    <w:rsid w:val="004B78E8"/>
    <w:rsid w:val="004B7926"/>
    <w:rsid w:val="004B7A97"/>
    <w:rsid w:val="004B7C3B"/>
    <w:rsid w:val="004C02EF"/>
    <w:rsid w:val="004C0A71"/>
    <w:rsid w:val="004C0BD7"/>
    <w:rsid w:val="004C0C6E"/>
    <w:rsid w:val="004C0DA6"/>
    <w:rsid w:val="004C0E3D"/>
    <w:rsid w:val="004C1183"/>
    <w:rsid w:val="004C1985"/>
    <w:rsid w:val="004C1D2B"/>
    <w:rsid w:val="004C1EAC"/>
    <w:rsid w:val="004C22BA"/>
    <w:rsid w:val="004C23C8"/>
    <w:rsid w:val="004C2972"/>
    <w:rsid w:val="004C2B11"/>
    <w:rsid w:val="004C2C57"/>
    <w:rsid w:val="004C2D08"/>
    <w:rsid w:val="004C2E0A"/>
    <w:rsid w:val="004C338F"/>
    <w:rsid w:val="004C33A2"/>
    <w:rsid w:val="004C34A3"/>
    <w:rsid w:val="004C3514"/>
    <w:rsid w:val="004C3572"/>
    <w:rsid w:val="004C3899"/>
    <w:rsid w:val="004C3E6B"/>
    <w:rsid w:val="004C3F90"/>
    <w:rsid w:val="004C3FDF"/>
    <w:rsid w:val="004C465F"/>
    <w:rsid w:val="004C4751"/>
    <w:rsid w:val="004C4A91"/>
    <w:rsid w:val="004C4C8B"/>
    <w:rsid w:val="004C4F55"/>
    <w:rsid w:val="004C5070"/>
    <w:rsid w:val="004C524A"/>
    <w:rsid w:val="004C53B8"/>
    <w:rsid w:val="004C5560"/>
    <w:rsid w:val="004C55BB"/>
    <w:rsid w:val="004C57AD"/>
    <w:rsid w:val="004C57F4"/>
    <w:rsid w:val="004C5907"/>
    <w:rsid w:val="004C59D0"/>
    <w:rsid w:val="004C5BE5"/>
    <w:rsid w:val="004C614D"/>
    <w:rsid w:val="004C6170"/>
    <w:rsid w:val="004C62C3"/>
    <w:rsid w:val="004C634E"/>
    <w:rsid w:val="004C679A"/>
    <w:rsid w:val="004C6919"/>
    <w:rsid w:val="004C69FF"/>
    <w:rsid w:val="004C6E6C"/>
    <w:rsid w:val="004C6EDD"/>
    <w:rsid w:val="004C75AC"/>
    <w:rsid w:val="004C76D4"/>
    <w:rsid w:val="004C7806"/>
    <w:rsid w:val="004C7D67"/>
    <w:rsid w:val="004C7EFC"/>
    <w:rsid w:val="004C7F48"/>
    <w:rsid w:val="004D0050"/>
    <w:rsid w:val="004D06FC"/>
    <w:rsid w:val="004D091C"/>
    <w:rsid w:val="004D0BF3"/>
    <w:rsid w:val="004D0EEC"/>
    <w:rsid w:val="004D1175"/>
    <w:rsid w:val="004D14C8"/>
    <w:rsid w:val="004D17DE"/>
    <w:rsid w:val="004D1FE9"/>
    <w:rsid w:val="004D203A"/>
    <w:rsid w:val="004D2243"/>
    <w:rsid w:val="004D27D5"/>
    <w:rsid w:val="004D2AC0"/>
    <w:rsid w:val="004D2DCD"/>
    <w:rsid w:val="004D3040"/>
    <w:rsid w:val="004D34C7"/>
    <w:rsid w:val="004D3A33"/>
    <w:rsid w:val="004D3AA6"/>
    <w:rsid w:val="004D3AF5"/>
    <w:rsid w:val="004D3F76"/>
    <w:rsid w:val="004D41B0"/>
    <w:rsid w:val="004D43B8"/>
    <w:rsid w:val="004D4468"/>
    <w:rsid w:val="004D46D2"/>
    <w:rsid w:val="004D4A67"/>
    <w:rsid w:val="004D4DA3"/>
    <w:rsid w:val="004D4DAA"/>
    <w:rsid w:val="004D55F0"/>
    <w:rsid w:val="004D5645"/>
    <w:rsid w:val="004D57FF"/>
    <w:rsid w:val="004D59C8"/>
    <w:rsid w:val="004D5B88"/>
    <w:rsid w:val="004D60CD"/>
    <w:rsid w:val="004D626F"/>
    <w:rsid w:val="004D6318"/>
    <w:rsid w:val="004D665A"/>
    <w:rsid w:val="004D6690"/>
    <w:rsid w:val="004D70A8"/>
    <w:rsid w:val="004D7503"/>
    <w:rsid w:val="004D7551"/>
    <w:rsid w:val="004D7652"/>
    <w:rsid w:val="004D7880"/>
    <w:rsid w:val="004E0101"/>
    <w:rsid w:val="004E0106"/>
    <w:rsid w:val="004E011D"/>
    <w:rsid w:val="004E06F6"/>
    <w:rsid w:val="004E07C4"/>
    <w:rsid w:val="004E0827"/>
    <w:rsid w:val="004E0911"/>
    <w:rsid w:val="004E0C21"/>
    <w:rsid w:val="004E0E81"/>
    <w:rsid w:val="004E1149"/>
    <w:rsid w:val="004E118D"/>
    <w:rsid w:val="004E11D1"/>
    <w:rsid w:val="004E1839"/>
    <w:rsid w:val="004E1AB7"/>
    <w:rsid w:val="004E1C9C"/>
    <w:rsid w:val="004E1D3F"/>
    <w:rsid w:val="004E1EE3"/>
    <w:rsid w:val="004E212E"/>
    <w:rsid w:val="004E22C0"/>
    <w:rsid w:val="004E2392"/>
    <w:rsid w:val="004E242D"/>
    <w:rsid w:val="004E2BBC"/>
    <w:rsid w:val="004E2C72"/>
    <w:rsid w:val="004E3377"/>
    <w:rsid w:val="004E36D6"/>
    <w:rsid w:val="004E3754"/>
    <w:rsid w:val="004E393F"/>
    <w:rsid w:val="004E39BB"/>
    <w:rsid w:val="004E3CC2"/>
    <w:rsid w:val="004E3E08"/>
    <w:rsid w:val="004E409E"/>
    <w:rsid w:val="004E40F5"/>
    <w:rsid w:val="004E4376"/>
    <w:rsid w:val="004E44B8"/>
    <w:rsid w:val="004E4501"/>
    <w:rsid w:val="004E45D5"/>
    <w:rsid w:val="004E4B02"/>
    <w:rsid w:val="004E4C68"/>
    <w:rsid w:val="004E4CA0"/>
    <w:rsid w:val="004E4E86"/>
    <w:rsid w:val="004E4F7F"/>
    <w:rsid w:val="004E538B"/>
    <w:rsid w:val="004E5833"/>
    <w:rsid w:val="004E5EFA"/>
    <w:rsid w:val="004E5FC7"/>
    <w:rsid w:val="004E6057"/>
    <w:rsid w:val="004E6097"/>
    <w:rsid w:val="004E621B"/>
    <w:rsid w:val="004E666B"/>
    <w:rsid w:val="004E675B"/>
    <w:rsid w:val="004E6845"/>
    <w:rsid w:val="004E690A"/>
    <w:rsid w:val="004E6DB3"/>
    <w:rsid w:val="004E763A"/>
    <w:rsid w:val="004E7937"/>
    <w:rsid w:val="004E795C"/>
    <w:rsid w:val="004E7C6D"/>
    <w:rsid w:val="004E7C82"/>
    <w:rsid w:val="004E7E05"/>
    <w:rsid w:val="004E7E3A"/>
    <w:rsid w:val="004E7E5B"/>
    <w:rsid w:val="004E7F03"/>
    <w:rsid w:val="004F00A2"/>
    <w:rsid w:val="004F02F5"/>
    <w:rsid w:val="004F0739"/>
    <w:rsid w:val="004F0AD5"/>
    <w:rsid w:val="004F0C92"/>
    <w:rsid w:val="004F0DAF"/>
    <w:rsid w:val="004F11DD"/>
    <w:rsid w:val="004F13FA"/>
    <w:rsid w:val="004F15CC"/>
    <w:rsid w:val="004F1666"/>
    <w:rsid w:val="004F187A"/>
    <w:rsid w:val="004F1C39"/>
    <w:rsid w:val="004F2091"/>
    <w:rsid w:val="004F20F4"/>
    <w:rsid w:val="004F2322"/>
    <w:rsid w:val="004F24C0"/>
    <w:rsid w:val="004F29B1"/>
    <w:rsid w:val="004F2C47"/>
    <w:rsid w:val="004F2C8B"/>
    <w:rsid w:val="004F2DE0"/>
    <w:rsid w:val="004F3522"/>
    <w:rsid w:val="004F352F"/>
    <w:rsid w:val="004F3941"/>
    <w:rsid w:val="004F3DBB"/>
    <w:rsid w:val="004F4056"/>
    <w:rsid w:val="004F40B5"/>
    <w:rsid w:val="004F413D"/>
    <w:rsid w:val="004F4185"/>
    <w:rsid w:val="004F41CE"/>
    <w:rsid w:val="004F45FF"/>
    <w:rsid w:val="004F4847"/>
    <w:rsid w:val="004F49CB"/>
    <w:rsid w:val="004F4A72"/>
    <w:rsid w:val="004F4BBF"/>
    <w:rsid w:val="004F5065"/>
    <w:rsid w:val="004F5248"/>
    <w:rsid w:val="004F5286"/>
    <w:rsid w:val="004F570D"/>
    <w:rsid w:val="004F5A46"/>
    <w:rsid w:val="004F5B1D"/>
    <w:rsid w:val="004F5DFA"/>
    <w:rsid w:val="004F5ECA"/>
    <w:rsid w:val="004F5EEE"/>
    <w:rsid w:val="004F60C1"/>
    <w:rsid w:val="004F61CB"/>
    <w:rsid w:val="004F6417"/>
    <w:rsid w:val="004F6533"/>
    <w:rsid w:val="004F6550"/>
    <w:rsid w:val="004F6641"/>
    <w:rsid w:val="004F6C7A"/>
    <w:rsid w:val="004F6E47"/>
    <w:rsid w:val="004F7250"/>
    <w:rsid w:val="004F7411"/>
    <w:rsid w:val="004F77BD"/>
    <w:rsid w:val="004F785F"/>
    <w:rsid w:val="005000BF"/>
    <w:rsid w:val="005002A3"/>
    <w:rsid w:val="00500579"/>
    <w:rsid w:val="00500DF5"/>
    <w:rsid w:val="00500E83"/>
    <w:rsid w:val="005011CF"/>
    <w:rsid w:val="00501212"/>
    <w:rsid w:val="0050121E"/>
    <w:rsid w:val="00501783"/>
    <w:rsid w:val="00501A1B"/>
    <w:rsid w:val="00501A8E"/>
    <w:rsid w:val="00501ACE"/>
    <w:rsid w:val="00501B49"/>
    <w:rsid w:val="00501ECA"/>
    <w:rsid w:val="00501EE1"/>
    <w:rsid w:val="00502043"/>
    <w:rsid w:val="00502153"/>
    <w:rsid w:val="0050225A"/>
    <w:rsid w:val="005023E4"/>
    <w:rsid w:val="005027E1"/>
    <w:rsid w:val="005027E3"/>
    <w:rsid w:val="00502807"/>
    <w:rsid w:val="005028B8"/>
    <w:rsid w:val="00502AA0"/>
    <w:rsid w:val="00502B0F"/>
    <w:rsid w:val="00502CF7"/>
    <w:rsid w:val="00502D0B"/>
    <w:rsid w:val="00502F6E"/>
    <w:rsid w:val="00502F88"/>
    <w:rsid w:val="005033CC"/>
    <w:rsid w:val="005033E7"/>
    <w:rsid w:val="00503528"/>
    <w:rsid w:val="00503C4D"/>
    <w:rsid w:val="00503D59"/>
    <w:rsid w:val="00503F63"/>
    <w:rsid w:val="00503F67"/>
    <w:rsid w:val="00504027"/>
    <w:rsid w:val="0050422C"/>
    <w:rsid w:val="005045AA"/>
    <w:rsid w:val="0050466C"/>
    <w:rsid w:val="00504797"/>
    <w:rsid w:val="00504D6C"/>
    <w:rsid w:val="00504D81"/>
    <w:rsid w:val="00505162"/>
    <w:rsid w:val="00505552"/>
    <w:rsid w:val="00505554"/>
    <w:rsid w:val="005059E8"/>
    <w:rsid w:val="005059F8"/>
    <w:rsid w:val="00506013"/>
    <w:rsid w:val="00506439"/>
    <w:rsid w:val="005066FC"/>
    <w:rsid w:val="00506741"/>
    <w:rsid w:val="00506C18"/>
    <w:rsid w:val="005070C9"/>
    <w:rsid w:val="005070FE"/>
    <w:rsid w:val="005071B3"/>
    <w:rsid w:val="00507274"/>
    <w:rsid w:val="005074DC"/>
    <w:rsid w:val="00507615"/>
    <w:rsid w:val="0050763B"/>
    <w:rsid w:val="0050780D"/>
    <w:rsid w:val="0050794E"/>
    <w:rsid w:val="005079CC"/>
    <w:rsid w:val="00507E3E"/>
    <w:rsid w:val="00507F66"/>
    <w:rsid w:val="00510287"/>
    <w:rsid w:val="005102CF"/>
    <w:rsid w:val="005103BA"/>
    <w:rsid w:val="0051072F"/>
    <w:rsid w:val="005108E7"/>
    <w:rsid w:val="00510965"/>
    <w:rsid w:val="00510A30"/>
    <w:rsid w:val="00510D73"/>
    <w:rsid w:val="00511038"/>
    <w:rsid w:val="0051104C"/>
    <w:rsid w:val="005117A3"/>
    <w:rsid w:val="005119F5"/>
    <w:rsid w:val="00511C53"/>
    <w:rsid w:val="00511D34"/>
    <w:rsid w:val="00511DB4"/>
    <w:rsid w:val="00511DB7"/>
    <w:rsid w:val="00511E7D"/>
    <w:rsid w:val="00512435"/>
    <w:rsid w:val="0051248B"/>
    <w:rsid w:val="0051259D"/>
    <w:rsid w:val="0051277D"/>
    <w:rsid w:val="00512850"/>
    <w:rsid w:val="00512B51"/>
    <w:rsid w:val="00512C8C"/>
    <w:rsid w:val="00512CC6"/>
    <w:rsid w:val="00512EE6"/>
    <w:rsid w:val="00513276"/>
    <w:rsid w:val="00513429"/>
    <w:rsid w:val="005135C5"/>
    <w:rsid w:val="00513772"/>
    <w:rsid w:val="0051384E"/>
    <w:rsid w:val="00513910"/>
    <w:rsid w:val="0051396F"/>
    <w:rsid w:val="00513AF6"/>
    <w:rsid w:val="00513CF1"/>
    <w:rsid w:val="00513E1E"/>
    <w:rsid w:val="00513EC9"/>
    <w:rsid w:val="00513FE7"/>
    <w:rsid w:val="00514051"/>
    <w:rsid w:val="00514197"/>
    <w:rsid w:val="005141FD"/>
    <w:rsid w:val="005144C4"/>
    <w:rsid w:val="005145AB"/>
    <w:rsid w:val="00514FF2"/>
    <w:rsid w:val="005151B6"/>
    <w:rsid w:val="005151BE"/>
    <w:rsid w:val="005154F9"/>
    <w:rsid w:val="005155E4"/>
    <w:rsid w:val="00515A85"/>
    <w:rsid w:val="00515B74"/>
    <w:rsid w:val="00515D1F"/>
    <w:rsid w:val="00515ED7"/>
    <w:rsid w:val="0051614D"/>
    <w:rsid w:val="005161B9"/>
    <w:rsid w:val="00516482"/>
    <w:rsid w:val="005166B4"/>
    <w:rsid w:val="005168FF"/>
    <w:rsid w:val="00516C6B"/>
    <w:rsid w:val="00516FA8"/>
    <w:rsid w:val="00517287"/>
    <w:rsid w:val="005172E2"/>
    <w:rsid w:val="00517745"/>
    <w:rsid w:val="00517C0A"/>
    <w:rsid w:val="00517E78"/>
    <w:rsid w:val="00517E8A"/>
    <w:rsid w:val="005203B1"/>
    <w:rsid w:val="0052044D"/>
    <w:rsid w:val="0052051C"/>
    <w:rsid w:val="00520A1D"/>
    <w:rsid w:val="00520B1B"/>
    <w:rsid w:val="00520CCE"/>
    <w:rsid w:val="00520CD7"/>
    <w:rsid w:val="00520D68"/>
    <w:rsid w:val="00520EBB"/>
    <w:rsid w:val="00521370"/>
    <w:rsid w:val="00521477"/>
    <w:rsid w:val="0052151F"/>
    <w:rsid w:val="005215F1"/>
    <w:rsid w:val="00521702"/>
    <w:rsid w:val="00521923"/>
    <w:rsid w:val="00521B4B"/>
    <w:rsid w:val="0052231F"/>
    <w:rsid w:val="005224C6"/>
    <w:rsid w:val="0052261B"/>
    <w:rsid w:val="00522647"/>
    <w:rsid w:val="00522A2C"/>
    <w:rsid w:val="00522B17"/>
    <w:rsid w:val="00522E76"/>
    <w:rsid w:val="005233D0"/>
    <w:rsid w:val="00523762"/>
    <w:rsid w:val="005238B8"/>
    <w:rsid w:val="00523C9E"/>
    <w:rsid w:val="00523CB5"/>
    <w:rsid w:val="00523CC4"/>
    <w:rsid w:val="00523FDE"/>
    <w:rsid w:val="005240AD"/>
    <w:rsid w:val="00524419"/>
    <w:rsid w:val="00524691"/>
    <w:rsid w:val="00524818"/>
    <w:rsid w:val="005249FC"/>
    <w:rsid w:val="00524AAE"/>
    <w:rsid w:val="00524CDF"/>
    <w:rsid w:val="00524D82"/>
    <w:rsid w:val="00524E66"/>
    <w:rsid w:val="00524ED1"/>
    <w:rsid w:val="0052535F"/>
    <w:rsid w:val="005255D6"/>
    <w:rsid w:val="00525CA5"/>
    <w:rsid w:val="0052614E"/>
    <w:rsid w:val="0052633C"/>
    <w:rsid w:val="005263C7"/>
    <w:rsid w:val="00526A2A"/>
    <w:rsid w:val="00526F0C"/>
    <w:rsid w:val="0052702F"/>
    <w:rsid w:val="0052715E"/>
    <w:rsid w:val="00527226"/>
    <w:rsid w:val="0052724A"/>
    <w:rsid w:val="00527412"/>
    <w:rsid w:val="005278FC"/>
    <w:rsid w:val="00527930"/>
    <w:rsid w:val="00527A4E"/>
    <w:rsid w:val="005301E0"/>
    <w:rsid w:val="00530414"/>
    <w:rsid w:val="0053056B"/>
    <w:rsid w:val="00530582"/>
    <w:rsid w:val="00530643"/>
    <w:rsid w:val="0053082F"/>
    <w:rsid w:val="00530985"/>
    <w:rsid w:val="00530A84"/>
    <w:rsid w:val="00530E50"/>
    <w:rsid w:val="00530EB2"/>
    <w:rsid w:val="0053128F"/>
    <w:rsid w:val="0053136F"/>
    <w:rsid w:val="00531839"/>
    <w:rsid w:val="00531875"/>
    <w:rsid w:val="005319AA"/>
    <w:rsid w:val="00531B55"/>
    <w:rsid w:val="00531B6D"/>
    <w:rsid w:val="00531CFB"/>
    <w:rsid w:val="00532196"/>
    <w:rsid w:val="0053236D"/>
    <w:rsid w:val="00532496"/>
    <w:rsid w:val="0053275C"/>
    <w:rsid w:val="005327A6"/>
    <w:rsid w:val="005327B6"/>
    <w:rsid w:val="00532A96"/>
    <w:rsid w:val="00532C75"/>
    <w:rsid w:val="0053312E"/>
    <w:rsid w:val="005331D5"/>
    <w:rsid w:val="00533260"/>
    <w:rsid w:val="005333FB"/>
    <w:rsid w:val="00533651"/>
    <w:rsid w:val="00533744"/>
    <w:rsid w:val="005338DE"/>
    <w:rsid w:val="00533975"/>
    <w:rsid w:val="00533FE3"/>
    <w:rsid w:val="00534047"/>
    <w:rsid w:val="005341E8"/>
    <w:rsid w:val="005342FE"/>
    <w:rsid w:val="0053449A"/>
    <w:rsid w:val="005346EB"/>
    <w:rsid w:val="00534772"/>
    <w:rsid w:val="00534C74"/>
    <w:rsid w:val="00534CEA"/>
    <w:rsid w:val="00535073"/>
    <w:rsid w:val="005352B8"/>
    <w:rsid w:val="0053537F"/>
    <w:rsid w:val="0053538F"/>
    <w:rsid w:val="0053609C"/>
    <w:rsid w:val="005365F0"/>
    <w:rsid w:val="005369A5"/>
    <w:rsid w:val="00536B58"/>
    <w:rsid w:val="00536C96"/>
    <w:rsid w:val="00536DE5"/>
    <w:rsid w:val="00536EFA"/>
    <w:rsid w:val="00537007"/>
    <w:rsid w:val="005371B1"/>
    <w:rsid w:val="005372BD"/>
    <w:rsid w:val="00537361"/>
    <w:rsid w:val="0053740B"/>
    <w:rsid w:val="005375B3"/>
    <w:rsid w:val="00537FE3"/>
    <w:rsid w:val="0054034A"/>
    <w:rsid w:val="00540472"/>
    <w:rsid w:val="005405E8"/>
    <w:rsid w:val="005407F8"/>
    <w:rsid w:val="00540A61"/>
    <w:rsid w:val="00540AA4"/>
    <w:rsid w:val="005410ED"/>
    <w:rsid w:val="00541193"/>
    <w:rsid w:val="00541309"/>
    <w:rsid w:val="0054172B"/>
    <w:rsid w:val="005417D7"/>
    <w:rsid w:val="00541999"/>
    <w:rsid w:val="00542173"/>
    <w:rsid w:val="005422FC"/>
    <w:rsid w:val="0054244F"/>
    <w:rsid w:val="0054287D"/>
    <w:rsid w:val="005428A1"/>
    <w:rsid w:val="00542C03"/>
    <w:rsid w:val="00542C6E"/>
    <w:rsid w:val="00542F67"/>
    <w:rsid w:val="00543183"/>
    <w:rsid w:val="005433A3"/>
    <w:rsid w:val="0054342D"/>
    <w:rsid w:val="0054347F"/>
    <w:rsid w:val="00543654"/>
    <w:rsid w:val="00543787"/>
    <w:rsid w:val="005438A6"/>
    <w:rsid w:val="00543B8D"/>
    <w:rsid w:val="00543BF2"/>
    <w:rsid w:val="005443F1"/>
    <w:rsid w:val="005445F6"/>
    <w:rsid w:val="00544CB1"/>
    <w:rsid w:val="00544F4A"/>
    <w:rsid w:val="005453BD"/>
    <w:rsid w:val="005453D8"/>
    <w:rsid w:val="0054553B"/>
    <w:rsid w:val="00545549"/>
    <w:rsid w:val="00545A9E"/>
    <w:rsid w:val="00545C69"/>
    <w:rsid w:val="005460E7"/>
    <w:rsid w:val="005461C7"/>
    <w:rsid w:val="0054635A"/>
    <w:rsid w:val="0054660B"/>
    <w:rsid w:val="00546738"/>
    <w:rsid w:val="00546818"/>
    <w:rsid w:val="0054681E"/>
    <w:rsid w:val="00546AD5"/>
    <w:rsid w:val="00546CAA"/>
    <w:rsid w:val="00546D47"/>
    <w:rsid w:val="00546D56"/>
    <w:rsid w:val="005470AC"/>
    <w:rsid w:val="00547352"/>
    <w:rsid w:val="00547491"/>
    <w:rsid w:val="005476E2"/>
    <w:rsid w:val="00547B32"/>
    <w:rsid w:val="00547D59"/>
    <w:rsid w:val="00547E1C"/>
    <w:rsid w:val="00547F53"/>
    <w:rsid w:val="0055013D"/>
    <w:rsid w:val="005506DC"/>
    <w:rsid w:val="00550762"/>
    <w:rsid w:val="00550884"/>
    <w:rsid w:val="005509FA"/>
    <w:rsid w:val="00550ADE"/>
    <w:rsid w:val="00550CB9"/>
    <w:rsid w:val="00551497"/>
    <w:rsid w:val="00551513"/>
    <w:rsid w:val="005515AE"/>
    <w:rsid w:val="005516E5"/>
    <w:rsid w:val="00551888"/>
    <w:rsid w:val="00551A38"/>
    <w:rsid w:val="00551BD2"/>
    <w:rsid w:val="00551CBC"/>
    <w:rsid w:val="005520D2"/>
    <w:rsid w:val="0055249E"/>
    <w:rsid w:val="005525D3"/>
    <w:rsid w:val="00552826"/>
    <w:rsid w:val="00552AA3"/>
    <w:rsid w:val="00552B74"/>
    <w:rsid w:val="00552C0E"/>
    <w:rsid w:val="00552E88"/>
    <w:rsid w:val="00552FC2"/>
    <w:rsid w:val="005530EB"/>
    <w:rsid w:val="005534BE"/>
    <w:rsid w:val="00553571"/>
    <w:rsid w:val="00553582"/>
    <w:rsid w:val="00553591"/>
    <w:rsid w:val="00553624"/>
    <w:rsid w:val="005536C0"/>
    <w:rsid w:val="005536CD"/>
    <w:rsid w:val="005538E3"/>
    <w:rsid w:val="00553C63"/>
    <w:rsid w:val="00553FA2"/>
    <w:rsid w:val="00554365"/>
    <w:rsid w:val="005543DE"/>
    <w:rsid w:val="0055453E"/>
    <w:rsid w:val="0055455A"/>
    <w:rsid w:val="005545DC"/>
    <w:rsid w:val="00554B94"/>
    <w:rsid w:val="00554BBE"/>
    <w:rsid w:val="00555080"/>
    <w:rsid w:val="0055549B"/>
    <w:rsid w:val="005554DB"/>
    <w:rsid w:val="00555742"/>
    <w:rsid w:val="00555A29"/>
    <w:rsid w:val="00556103"/>
    <w:rsid w:val="005564AC"/>
    <w:rsid w:val="00556550"/>
    <w:rsid w:val="00556734"/>
    <w:rsid w:val="005568CE"/>
    <w:rsid w:val="00556F4C"/>
    <w:rsid w:val="0055727E"/>
    <w:rsid w:val="005572C9"/>
    <w:rsid w:val="005572E9"/>
    <w:rsid w:val="0055740B"/>
    <w:rsid w:val="005578C2"/>
    <w:rsid w:val="00557BE1"/>
    <w:rsid w:val="00557DAE"/>
    <w:rsid w:val="00557E99"/>
    <w:rsid w:val="0056016F"/>
    <w:rsid w:val="005603B1"/>
    <w:rsid w:val="00560495"/>
    <w:rsid w:val="0056054F"/>
    <w:rsid w:val="0056061D"/>
    <w:rsid w:val="00560A7F"/>
    <w:rsid w:val="00560ADD"/>
    <w:rsid w:val="00560B20"/>
    <w:rsid w:val="00560BEE"/>
    <w:rsid w:val="00561026"/>
    <w:rsid w:val="005610E8"/>
    <w:rsid w:val="00561290"/>
    <w:rsid w:val="005612AE"/>
    <w:rsid w:val="00561381"/>
    <w:rsid w:val="005614B1"/>
    <w:rsid w:val="005616A2"/>
    <w:rsid w:val="005616DD"/>
    <w:rsid w:val="00561856"/>
    <w:rsid w:val="00561A1F"/>
    <w:rsid w:val="00561C90"/>
    <w:rsid w:val="00562080"/>
    <w:rsid w:val="0056228C"/>
    <w:rsid w:val="005623A2"/>
    <w:rsid w:val="0056242E"/>
    <w:rsid w:val="005627C3"/>
    <w:rsid w:val="00562860"/>
    <w:rsid w:val="00562A38"/>
    <w:rsid w:val="00562BE9"/>
    <w:rsid w:val="00562E05"/>
    <w:rsid w:val="005637E4"/>
    <w:rsid w:val="005638C8"/>
    <w:rsid w:val="00563BAC"/>
    <w:rsid w:val="00563CB6"/>
    <w:rsid w:val="00563CEB"/>
    <w:rsid w:val="00563E2B"/>
    <w:rsid w:val="00563E97"/>
    <w:rsid w:val="00564588"/>
    <w:rsid w:val="005645ED"/>
    <w:rsid w:val="005646B2"/>
    <w:rsid w:val="0056484F"/>
    <w:rsid w:val="005649D1"/>
    <w:rsid w:val="00564BD3"/>
    <w:rsid w:val="00564C2C"/>
    <w:rsid w:val="00565028"/>
    <w:rsid w:val="0056549D"/>
    <w:rsid w:val="00565FEE"/>
    <w:rsid w:val="00566214"/>
    <w:rsid w:val="005662DE"/>
    <w:rsid w:val="005664A1"/>
    <w:rsid w:val="0056705F"/>
    <w:rsid w:val="005670B1"/>
    <w:rsid w:val="005671A4"/>
    <w:rsid w:val="0056764E"/>
    <w:rsid w:val="0056798D"/>
    <w:rsid w:val="00567A1F"/>
    <w:rsid w:val="00567B5D"/>
    <w:rsid w:val="00567E82"/>
    <w:rsid w:val="005700B7"/>
    <w:rsid w:val="00570149"/>
    <w:rsid w:val="005702E1"/>
    <w:rsid w:val="0057030F"/>
    <w:rsid w:val="00570331"/>
    <w:rsid w:val="005705D5"/>
    <w:rsid w:val="00570718"/>
    <w:rsid w:val="00570B29"/>
    <w:rsid w:val="00570BD2"/>
    <w:rsid w:val="00570DC4"/>
    <w:rsid w:val="00570E5D"/>
    <w:rsid w:val="00570FE1"/>
    <w:rsid w:val="00570FF6"/>
    <w:rsid w:val="005713CC"/>
    <w:rsid w:val="00571E28"/>
    <w:rsid w:val="005720D3"/>
    <w:rsid w:val="0057220C"/>
    <w:rsid w:val="00572682"/>
    <w:rsid w:val="00572B90"/>
    <w:rsid w:val="00572BE7"/>
    <w:rsid w:val="00572CDF"/>
    <w:rsid w:val="00572DC7"/>
    <w:rsid w:val="00572EF3"/>
    <w:rsid w:val="005737E4"/>
    <w:rsid w:val="00573A45"/>
    <w:rsid w:val="00573AEB"/>
    <w:rsid w:val="00573C5E"/>
    <w:rsid w:val="00573C91"/>
    <w:rsid w:val="0057407C"/>
    <w:rsid w:val="005741A7"/>
    <w:rsid w:val="005742AE"/>
    <w:rsid w:val="00574805"/>
    <w:rsid w:val="00574997"/>
    <w:rsid w:val="00574A77"/>
    <w:rsid w:val="00574AF1"/>
    <w:rsid w:val="00574D2D"/>
    <w:rsid w:val="00574D34"/>
    <w:rsid w:val="00574D73"/>
    <w:rsid w:val="00575587"/>
    <w:rsid w:val="00575B23"/>
    <w:rsid w:val="00575BB3"/>
    <w:rsid w:val="00575C30"/>
    <w:rsid w:val="00575C9E"/>
    <w:rsid w:val="00575DF7"/>
    <w:rsid w:val="00575E18"/>
    <w:rsid w:val="00575ED3"/>
    <w:rsid w:val="0057674E"/>
    <w:rsid w:val="005774BB"/>
    <w:rsid w:val="00577691"/>
    <w:rsid w:val="00577940"/>
    <w:rsid w:val="00577A9F"/>
    <w:rsid w:val="00577B4C"/>
    <w:rsid w:val="00577FED"/>
    <w:rsid w:val="0058012B"/>
    <w:rsid w:val="00580611"/>
    <w:rsid w:val="005808D4"/>
    <w:rsid w:val="005809EA"/>
    <w:rsid w:val="00580C33"/>
    <w:rsid w:val="0058123D"/>
    <w:rsid w:val="0058126F"/>
    <w:rsid w:val="0058128F"/>
    <w:rsid w:val="00581A4C"/>
    <w:rsid w:val="00581B0C"/>
    <w:rsid w:val="00581CB6"/>
    <w:rsid w:val="00581EA0"/>
    <w:rsid w:val="00581F52"/>
    <w:rsid w:val="00581F8D"/>
    <w:rsid w:val="00582205"/>
    <w:rsid w:val="005822F9"/>
    <w:rsid w:val="00582733"/>
    <w:rsid w:val="00582A3A"/>
    <w:rsid w:val="00582C26"/>
    <w:rsid w:val="00582D21"/>
    <w:rsid w:val="00582D83"/>
    <w:rsid w:val="0058331D"/>
    <w:rsid w:val="005838C3"/>
    <w:rsid w:val="00583985"/>
    <w:rsid w:val="00583A50"/>
    <w:rsid w:val="00583B24"/>
    <w:rsid w:val="00583C3D"/>
    <w:rsid w:val="00583CE9"/>
    <w:rsid w:val="00583D7F"/>
    <w:rsid w:val="00583EA5"/>
    <w:rsid w:val="00583EC9"/>
    <w:rsid w:val="00583F64"/>
    <w:rsid w:val="005841C1"/>
    <w:rsid w:val="00584346"/>
    <w:rsid w:val="005845E7"/>
    <w:rsid w:val="00584673"/>
    <w:rsid w:val="00584842"/>
    <w:rsid w:val="00584D4D"/>
    <w:rsid w:val="00584F99"/>
    <w:rsid w:val="00585231"/>
    <w:rsid w:val="00585315"/>
    <w:rsid w:val="005854EF"/>
    <w:rsid w:val="005859AF"/>
    <w:rsid w:val="00585AAE"/>
    <w:rsid w:val="00585EB4"/>
    <w:rsid w:val="005866E8"/>
    <w:rsid w:val="00586817"/>
    <w:rsid w:val="0058685B"/>
    <w:rsid w:val="005868D2"/>
    <w:rsid w:val="0058699C"/>
    <w:rsid w:val="00586DDB"/>
    <w:rsid w:val="00587154"/>
    <w:rsid w:val="0058735F"/>
    <w:rsid w:val="00587369"/>
    <w:rsid w:val="00587521"/>
    <w:rsid w:val="00587597"/>
    <w:rsid w:val="00587B03"/>
    <w:rsid w:val="00587BEA"/>
    <w:rsid w:val="00587CB4"/>
    <w:rsid w:val="00587F33"/>
    <w:rsid w:val="00590330"/>
    <w:rsid w:val="005905C9"/>
    <w:rsid w:val="00590A2C"/>
    <w:rsid w:val="00590C70"/>
    <w:rsid w:val="005914FC"/>
    <w:rsid w:val="00591671"/>
    <w:rsid w:val="00591711"/>
    <w:rsid w:val="00591901"/>
    <w:rsid w:val="005919F7"/>
    <w:rsid w:val="00591A3C"/>
    <w:rsid w:val="00591A9D"/>
    <w:rsid w:val="00591D39"/>
    <w:rsid w:val="00591E3F"/>
    <w:rsid w:val="0059237A"/>
    <w:rsid w:val="0059248C"/>
    <w:rsid w:val="005927AF"/>
    <w:rsid w:val="00592853"/>
    <w:rsid w:val="005928FF"/>
    <w:rsid w:val="00592A59"/>
    <w:rsid w:val="00592DD0"/>
    <w:rsid w:val="00593412"/>
    <w:rsid w:val="0059383C"/>
    <w:rsid w:val="00593B3F"/>
    <w:rsid w:val="00593D04"/>
    <w:rsid w:val="00593D3D"/>
    <w:rsid w:val="00593E06"/>
    <w:rsid w:val="00593E85"/>
    <w:rsid w:val="005940F8"/>
    <w:rsid w:val="00594138"/>
    <w:rsid w:val="005941F6"/>
    <w:rsid w:val="005943C7"/>
    <w:rsid w:val="00594655"/>
    <w:rsid w:val="00594B54"/>
    <w:rsid w:val="00594C3E"/>
    <w:rsid w:val="00594EC9"/>
    <w:rsid w:val="00594F8F"/>
    <w:rsid w:val="00594FEB"/>
    <w:rsid w:val="0059512E"/>
    <w:rsid w:val="00595164"/>
    <w:rsid w:val="0059551E"/>
    <w:rsid w:val="005955BA"/>
    <w:rsid w:val="00595AA9"/>
    <w:rsid w:val="00595B33"/>
    <w:rsid w:val="00595E03"/>
    <w:rsid w:val="00595EF9"/>
    <w:rsid w:val="00595F0B"/>
    <w:rsid w:val="00595FB1"/>
    <w:rsid w:val="0059633D"/>
    <w:rsid w:val="005969C8"/>
    <w:rsid w:val="00596EB4"/>
    <w:rsid w:val="00597035"/>
    <w:rsid w:val="005971F6"/>
    <w:rsid w:val="005973F9"/>
    <w:rsid w:val="005975A3"/>
    <w:rsid w:val="0059771D"/>
    <w:rsid w:val="00597D49"/>
    <w:rsid w:val="00597D75"/>
    <w:rsid w:val="005A00AF"/>
    <w:rsid w:val="005A01B9"/>
    <w:rsid w:val="005A030A"/>
    <w:rsid w:val="005A03CA"/>
    <w:rsid w:val="005A0B4B"/>
    <w:rsid w:val="005A0C62"/>
    <w:rsid w:val="005A0DEB"/>
    <w:rsid w:val="005A0E3F"/>
    <w:rsid w:val="005A0FCA"/>
    <w:rsid w:val="005A10A6"/>
    <w:rsid w:val="005A19DA"/>
    <w:rsid w:val="005A1EF7"/>
    <w:rsid w:val="005A1F21"/>
    <w:rsid w:val="005A1F91"/>
    <w:rsid w:val="005A2084"/>
    <w:rsid w:val="005A2530"/>
    <w:rsid w:val="005A2548"/>
    <w:rsid w:val="005A261D"/>
    <w:rsid w:val="005A26D1"/>
    <w:rsid w:val="005A28A8"/>
    <w:rsid w:val="005A2962"/>
    <w:rsid w:val="005A299D"/>
    <w:rsid w:val="005A2EAF"/>
    <w:rsid w:val="005A3063"/>
    <w:rsid w:val="005A3339"/>
    <w:rsid w:val="005A3815"/>
    <w:rsid w:val="005A3AF2"/>
    <w:rsid w:val="005A3EFF"/>
    <w:rsid w:val="005A4086"/>
    <w:rsid w:val="005A4444"/>
    <w:rsid w:val="005A49B7"/>
    <w:rsid w:val="005A4CD7"/>
    <w:rsid w:val="005A4CEE"/>
    <w:rsid w:val="005A4EC4"/>
    <w:rsid w:val="005A502F"/>
    <w:rsid w:val="005A5049"/>
    <w:rsid w:val="005A5098"/>
    <w:rsid w:val="005A54F8"/>
    <w:rsid w:val="005A552F"/>
    <w:rsid w:val="005A5805"/>
    <w:rsid w:val="005A5A47"/>
    <w:rsid w:val="005A5B66"/>
    <w:rsid w:val="005A5BCC"/>
    <w:rsid w:val="005A5C32"/>
    <w:rsid w:val="005A5EE6"/>
    <w:rsid w:val="005A5F7D"/>
    <w:rsid w:val="005A618B"/>
    <w:rsid w:val="005A6253"/>
    <w:rsid w:val="005A628D"/>
    <w:rsid w:val="005A632B"/>
    <w:rsid w:val="005A636B"/>
    <w:rsid w:val="005A6637"/>
    <w:rsid w:val="005A66EB"/>
    <w:rsid w:val="005A6B3E"/>
    <w:rsid w:val="005A6B59"/>
    <w:rsid w:val="005A6CD3"/>
    <w:rsid w:val="005A6D3D"/>
    <w:rsid w:val="005A6DD8"/>
    <w:rsid w:val="005A6F0F"/>
    <w:rsid w:val="005A6F1E"/>
    <w:rsid w:val="005A705D"/>
    <w:rsid w:val="005A715E"/>
    <w:rsid w:val="005A7240"/>
    <w:rsid w:val="005A7384"/>
    <w:rsid w:val="005A7AF4"/>
    <w:rsid w:val="005A7EE2"/>
    <w:rsid w:val="005B004B"/>
    <w:rsid w:val="005B00DA"/>
    <w:rsid w:val="005B07B1"/>
    <w:rsid w:val="005B07DA"/>
    <w:rsid w:val="005B0D49"/>
    <w:rsid w:val="005B1295"/>
    <w:rsid w:val="005B13D2"/>
    <w:rsid w:val="005B1554"/>
    <w:rsid w:val="005B15F6"/>
    <w:rsid w:val="005B17C0"/>
    <w:rsid w:val="005B18F2"/>
    <w:rsid w:val="005B1A66"/>
    <w:rsid w:val="005B1D01"/>
    <w:rsid w:val="005B1DB8"/>
    <w:rsid w:val="005B208A"/>
    <w:rsid w:val="005B22D9"/>
    <w:rsid w:val="005B2341"/>
    <w:rsid w:val="005B23DB"/>
    <w:rsid w:val="005B27C8"/>
    <w:rsid w:val="005B27F5"/>
    <w:rsid w:val="005B28A5"/>
    <w:rsid w:val="005B2B5B"/>
    <w:rsid w:val="005B2B8A"/>
    <w:rsid w:val="005B2F97"/>
    <w:rsid w:val="005B310A"/>
    <w:rsid w:val="005B3150"/>
    <w:rsid w:val="005B32B9"/>
    <w:rsid w:val="005B376F"/>
    <w:rsid w:val="005B3811"/>
    <w:rsid w:val="005B39BA"/>
    <w:rsid w:val="005B3A44"/>
    <w:rsid w:val="005B3D70"/>
    <w:rsid w:val="005B4269"/>
    <w:rsid w:val="005B45F2"/>
    <w:rsid w:val="005B47B9"/>
    <w:rsid w:val="005B48A0"/>
    <w:rsid w:val="005B4D7C"/>
    <w:rsid w:val="005B4E94"/>
    <w:rsid w:val="005B5015"/>
    <w:rsid w:val="005B5057"/>
    <w:rsid w:val="005B533B"/>
    <w:rsid w:val="005B547B"/>
    <w:rsid w:val="005B5837"/>
    <w:rsid w:val="005B5A73"/>
    <w:rsid w:val="005B5AB5"/>
    <w:rsid w:val="005B5D3A"/>
    <w:rsid w:val="005B5ED3"/>
    <w:rsid w:val="005B65C3"/>
    <w:rsid w:val="005B6B54"/>
    <w:rsid w:val="005B6B6D"/>
    <w:rsid w:val="005B6DBA"/>
    <w:rsid w:val="005B7035"/>
    <w:rsid w:val="005B711D"/>
    <w:rsid w:val="005B718F"/>
    <w:rsid w:val="005B77B6"/>
    <w:rsid w:val="005C006D"/>
    <w:rsid w:val="005C0261"/>
    <w:rsid w:val="005C0417"/>
    <w:rsid w:val="005C0541"/>
    <w:rsid w:val="005C06BC"/>
    <w:rsid w:val="005C079C"/>
    <w:rsid w:val="005C09F3"/>
    <w:rsid w:val="005C0A7B"/>
    <w:rsid w:val="005C0E71"/>
    <w:rsid w:val="005C0EB9"/>
    <w:rsid w:val="005C12E9"/>
    <w:rsid w:val="005C17B2"/>
    <w:rsid w:val="005C1808"/>
    <w:rsid w:val="005C1819"/>
    <w:rsid w:val="005C1830"/>
    <w:rsid w:val="005C1924"/>
    <w:rsid w:val="005C1A68"/>
    <w:rsid w:val="005C1E79"/>
    <w:rsid w:val="005C1F7B"/>
    <w:rsid w:val="005C1FB2"/>
    <w:rsid w:val="005C21DD"/>
    <w:rsid w:val="005C26D7"/>
    <w:rsid w:val="005C296C"/>
    <w:rsid w:val="005C2D29"/>
    <w:rsid w:val="005C2DA0"/>
    <w:rsid w:val="005C30C5"/>
    <w:rsid w:val="005C32A3"/>
    <w:rsid w:val="005C33F0"/>
    <w:rsid w:val="005C354B"/>
    <w:rsid w:val="005C3AA9"/>
    <w:rsid w:val="005C3BF3"/>
    <w:rsid w:val="005C3ED7"/>
    <w:rsid w:val="005C3F19"/>
    <w:rsid w:val="005C3F67"/>
    <w:rsid w:val="005C40AE"/>
    <w:rsid w:val="005C45D9"/>
    <w:rsid w:val="005C4609"/>
    <w:rsid w:val="005C46A9"/>
    <w:rsid w:val="005C46C5"/>
    <w:rsid w:val="005C46D5"/>
    <w:rsid w:val="005C48E2"/>
    <w:rsid w:val="005C4A7B"/>
    <w:rsid w:val="005C4ADF"/>
    <w:rsid w:val="005C54F7"/>
    <w:rsid w:val="005C577C"/>
    <w:rsid w:val="005C57C2"/>
    <w:rsid w:val="005C5805"/>
    <w:rsid w:val="005C5861"/>
    <w:rsid w:val="005C5ADE"/>
    <w:rsid w:val="005C5BD9"/>
    <w:rsid w:val="005C5C45"/>
    <w:rsid w:val="005C5C50"/>
    <w:rsid w:val="005C6088"/>
    <w:rsid w:val="005C635E"/>
    <w:rsid w:val="005C68A8"/>
    <w:rsid w:val="005C6FE1"/>
    <w:rsid w:val="005C7BBB"/>
    <w:rsid w:val="005C7FEA"/>
    <w:rsid w:val="005D00EA"/>
    <w:rsid w:val="005D0907"/>
    <w:rsid w:val="005D0A07"/>
    <w:rsid w:val="005D15CD"/>
    <w:rsid w:val="005D1A3E"/>
    <w:rsid w:val="005D1C41"/>
    <w:rsid w:val="005D1CC9"/>
    <w:rsid w:val="005D21F6"/>
    <w:rsid w:val="005D2414"/>
    <w:rsid w:val="005D24CD"/>
    <w:rsid w:val="005D2658"/>
    <w:rsid w:val="005D2752"/>
    <w:rsid w:val="005D2897"/>
    <w:rsid w:val="005D28A7"/>
    <w:rsid w:val="005D2922"/>
    <w:rsid w:val="005D29B9"/>
    <w:rsid w:val="005D2A52"/>
    <w:rsid w:val="005D2C6F"/>
    <w:rsid w:val="005D2E3B"/>
    <w:rsid w:val="005D2EDC"/>
    <w:rsid w:val="005D2F15"/>
    <w:rsid w:val="005D3226"/>
    <w:rsid w:val="005D3412"/>
    <w:rsid w:val="005D3465"/>
    <w:rsid w:val="005D34D8"/>
    <w:rsid w:val="005D3EA6"/>
    <w:rsid w:val="005D4006"/>
    <w:rsid w:val="005D438E"/>
    <w:rsid w:val="005D43A0"/>
    <w:rsid w:val="005D46D9"/>
    <w:rsid w:val="005D49AC"/>
    <w:rsid w:val="005D4B72"/>
    <w:rsid w:val="005D4B83"/>
    <w:rsid w:val="005D4E58"/>
    <w:rsid w:val="005D5223"/>
    <w:rsid w:val="005D533E"/>
    <w:rsid w:val="005D53D0"/>
    <w:rsid w:val="005D59B3"/>
    <w:rsid w:val="005D5A8A"/>
    <w:rsid w:val="005D5B7C"/>
    <w:rsid w:val="005D5EA5"/>
    <w:rsid w:val="005D6A50"/>
    <w:rsid w:val="005D6C08"/>
    <w:rsid w:val="005D6E83"/>
    <w:rsid w:val="005D6F4D"/>
    <w:rsid w:val="005D74BC"/>
    <w:rsid w:val="005D74D4"/>
    <w:rsid w:val="005D75B4"/>
    <w:rsid w:val="005D75DB"/>
    <w:rsid w:val="005D78A9"/>
    <w:rsid w:val="005D7A85"/>
    <w:rsid w:val="005D7B84"/>
    <w:rsid w:val="005E024C"/>
    <w:rsid w:val="005E035A"/>
    <w:rsid w:val="005E0740"/>
    <w:rsid w:val="005E0A7F"/>
    <w:rsid w:val="005E0ACF"/>
    <w:rsid w:val="005E0BDB"/>
    <w:rsid w:val="005E0C06"/>
    <w:rsid w:val="005E0FCB"/>
    <w:rsid w:val="005E12E0"/>
    <w:rsid w:val="005E1810"/>
    <w:rsid w:val="005E18F4"/>
    <w:rsid w:val="005E1B0F"/>
    <w:rsid w:val="005E1F24"/>
    <w:rsid w:val="005E2053"/>
    <w:rsid w:val="005E2390"/>
    <w:rsid w:val="005E2866"/>
    <w:rsid w:val="005E292A"/>
    <w:rsid w:val="005E29F4"/>
    <w:rsid w:val="005E3448"/>
    <w:rsid w:val="005E3490"/>
    <w:rsid w:val="005E36C8"/>
    <w:rsid w:val="005E36CB"/>
    <w:rsid w:val="005E3BE8"/>
    <w:rsid w:val="005E3F8C"/>
    <w:rsid w:val="005E3FDF"/>
    <w:rsid w:val="005E3FE8"/>
    <w:rsid w:val="005E4314"/>
    <w:rsid w:val="005E46E6"/>
    <w:rsid w:val="005E4A4D"/>
    <w:rsid w:val="005E4CF1"/>
    <w:rsid w:val="005E50F8"/>
    <w:rsid w:val="005E59D1"/>
    <w:rsid w:val="005E5C48"/>
    <w:rsid w:val="005E65B5"/>
    <w:rsid w:val="005E6849"/>
    <w:rsid w:val="005E68C9"/>
    <w:rsid w:val="005E73D0"/>
    <w:rsid w:val="005E73F3"/>
    <w:rsid w:val="005E755C"/>
    <w:rsid w:val="005E79F2"/>
    <w:rsid w:val="005E7CA2"/>
    <w:rsid w:val="005E7F26"/>
    <w:rsid w:val="005E7F8C"/>
    <w:rsid w:val="005E7FE7"/>
    <w:rsid w:val="005F021A"/>
    <w:rsid w:val="005F066E"/>
    <w:rsid w:val="005F06F6"/>
    <w:rsid w:val="005F0A13"/>
    <w:rsid w:val="005F0D14"/>
    <w:rsid w:val="005F0F25"/>
    <w:rsid w:val="005F150A"/>
    <w:rsid w:val="005F177D"/>
    <w:rsid w:val="005F1ABB"/>
    <w:rsid w:val="005F1CA7"/>
    <w:rsid w:val="005F1D13"/>
    <w:rsid w:val="005F1EA2"/>
    <w:rsid w:val="005F1F8F"/>
    <w:rsid w:val="005F2221"/>
    <w:rsid w:val="005F2394"/>
    <w:rsid w:val="005F23E8"/>
    <w:rsid w:val="005F2557"/>
    <w:rsid w:val="005F2B37"/>
    <w:rsid w:val="005F2C5A"/>
    <w:rsid w:val="005F2CD7"/>
    <w:rsid w:val="005F2CDA"/>
    <w:rsid w:val="005F3213"/>
    <w:rsid w:val="005F32DF"/>
    <w:rsid w:val="005F340E"/>
    <w:rsid w:val="005F3652"/>
    <w:rsid w:val="005F370C"/>
    <w:rsid w:val="005F37D1"/>
    <w:rsid w:val="005F3F40"/>
    <w:rsid w:val="005F4073"/>
    <w:rsid w:val="005F4151"/>
    <w:rsid w:val="005F4680"/>
    <w:rsid w:val="005F4688"/>
    <w:rsid w:val="005F468E"/>
    <w:rsid w:val="005F4AEB"/>
    <w:rsid w:val="005F4C8E"/>
    <w:rsid w:val="005F4DD9"/>
    <w:rsid w:val="005F4E46"/>
    <w:rsid w:val="005F4E90"/>
    <w:rsid w:val="005F51CB"/>
    <w:rsid w:val="005F5358"/>
    <w:rsid w:val="005F535C"/>
    <w:rsid w:val="005F5390"/>
    <w:rsid w:val="005F543F"/>
    <w:rsid w:val="005F56DB"/>
    <w:rsid w:val="005F5A0E"/>
    <w:rsid w:val="005F5A2D"/>
    <w:rsid w:val="005F5BB3"/>
    <w:rsid w:val="005F5F46"/>
    <w:rsid w:val="005F61B7"/>
    <w:rsid w:val="005F6390"/>
    <w:rsid w:val="005F6D24"/>
    <w:rsid w:val="005F721B"/>
    <w:rsid w:val="005F72A2"/>
    <w:rsid w:val="005F73C4"/>
    <w:rsid w:val="005F7659"/>
    <w:rsid w:val="005F7691"/>
    <w:rsid w:val="005F7940"/>
    <w:rsid w:val="005F7D79"/>
    <w:rsid w:val="00600496"/>
    <w:rsid w:val="006005A9"/>
    <w:rsid w:val="006005F3"/>
    <w:rsid w:val="00600B53"/>
    <w:rsid w:val="00600CAC"/>
    <w:rsid w:val="00600E86"/>
    <w:rsid w:val="00600EAF"/>
    <w:rsid w:val="00601134"/>
    <w:rsid w:val="006017DC"/>
    <w:rsid w:val="00601C18"/>
    <w:rsid w:val="00601DCB"/>
    <w:rsid w:val="00601E3B"/>
    <w:rsid w:val="00601ED0"/>
    <w:rsid w:val="00601F63"/>
    <w:rsid w:val="0060216F"/>
    <w:rsid w:val="0060244E"/>
    <w:rsid w:val="00602560"/>
    <w:rsid w:val="00602CE6"/>
    <w:rsid w:val="00602E5E"/>
    <w:rsid w:val="00602F54"/>
    <w:rsid w:val="00603227"/>
    <w:rsid w:val="00603908"/>
    <w:rsid w:val="0060392E"/>
    <w:rsid w:val="00603B06"/>
    <w:rsid w:val="00603D7C"/>
    <w:rsid w:val="00603DFB"/>
    <w:rsid w:val="00603E50"/>
    <w:rsid w:val="00603E68"/>
    <w:rsid w:val="006041CB"/>
    <w:rsid w:val="006041F2"/>
    <w:rsid w:val="00604216"/>
    <w:rsid w:val="00604230"/>
    <w:rsid w:val="00604331"/>
    <w:rsid w:val="006044EF"/>
    <w:rsid w:val="0060490E"/>
    <w:rsid w:val="00604AC1"/>
    <w:rsid w:val="00604B2B"/>
    <w:rsid w:val="00604BC4"/>
    <w:rsid w:val="00604BC6"/>
    <w:rsid w:val="00604C68"/>
    <w:rsid w:val="00604DF6"/>
    <w:rsid w:val="00604DFA"/>
    <w:rsid w:val="00604E66"/>
    <w:rsid w:val="00604F3D"/>
    <w:rsid w:val="006050ED"/>
    <w:rsid w:val="00605B40"/>
    <w:rsid w:val="00606596"/>
    <w:rsid w:val="00606616"/>
    <w:rsid w:val="00606955"/>
    <w:rsid w:val="00606A6D"/>
    <w:rsid w:val="00606F29"/>
    <w:rsid w:val="00607054"/>
    <w:rsid w:val="0060731A"/>
    <w:rsid w:val="006075C3"/>
    <w:rsid w:val="00607B36"/>
    <w:rsid w:val="00607B73"/>
    <w:rsid w:val="00607DDA"/>
    <w:rsid w:val="006102CA"/>
    <w:rsid w:val="00610482"/>
    <w:rsid w:val="00610A7A"/>
    <w:rsid w:val="00610D57"/>
    <w:rsid w:val="00611252"/>
    <w:rsid w:val="00611A89"/>
    <w:rsid w:val="00611B1D"/>
    <w:rsid w:val="00611E81"/>
    <w:rsid w:val="006120B7"/>
    <w:rsid w:val="0061227A"/>
    <w:rsid w:val="00612877"/>
    <w:rsid w:val="00612923"/>
    <w:rsid w:val="00612A17"/>
    <w:rsid w:val="00612CD5"/>
    <w:rsid w:val="00612CF8"/>
    <w:rsid w:val="00612F55"/>
    <w:rsid w:val="0061324A"/>
    <w:rsid w:val="006132E2"/>
    <w:rsid w:val="0061353C"/>
    <w:rsid w:val="0061365C"/>
    <w:rsid w:val="00613826"/>
    <w:rsid w:val="0061383D"/>
    <w:rsid w:val="006139A9"/>
    <w:rsid w:val="00613B8B"/>
    <w:rsid w:val="00613CB3"/>
    <w:rsid w:val="00613EAC"/>
    <w:rsid w:val="00613FC5"/>
    <w:rsid w:val="00614197"/>
    <w:rsid w:val="006141D4"/>
    <w:rsid w:val="0061458E"/>
    <w:rsid w:val="006149D6"/>
    <w:rsid w:val="00614A9D"/>
    <w:rsid w:val="00614BA4"/>
    <w:rsid w:val="00614D5F"/>
    <w:rsid w:val="00614E04"/>
    <w:rsid w:val="0061501D"/>
    <w:rsid w:val="006150BC"/>
    <w:rsid w:val="00615CEF"/>
    <w:rsid w:val="00615D80"/>
    <w:rsid w:val="00615F92"/>
    <w:rsid w:val="00615FD5"/>
    <w:rsid w:val="006164E7"/>
    <w:rsid w:val="00616540"/>
    <w:rsid w:val="00616743"/>
    <w:rsid w:val="006168AF"/>
    <w:rsid w:val="00616AC7"/>
    <w:rsid w:val="00616CD5"/>
    <w:rsid w:val="00617042"/>
    <w:rsid w:val="0061709E"/>
    <w:rsid w:val="006175A7"/>
    <w:rsid w:val="00617650"/>
    <w:rsid w:val="00617656"/>
    <w:rsid w:val="00617A5B"/>
    <w:rsid w:val="00620046"/>
    <w:rsid w:val="0062040F"/>
    <w:rsid w:val="00620813"/>
    <w:rsid w:val="006208AF"/>
    <w:rsid w:val="0062096C"/>
    <w:rsid w:val="006209AD"/>
    <w:rsid w:val="00620A31"/>
    <w:rsid w:val="00620F2A"/>
    <w:rsid w:val="00621188"/>
    <w:rsid w:val="006215CA"/>
    <w:rsid w:val="00621738"/>
    <w:rsid w:val="006217EE"/>
    <w:rsid w:val="0062183F"/>
    <w:rsid w:val="006218C9"/>
    <w:rsid w:val="006218F4"/>
    <w:rsid w:val="006219BC"/>
    <w:rsid w:val="00621FC6"/>
    <w:rsid w:val="00622014"/>
    <w:rsid w:val="006221A6"/>
    <w:rsid w:val="006226CE"/>
    <w:rsid w:val="006226F6"/>
    <w:rsid w:val="00622BC7"/>
    <w:rsid w:val="00622CF5"/>
    <w:rsid w:val="00622E1F"/>
    <w:rsid w:val="0062305C"/>
    <w:rsid w:val="0062342D"/>
    <w:rsid w:val="0062380B"/>
    <w:rsid w:val="006239AE"/>
    <w:rsid w:val="00623A2E"/>
    <w:rsid w:val="00623CD9"/>
    <w:rsid w:val="00624016"/>
    <w:rsid w:val="00624062"/>
    <w:rsid w:val="006240C3"/>
    <w:rsid w:val="006245E4"/>
    <w:rsid w:val="006245EA"/>
    <w:rsid w:val="00624A47"/>
    <w:rsid w:val="00624E49"/>
    <w:rsid w:val="00624FA9"/>
    <w:rsid w:val="00625B99"/>
    <w:rsid w:val="00625CAA"/>
    <w:rsid w:val="00625E3E"/>
    <w:rsid w:val="00625E54"/>
    <w:rsid w:val="006266C3"/>
    <w:rsid w:val="006269BB"/>
    <w:rsid w:val="00626A66"/>
    <w:rsid w:val="00626BAE"/>
    <w:rsid w:val="00626C36"/>
    <w:rsid w:val="00626D3D"/>
    <w:rsid w:val="00626DAC"/>
    <w:rsid w:val="00626DB8"/>
    <w:rsid w:val="00626E0A"/>
    <w:rsid w:val="00626E7B"/>
    <w:rsid w:val="006274C6"/>
    <w:rsid w:val="00627800"/>
    <w:rsid w:val="0062783C"/>
    <w:rsid w:val="0062799A"/>
    <w:rsid w:val="00627AB6"/>
    <w:rsid w:val="006300F3"/>
    <w:rsid w:val="0063015D"/>
    <w:rsid w:val="00630256"/>
    <w:rsid w:val="00630274"/>
    <w:rsid w:val="00630751"/>
    <w:rsid w:val="0063095D"/>
    <w:rsid w:val="00630BF7"/>
    <w:rsid w:val="00630C4C"/>
    <w:rsid w:val="00630DB8"/>
    <w:rsid w:val="00630ED6"/>
    <w:rsid w:val="00630FA0"/>
    <w:rsid w:val="00631161"/>
    <w:rsid w:val="00631E3E"/>
    <w:rsid w:val="00632012"/>
    <w:rsid w:val="00632162"/>
    <w:rsid w:val="006322BF"/>
    <w:rsid w:val="0063232B"/>
    <w:rsid w:val="0063233D"/>
    <w:rsid w:val="00632458"/>
    <w:rsid w:val="0063247D"/>
    <w:rsid w:val="00632A9C"/>
    <w:rsid w:val="00632CBA"/>
    <w:rsid w:val="00632FAE"/>
    <w:rsid w:val="00633004"/>
    <w:rsid w:val="00633181"/>
    <w:rsid w:val="006331E1"/>
    <w:rsid w:val="006332CE"/>
    <w:rsid w:val="006335AB"/>
    <w:rsid w:val="0063363E"/>
    <w:rsid w:val="006336AA"/>
    <w:rsid w:val="00633836"/>
    <w:rsid w:val="0063398C"/>
    <w:rsid w:val="006339A7"/>
    <w:rsid w:val="00633A0B"/>
    <w:rsid w:val="00633A84"/>
    <w:rsid w:val="00633AAD"/>
    <w:rsid w:val="00633B29"/>
    <w:rsid w:val="00633B3E"/>
    <w:rsid w:val="00633B58"/>
    <w:rsid w:val="00634148"/>
    <w:rsid w:val="0063442A"/>
    <w:rsid w:val="006344A6"/>
    <w:rsid w:val="00634633"/>
    <w:rsid w:val="0063463D"/>
    <w:rsid w:val="006351AD"/>
    <w:rsid w:val="006354D1"/>
    <w:rsid w:val="0063554B"/>
    <w:rsid w:val="00635654"/>
    <w:rsid w:val="006356C4"/>
    <w:rsid w:val="006357B0"/>
    <w:rsid w:val="00635ADF"/>
    <w:rsid w:val="00635B0C"/>
    <w:rsid w:val="006360C7"/>
    <w:rsid w:val="0063626E"/>
    <w:rsid w:val="0063639B"/>
    <w:rsid w:val="00636501"/>
    <w:rsid w:val="00636666"/>
    <w:rsid w:val="00636702"/>
    <w:rsid w:val="006368D2"/>
    <w:rsid w:val="006368F1"/>
    <w:rsid w:val="00636A4D"/>
    <w:rsid w:val="00636C31"/>
    <w:rsid w:val="00636CEC"/>
    <w:rsid w:val="00636DFF"/>
    <w:rsid w:val="00637658"/>
    <w:rsid w:val="006379B0"/>
    <w:rsid w:val="00637D34"/>
    <w:rsid w:val="00637F92"/>
    <w:rsid w:val="00640579"/>
    <w:rsid w:val="006405D6"/>
    <w:rsid w:val="006409E0"/>
    <w:rsid w:val="00640A83"/>
    <w:rsid w:val="00640B88"/>
    <w:rsid w:val="00640E9A"/>
    <w:rsid w:val="006410A9"/>
    <w:rsid w:val="006410C4"/>
    <w:rsid w:val="00641574"/>
    <w:rsid w:val="00641EF2"/>
    <w:rsid w:val="006423BC"/>
    <w:rsid w:val="00642774"/>
    <w:rsid w:val="006428FF"/>
    <w:rsid w:val="0064293E"/>
    <w:rsid w:val="0064294F"/>
    <w:rsid w:val="006429A2"/>
    <w:rsid w:val="006431CD"/>
    <w:rsid w:val="00643505"/>
    <w:rsid w:val="00643946"/>
    <w:rsid w:val="00643AD1"/>
    <w:rsid w:val="00643C10"/>
    <w:rsid w:val="00643C67"/>
    <w:rsid w:val="00643E9D"/>
    <w:rsid w:val="0064448F"/>
    <w:rsid w:val="00644499"/>
    <w:rsid w:val="006445A9"/>
    <w:rsid w:val="006445D4"/>
    <w:rsid w:val="00644AA4"/>
    <w:rsid w:val="00644DCE"/>
    <w:rsid w:val="00644F06"/>
    <w:rsid w:val="0064594D"/>
    <w:rsid w:val="00645ABA"/>
    <w:rsid w:val="00645ADE"/>
    <w:rsid w:val="00646229"/>
    <w:rsid w:val="0064624C"/>
    <w:rsid w:val="0064638D"/>
    <w:rsid w:val="006463AD"/>
    <w:rsid w:val="0064641E"/>
    <w:rsid w:val="00646B1C"/>
    <w:rsid w:val="0064703A"/>
    <w:rsid w:val="006472BA"/>
    <w:rsid w:val="0064737C"/>
    <w:rsid w:val="006474D8"/>
    <w:rsid w:val="0064759D"/>
    <w:rsid w:val="006478C9"/>
    <w:rsid w:val="006479F6"/>
    <w:rsid w:val="00647DD2"/>
    <w:rsid w:val="00647E0F"/>
    <w:rsid w:val="00647EF7"/>
    <w:rsid w:val="00647F59"/>
    <w:rsid w:val="00647FAC"/>
    <w:rsid w:val="006501D7"/>
    <w:rsid w:val="00650816"/>
    <w:rsid w:val="00650E63"/>
    <w:rsid w:val="00651145"/>
    <w:rsid w:val="006515A0"/>
    <w:rsid w:val="00651763"/>
    <w:rsid w:val="00652521"/>
    <w:rsid w:val="00652582"/>
    <w:rsid w:val="0065265F"/>
    <w:rsid w:val="006526EB"/>
    <w:rsid w:val="006529A6"/>
    <w:rsid w:val="00652B71"/>
    <w:rsid w:val="00652DF1"/>
    <w:rsid w:val="00652E61"/>
    <w:rsid w:val="006530D3"/>
    <w:rsid w:val="0065343C"/>
    <w:rsid w:val="006535B8"/>
    <w:rsid w:val="0065390C"/>
    <w:rsid w:val="00653962"/>
    <w:rsid w:val="00653965"/>
    <w:rsid w:val="00653989"/>
    <w:rsid w:val="00653B42"/>
    <w:rsid w:val="00653DF2"/>
    <w:rsid w:val="00654047"/>
    <w:rsid w:val="00654B3B"/>
    <w:rsid w:val="00654E03"/>
    <w:rsid w:val="00655AFD"/>
    <w:rsid w:val="00655BA9"/>
    <w:rsid w:val="0065611B"/>
    <w:rsid w:val="006567D2"/>
    <w:rsid w:val="00656A8D"/>
    <w:rsid w:val="00656ABD"/>
    <w:rsid w:val="00656E41"/>
    <w:rsid w:val="00656F30"/>
    <w:rsid w:val="00656F96"/>
    <w:rsid w:val="006570DD"/>
    <w:rsid w:val="00657447"/>
    <w:rsid w:val="00657577"/>
    <w:rsid w:val="006577B5"/>
    <w:rsid w:val="00657DB5"/>
    <w:rsid w:val="00657DB7"/>
    <w:rsid w:val="00657E0D"/>
    <w:rsid w:val="00657E98"/>
    <w:rsid w:val="00657FA2"/>
    <w:rsid w:val="0066056B"/>
    <w:rsid w:val="00660724"/>
    <w:rsid w:val="00660B92"/>
    <w:rsid w:val="00660D7A"/>
    <w:rsid w:val="00660E04"/>
    <w:rsid w:val="00661357"/>
    <w:rsid w:val="006615F0"/>
    <w:rsid w:val="006616C5"/>
    <w:rsid w:val="00661826"/>
    <w:rsid w:val="00661AC9"/>
    <w:rsid w:val="00661BD3"/>
    <w:rsid w:val="00661C69"/>
    <w:rsid w:val="00661CD4"/>
    <w:rsid w:val="00661CFB"/>
    <w:rsid w:val="00662675"/>
    <w:rsid w:val="00662729"/>
    <w:rsid w:val="00662742"/>
    <w:rsid w:val="00662791"/>
    <w:rsid w:val="0066298D"/>
    <w:rsid w:val="00662B65"/>
    <w:rsid w:val="00662C28"/>
    <w:rsid w:val="00662D65"/>
    <w:rsid w:val="00662EC4"/>
    <w:rsid w:val="00662ED5"/>
    <w:rsid w:val="00662F31"/>
    <w:rsid w:val="006637BA"/>
    <w:rsid w:val="0066383A"/>
    <w:rsid w:val="006638B2"/>
    <w:rsid w:val="006638D0"/>
    <w:rsid w:val="006638EF"/>
    <w:rsid w:val="006639FD"/>
    <w:rsid w:val="00664221"/>
    <w:rsid w:val="006644A1"/>
    <w:rsid w:val="006645E2"/>
    <w:rsid w:val="00664A7A"/>
    <w:rsid w:val="00664ACE"/>
    <w:rsid w:val="00664BD2"/>
    <w:rsid w:val="00664D1D"/>
    <w:rsid w:val="00664DBC"/>
    <w:rsid w:val="00664DD5"/>
    <w:rsid w:val="00664FCC"/>
    <w:rsid w:val="006650E3"/>
    <w:rsid w:val="0066519E"/>
    <w:rsid w:val="00665617"/>
    <w:rsid w:val="006658B6"/>
    <w:rsid w:val="00665A5F"/>
    <w:rsid w:val="00665CE8"/>
    <w:rsid w:val="00665F77"/>
    <w:rsid w:val="0066603A"/>
    <w:rsid w:val="006660E3"/>
    <w:rsid w:val="006661B3"/>
    <w:rsid w:val="006664B6"/>
    <w:rsid w:val="006665E7"/>
    <w:rsid w:val="0066679B"/>
    <w:rsid w:val="0066685A"/>
    <w:rsid w:val="00666894"/>
    <w:rsid w:val="0066698A"/>
    <w:rsid w:val="00666B24"/>
    <w:rsid w:val="00666D5C"/>
    <w:rsid w:val="006675E5"/>
    <w:rsid w:val="006678D9"/>
    <w:rsid w:val="006679F0"/>
    <w:rsid w:val="00667A96"/>
    <w:rsid w:val="00667C90"/>
    <w:rsid w:val="00667DCF"/>
    <w:rsid w:val="00667F60"/>
    <w:rsid w:val="00667F88"/>
    <w:rsid w:val="00670251"/>
    <w:rsid w:val="0067028B"/>
    <w:rsid w:val="00670296"/>
    <w:rsid w:val="00670338"/>
    <w:rsid w:val="00670392"/>
    <w:rsid w:val="00670639"/>
    <w:rsid w:val="0067078E"/>
    <w:rsid w:val="006708DA"/>
    <w:rsid w:val="006709CD"/>
    <w:rsid w:val="00670BE8"/>
    <w:rsid w:val="00670C88"/>
    <w:rsid w:val="00670E32"/>
    <w:rsid w:val="00670E6B"/>
    <w:rsid w:val="00671025"/>
    <w:rsid w:val="0067105B"/>
    <w:rsid w:val="00671108"/>
    <w:rsid w:val="0067120D"/>
    <w:rsid w:val="00671452"/>
    <w:rsid w:val="006716B1"/>
    <w:rsid w:val="00671A5F"/>
    <w:rsid w:val="00671A61"/>
    <w:rsid w:val="00671BA7"/>
    <w:rsid w:val="0067209C"/>
    <w:rsid w:val="00672572"/>
    <w:rsid w:val="00672745"/>
    <w:rsid w:val="006727C9"/>
    <w:rsid w:val="00672D05"/>
    <w:rsid w:val="00672D9D"/>
    <w:rsid w:val="006736C1"/>
    <w:rsid w:val="006738B8"/>
    <w:rsid w:val="00673AE2"/>
    <w:rsid w:val="00673B81"/>
    <w:rsid w:val="00673C88"/>
    <w:rsid w:val="00673FAA"/>
    <w:rsid w:val="00674231"/>
    <w:rsid w:val="0067458D"/>
    <w:rsid w:val="006745A5"/>
    <w:rsid w:val="00674741"/>
    <w:rsid w:val="00674750"/>
    <w:rsid w:val="00674751"/>
    <w:rsid w:val="00674954"/>
    <w:rsid w:val="00674A29"/>
    <w:rsid w:val="00674B23"/>
    <w:rsid w:val="00674C3B"/>
    <w:rsid w:val="00674FF2"/>
    <w:rsid w:val="006752F3"/>
    <w:rsid w:val="006753C4"/>
    <w:rsid w:val="00675481"/>
    <w:rsid w:val="00675678"/>
    <w:rsid w:val="00675E50"/>
    <w:rsid w:val="006761B4"/>
    <w:rsid w:val="006763E4"/>
    <w:rsid w:val="006764E0"/>
    <w:rsid w:val="006765D0"/>
    <w:rsid w:val="00676BE0"/>
    <w:rsid w:val="00676CE6"/>
    <w:rsid w:val="00676FC4"/>
    <w:rsid w:val="006770CA"/>
    <w:rsid w:val="0067721D"/>
    <w:rsid w:val="00677498"/>
    <w:rsid w:val="00677564"/>
    <w:rsid w:val="006776DF"/>
    <w:rsid w:val="00677713"/>
    <w:rsid w:val="00677792"/>
    <w:rsid w:val="006779F3"/>
    <w:rsid w:val="00677A52"/>
    <w:rsid w:val="00677BE4"/>
    <w:rsid w:val="0068025B"/>
    <w:rsid w:val="006802AB"/>
    <w:rsid w:val="006802C7"/>
    <w:rsid w:val="00680342"/>
    <w:rsid w:val="0068037E"/>
    <w:rsid w:val="006805F9"/>
    <w:rsid w:val="0068083F"/>
    <w:rsid w:val="006808EC"/>
    <w:rsid w:val="00680CFF"/>
    <w:rsid w:val="00680E02"/>
    <w:rsid w:val="0068178D"/>
    <w:rsid w:val="006817CC"/>
    <w:rsid w:val="00681A47"/>
    <w:rsid w:val="00681A6C"/>
    <w:rsid w:val="00681C08"/>
    <w:rsid w:val="00681E42"/>
    <w:rsid w:val="00681F93"/>
    <w:rsid w:val="006822BC"/>
    <w:rsid w:val="006823ED"/>
    <w:rsid w:val="006826CA"/>
    <w:rsid w:val="006826CE"/>
    <w:rsid w:val="006826ED"/>
    <w:rsid w:val="00682715"/>
    <w:rsid w:val="0068324A"/>
    <w:rsid w:val="00683379"/>
    <w:rsid w:val="00683534"/>
    <w:rsid w:val="00683AA5"/>
    <w:rsid w:val="00683BEC"/>
    <w:rsid w:val="00683EE1"/>
    <w:rsid w:val="00684049"/>
    <w:rsid w:val="00684469"/>
    <w:rsid w:val="00684832"/>
    <w:rsid w:val="0068487A"/>
    <w:rsid w:val="00684968"/>
    <w:rsid w:val="006849D6"/>
    <w:rsid w:val="00684A65"/>
    <w:rsid w:val="00684B36"/>
    <w:rsid w:val="00684DDC"/>
    <w:rsid w:val="00684E17"/>
    <w:rsid w:val="00685208"/>
    <w:rsid w:val="0068549A"/>
    <w:rsid w:val="006854C8"/>
    <w:rsid w:val="00685826"/>
    <w:rsid w:val="006859DB"/>
    <w:rsid w:val="00685EB8"/>
    <w:rsid w:val="00686013"/>
    <w:rsid w:val="00686117"/>
    <w:rsid w:val="00686227"/>
    <w:rsid w:val="00686928"/>
    <w:rsid w:val="00686B9A"/>
    <w:rsid w:val="00687516"/>
    <w:rsid w:val="006875C0"/>
    <w:rsid w:val="006877AD"/>
    <w:rsid w:val="006877BD"/>
    <w:rsid w:val="006879FD"/>
    <w:rsid w:val="00687D67"/>
    <w:rsid w:val="00687F0F"/>
    <w:rsid w:val="00687FEC"/>
    <w:rsid w:val="00690638"/>
    <w:rsid w:val="00690655"/>
    <w:rsid w:val="00690E23"/>
    <w:rsid w:val="00690F54"/>
    <w:rsid w:val="00691273"/>
    <w:rsid w:val="006913E4"/>
    <w:rsid w:val="0069189F"/>
    <w:rsid w:val="006919D8"/>
    <w:rsid w:val="00691BA5"/>
    <w:rsid w:val="00691C7B"/>
    <w:rsid w:val="00691FDC"/>
    <w:rsid w:val="006922BC"/>
    <w:rsid w:val="006923E4"/>
    <w:rsid w:val="0069249E"/>
    <w:rsid w:val="006926E2"/>
    <w:rsid w:val="00692720"/>
    <w:rsid w:val="006928D8"/>
    <w:rsid w:val="00692C6D"/>
    <w:rsid w:val="00692E1A"/>
    <w:rsid w:val="00692E3F"/>
    <w:rsid w:val="00692ED9"/>
    <w:rsid w:val="00692FFA"/>
    <w:rsid w:val="0069312A"/>
    <w:rsid w:val="006931BD"/>
    <w:rsid w:val="00693332"/>
    <w:rsid w:val="0069358C"/>
    <w:rsid w:val="0069361C"/>
    <w:rsid w:val="0069371E"/>
    <w:rsid w:val="006938A7"/>
    <w:rsid w:val="006939B9"/>
    <w:rsid w:val="00693B7D"/>
    <w:rsid w:val="00693C25"/>
    <w:rsid w:val="0069412D"/>
    <w:rsid w:val="006942EB"/>
    <w:rsid w:val="0069433D"/>
    <w:rsid w:val="00694399"/>
    <w:rsid w:val="006943DB"/>
    <w:rsid w:val="006943F9"/>
    <w:rsid w:val="00694416"/>
    <w:rsid w:val="0069460E"/>
    <w:rsid w:val="00694679"/>
    <w:rsid w:val="006948A7"/>
    <w:rsid w:val="00694C0A"/>
    <w:rsid w:val="00694E77"/>
    <w:rsid w:val="00694E87"/>
    <w:rsid w:val="00695297"/>
    <w:rsid w:val="006953D2"/>
    <w:rsid w:val="006957A2"/>
    <w:rsid w:val="00695AEC"/>
    <w:rsid w:val="00695C9F"/>
    <w:rsid w:val="00695E36"/>
    <w:rsid w:val="00695EFF"/>
    <w:rsid w:val="00695F6C"/>
    <w:rsid w:val="00696031"/>
    <w:rsid w:val="00696074"/>
    <w:rsid w:val="006962A1"/>
    <w:rsid w:val="00696684"/>
    <w:rsid w:val="0069677A"/>
    <w:rsid w:val="006967D0"/>
    <w:rsid w:val="006968DC"/>
    <w:rsid w:val="0069696F"/>
    <w:rsid w:val="00696970"/>
    <w:rsid w:val="006969E4"/>
    <w:rsid w:val="00696AA3"/>
    <w:rsid w:val="00696EC9"/>
    <w:rsid w:val="00696FAF"/>
    <w:rsid w:val="00697001"/>
    <w:rsid w:val="006971F7"/>
    <w:rsid w:val="0069743D"/>
    <w:rsid w:val="006975B6"/>
    <w:rsid w:val="00697706"/>
    <w:rsid w:val="00697791"/>
    <w:rsid w:val="00697A3A"/>
    <w:rsid w:val="006A04DD"/>
    <w:rsid w:val="006A05FF"/>
    <w:rsid w:val="006A0B4D"/>
    <w:rsid w:val="006A0DA2"/>
    <w:rsid w:val="006A0FF7"/>
    <w:rsid w:val="006A1218"/>
    <w:rsid w:val="006A1224"/>
    <w:rsid w:val="006A1366"/>
    <w:rsid w:val="006A188F"/>
    <w:rsid w:val="006A1F6D"/>
    <w:rsid w:val="006A234E"/>
    <w:rsid w:val="006A235A"/>
    <w:rsid w:val="006A245C"/>
    <w:rsid w:val="006A2958"/>
    <w:rsid w:val="006A2B65"/>
    <w:rsid w:val="006A2C96"/>
    <w:rsid w:val="006A2D91"/>
    <w:rsid w:val="006A2E6C"/>
    <w:rsid w:val="006A2EC1"/>
    <w:rsid w:val="006A2F87"/>
    <w:rsid w:val="006A30D4"/>
    <w:rsid w:val="006A3513"/>
    <w:rsid w:val="006A3B32"/>
    <w:rsid w:val="006A3BF2"/>
    <w:rsid w:val="006A3E45"/>
    <w:rsid w:val="006A3F1E"/>
    <w:rsid w:val="006A3FA9"/>
    <w:rsid w:val="006A3FBB"/>
    <w:rsid w:val="006A4025"/>
    <w:rsid w:val="006A419C"/>
    <w:rsid w:val="006A4342"/>
    <w:rsid w:val="006A4453"/>
    <w:rsid w:val="006A4887"/>
    <w:rsid w:val="006A4909"/>
    <w:rsid w:val="006A4B85"/>
    <w:rsid w:val="006A4FAD"/>
    <w:rsid w:val="006A5085"/>
    <w:rsid w:val="006A5D99"/>
    <w:rsid w:val="006A5E0D"/>
    <w:rsid w:val="006A5EC7"/>
    <w:rsid w:val="006A6014"/>
    <w:rsid w:val="006A60DF"/>
    <w:rsid w:val="006A6183"/>
    <w:rsid w:val="006A619F"/>
    <w:rsid w:val="006A6316"/>
    <w:rsid w:val="006A65DD"/>
    <w:rsid w:val="006A65FB"/>
    <w:rsid w:val="006A691E"/>
    <w:rsid w:val="006A69D1"/>
    <w:rsid w:val="006A6C33"/>
    <w:rsid w:val="006A6CAC"/>
    <w:rsid w:val="006A7046"/>
    <w:rsid w:val="006A7284"/>
    <w:rsid w:val="006A7285"/>
    <w:rsid w:val="006A755D"/>
    <w:rsid w:val="006A7693"/>
    <w:rsid w:val="006A76F3"/>
    <w:rsid w:val="006A77C9"/>
    <w:rsid w:val="006A782E"/>
    <w:rsid w:val="006A7B52"/>
    <w:rsid w:val="006A7C7B"/>
    <w:rsid w:val="006A7F42"/>
    <w:rsid w:val="006A7FF8"/>
    <w:rsid w:val="006B0180"/>
    <w:rsid w:val="006B080F"/>
    <w:rsid w:val="006B0A23"/>
    <w:rsid w:val="006B0D43"/>
    <w:rsid w:val="006B1453"/>
    <w:rsid w:val="006B1533"/>
    <w:rsid w:val="006B1557"/>
    <w:rsid w:val="006B19F6"/>
    <w:rsid w:val="006B1E7E"/>
    <w:rsid w:val="006B1FD5"/>
    <w:rsid w:val="006B23D8"/>
    <w:rsid w:val="006B242D"/>
    <w:rsid w:val="006B26F4"/>
    <w:rsid w:val="006B2C8B"/>
    <w:rsid w:val="006B2C99"/>
    <w:rsid w:val="006B2E9E"/>
    <w:rsid w:val="006B3122"/>
    <w:rsid w:val="006B314C"/>
    <w:rsid w:val="006B3464"/>
    <w:rsid w:val="006B3482"/>
    <w:rsid w:val="006B356D"/>
    <w:rsid w:val="006B35FA"/>
    <w:rsid w:val="006B3823"/>
    <w:rsid w:val="006B3E36"/>
    <w:rsid w:val="006B4312"/>
    <w:rsid w:val="006B46D4"/>
    <w:rsid w:val="006B47CD"/>
    <w:rsid w:val="006B4842"/>
    <w:rsid w:val="006B4898"/>
    <w:rsid w:val="006B48DD"/>
    <w:rsid w:val="006B4987"/>
    <w:rsid w:val="006B4BDF"/>
    <w:rsid w:val="006B551D"/>
    <w:rsid w:val="006B56B1"/>
    <w:rsid w:val="006B5CC9"/>
    <w:rsid w:val="006B5D77"/>
    <w:rsid w:val="006B5DB9"/>
    <w:rsid w:val="006B64EA"/>
    <w:rsid w:val="006B6517"/>
    <w:rsid w:val="006B6766"/>
    <w:rsid w:val="006B69D5"/>
    <w:rsid w:val="006B6B04"/>
    <w:rsid w:val="006B6BEB"/>
    <w:rsid w:val="006B6C03"/>
    <w:rsid w:val="006B715D"/>
    <w:rsid w:val="006B7224"/>
    <w:rsid w:val="006B73F3"/>
    <w:rsid w:val="006B7423"/>
    <w:rsid w:val="006B7468"/>
    <w:rsid w:val="006B74A1"/>
    <w:rsid w:val="006B7A00"/>
    <w:rsid w:val="006B7A17"/>
    <w:rsid w:val="006B7E4E"/>
    <w:rsid w:val="006B7EC1"/>
    <w:rsid w:val="006C00BB"/>
    <w:rsid w:val="006C0180"/>
    <w:rsid w:val="006C033A"/>
    <w:rsid w:val="006C069F"/>
    <w:rsid w:val="006C0CE4"/>
    <w:rsid w:val="006C119C"/>
    <w:rsid w:val="006C1471"/>
    <w:rsid w:val="006C1830"/>
    <w:rsid w:val="006C19CA"/>
    <w:rsid w:val="006C1F9E"/>
    <w:rsid w:val="006C21AF"/>
    <w:rsid w:val="006C2782"/>
    <w:rsid w:val="006C295B"/>
    <w:rsid w:val="006C2B7B"/>
    <w:rsid w:val="006C2BBB"/>
    <w:rsid w:val="006C33C8"/>
    <w:rsid w:val="006C3772"/>
    <w:rsid w:val="006C399B"/>
    <w:rsid w:val="006C3CD6"/>
    <w:rsid w:val="006C40CE"/>
    <w:rsid w:val="006C41E2"/>
    <w:rsid w:val="006C423D"/>
    <w:rsid w:val="006C430F"/>
    <w:rsid w:val="006C4312"/>
    <w:rsid w:val="006C4699"/>
    <w:rsid w:val="006C4759"/>
    <w:rsid w:val="006C4C92"/>
    <w:rsid w:val="006C4CB4"/>
    <w:rsid w:val="006C4F7A"/>
    <w:rsid w:val="006C5140"/>
    <w:rsid w:val="006C5236"/>
    <w:rsid w:val="006C5270"/>
    <w:rsid w:val="006C5314"/>
    <w:rsid w:val="006C5659"/>
    <w:rsid w:val="006C580B"/>
    <w:rsid w:val="006C5845"/>
    <w:rsid w:val="006C5BEC"/>
    <w:rsid w:val="006C5FFF"/>
    <w:rsid w:val="006C6234"/>
    <w:rsid w:val="006C6253"/>
    <w:rsid w:val="006C63D8"/>
    <w:rsid w:val="006C651B"/>
    <w:rsid w:val="006C6556"/>
    <w:rsid w:val="006C6CC1"/>
    <w:rsid w:val="006C6EFD"/>
    <w:rsid w:val="006C71B8"/>
    <w:rsid w:val="006C72DD"/>
    <w:rsid w:val="006C7335"/>
    <w:rsid w:val="006C7410"/>
    <w:rsid w:val="006C75DF"/>
    <w:rsid w:val="006C77A7"/>
    <w:rsid w:val="006C781A"/>
    <w:rsid w:val="006C78C2"/>
    <w:rsid w:val="006C7BF5"/>
    <w:rsid w:val="006C7CF5"/>
    <w:rsid w:val="006C7F94"/>
    <w:rsid w:val="006D014A"/>
    <w:rsid w:val="006D038A"/>
    <w:rsid w:val="006D05D6"/>
    <w:rsid w:val="006D0C04"/>
    <w:rsid w:val="006D0F2F"/>
    <w:rsid w:val="006D10A4"/>
    <w:rsid w:val="006D117C"/>
    <w:rsid w:val="006D144C"/>
    <w:rsid w:val="006D1674"/>
    <w:rsid w:val="006D184D"/>
    <w:rsid w:val="006D201D"/>
    <w:rsid w:val="006D207A"/>
    <w:rsid w:val="006D213B"/>
    <w:rsid w:val="006D2252"/>
    <w:rsid w:val="006D2275"/>
    <w:rsid w:val="006D24B4"/>
    <w:rsid w:val="006D2B84"/>
    <w:rsid w:val="006D2D29"/>
    <w:rsid w:val="006D313C"/>
    <w:rsid w:val="006D327F"/>
    <w:rsid w:val="006D3E29"/>
    <w:rsid w:val="006D40BE"/>
    <w:rsid w:val="006D4ACE"/>
    <w:rsid w:val="006D5154"/>
    <w:rsid w:val="006D5246"/>
    <w:rsid w:val="006D5327"/>
    <w:rsid w:val="006D5677"/>
    <w:rsid w:val="006D5739"/>
    <w:rsid w:val="006D58DA"/>
    <w:rsid w:val="006D59A5"/>
    <w:rsid w:val="006D6065"/>
    <w:rsid w:val="006D6102"/>
    <w:rsid w:val="006D6185"/>
    <w:rsid w:val="006D65B7"/>
    <w:rsid w:val="006D67D8"/>
    <w:rsid w:val="006D6A11"/>
    <w:rsid w:val="006D6E64"/>
    <w:rsid w:val="006D6EF8"/>
    <w:rsid w:val="006D72F8"/>
    <w:rsid w:val="006D7301"/>
    <w:rsid w:val="006D731F"/>
    <w:rsid w:val="006D7369"/>
    <w:rsid w:val="006D77B7"/>
    <w:rsid w:val="006D7811"/>
    <w:rsid w:val="006D78DD"/>
    <w:rsid w:val="006D792B"/>
    <w:rsid w:val="006D7D9A"/>
    <w:rsid w:val="006D7E42"/>
    <w:rsid w:val="006E0113"/>
    <w:rsid w:val="006E014F"/>
    <w:rsid w:val="006E02A6"/>
    <w:rsid w:val="006E0348"/>
    <w:rsid w:val="006E04DB"/>
    <w:rsid w:val="006E063F"/>
    <w:rsid w:val="006E06AF"/>
    <w:rsid w:val="006E0769"/>
    <w:rsid w:val="006E0973"/>
    <w:rsid w:val="006E0B50"/>
    <w:rsid w:val="006E0BAE"/>
    <w:rsid w:val="006E0EE9"/>
    <w:rsid w:val="006E10F0"/>
    <w:rsid w:val="006E1492"/>
    <w:rsid w:val="006E187B"/>
    <w:rsid w:val="006E18C0"/>
    <w:rsid w:val="006E1C92"/>
    <w:rsid w:val="006E1E4B"/>
    <w:rsid w:val="006E1FA8"/>
    <w:rsid w:val="006E20A7"/>
    <w:rsid w:val="006E25F7"/>
    <w:rsid w:val="006E294E"/>
    <w:rsid w:val="006E2CE9"/>
    <w:rsid w:val="006E379E"/>
    <w:rsid w:val="006E37F8"/>
    <w:rsid w:val="006E383B"/>
    <w:rsid w:val="006E394E"/>
    <w:rsid w:val="006E396F"/>
    <w:rsid w:val="006E3A29"/>
    <w:rsid w:val="006E3C22"/>
    <w:rsid w:val="006E3D74"/>
    <w:rsid w:val="006E3F3E"/>
    <w:rsid w:val="006E424E"/>
    <w:rsid w:val="006E44A8"/>
    <w:rsid w:val="006E4897"/>
    <w:rsid w:val="006E49B3"/>
    <w:rsid w:val="006E4A4F"/>
    <w:rsid w:val="006E4AE5"/>
    <w:rsid w:val="006E4B42"/>
    <w:rsid w:val="006E4B5D"/>
    <w:rsid w:val="006E4DA0"/>
    <w:rsid w:val="006E4DB5"/>
    <w:rsid w:val="006E4E00"/>
    <w:rsid w:val="006E4EC4"/>
    <w:rsid w:val="006E4FD2"/>
    <w:rsid w:val="006E50DB"/>
    <w:rsid w:val="006E519C"/>
    <w:rsid w:val="006E550F"/>
    <w:rsid w:val="006E58EF"/>
    <w:rsid w:val="006E5A5F"/>
    <w:rsid w:val="006E5BBD"/>
    <w:rsid w:val="006E5D6A"/>
    <w:rsid w:val="006E64D8"/>
    <w:rsid w:val="006E6560"/>
    <w:rsid w:val="006E6782"/>
    <w:rsid w:val="006E6927"/>
    <w:rsid w:val="006E6B1E"/>
    <w:rsid w:val="006E70EC"/>
    <w:rsid w:val="006E7219"/>
    <w:rsid w:val="006E7301"/>
    <w:rsid w:val="006E737A"/>
    <w:rsid w:val="006E7A70"/>
    <w:rsid w:val="006F0253"/>
    <w:rsid w:val="006F04C4"/>
    <w:rsid w:val="006F06AA"/>
    <w:rsid w:val="006F06AD"/>
    <w:rsid w:val="006F08C6"/>
    <w:rsid w:val="006F09E0"/>
    <w:rsid w:val="006F0A1C"/>
    <w:rsid w:val="006F0B49"/>
    <w:rsid w:val="006F0DD5"/>
    <w:rsid w:val="006F0FD6"/>
    <w:rsid w:val="006F117B"/>
    <w:rsid w:val="006F13DB"/>
    <w:rsid w:val="006F1698"/>
    <w:rsid w:val="006F16F7"/>
    <w:rsid w:val="006F1723"/>
    <w:rsid w:val="006F18DE"/>
    <w:rsid w:val="006F1993"/>
    <w:rsid w:val="006F1ACA"/>
    <w:rsid w:val="006F1C9F"/>
    <w:rsid w:val="006F1DA3"/>
    <w:rsid w:val="006F1F82"/>
    <w:rsid w:val="006F216B"/>
    <w:rsid w:val="006F2264"/>
    <w:rsid w:val="006F2B72"/>
    <w:rsid w:val="006F2CF5"/>
    <w:rsid w:val="006F2E80"/>
    <w:rsid w:val="006F30E7"/>
    <w:rsid w:val="006F32FD"/>
    <w:rsid w:val="006F345D"/>
    <w:rsid w:val="006F352A"/>
    <w:rsid w:val="006F3D37"/>
    <w:rsid w:val="006F3DB3"/>
    <w:rsid w:val="006F3DDE"/>
    <w:rsid w:val="006F4076"/>
    <w:rsid w:val="006F41D1"/>
    <w:rsid w:val="006F41FB"/>
    <w:rsid w:val="006F42E2"/>
    <w:rsid w:val="006F445D"/>
    <w:rsid w:val="006F4816"/>
    <w:rsid w:val="006F4946"/>
    <w:rsid w:val="006F4C9D"/>
    <w:rsid w:val="006F4D3C"/>
    <w:rsid w:val="006F5180"/>
    <w:rsid w:val="006F5777"/>
    <w:rsid w:val="006F5BD7"/>
    <w:rsid w:val="006F61C6"/>
    <w:rsid w:val="006F621E"/>
    <w:rsid w:val="006F62D7"/>
    <w:rsid w:val="006F65C6"/>
    <w:rsid w:val="006F6723"/>
    <w:rsid w:val="006F67AB"/>
    <w:rsid w:val="006F6827"/>
    <w:rsid w:val="006F6B4E"/>
    <w:rsid w:val="006F6C81"/>
    <w:rsid w:val="006F76CF"/>
    <w:rsid w:val="006F778E"/>
    <w:rsid w:val="006F7875"/>
    <w:rsid w:val="006F7F4B"/>
    <w:rsid w:val="006F7F9B"/>
    <w:rsid w:val="00700202"/>
    <w:rsid w:val="00700245"/>
    <w:rsid w:val="007006D6"/>
    <w:rsid w:val="00700856"/>
    <w:rsid w:val="00700C70"/>
    <w:rsid w:val="00700D2D"/>
    <w:rsid w:val="00700EA9"/>
    <w:rsid w:val="007011D9"/>
    <w:rsid w:val="0070146B"/>
    <w:rsid w:val="007015F4"/>
    <w:rsid w:val="00701907"/>
    <w:rsid w:val="00701980"/>
    <w:rsid w:val="00701BBF"/>
    <w:rsid w:val="0070253E"/>
    <w:rsid w:val="00702733"/>
    <w:rsid w:val="007027CD"/>
    <w:rsid w:val="007029D4"/>
    <w:rsid w:val="00702FEC"/>
    <w:rsid w:val="00703004"/>
    <w:rsid w:val="00703073"/>
    <w:rsid w:val="0070318C"/>
    <w:rsid w:val="00703332"/>
    <w:rsid w:val="00703446"/>
    <w:rsid w:val="00703490"/>
    <w:rsid w:val="00703737"/>
    <w:rsid w:val="0070386F"/>
    <w:rsid w:val="00703A77"/>
    <w:rsid w:val="00703CF2"/>
    <w:rsid w:val="00703D7E"/>
    <w:rsid w:val="00703FF7"/>
    <w:rsid w:val="007041BA"/>
    <w:rsid w:val="00704213"/>
    <w:rsid w:val="00704237"/>
    <w:rsid w:val="00704435"/>
    <w:rsid w:val="00704528"/>
    <w:rsid w:val="00704761"/>
    <w:rsid w:val="0070484D"/>
    <w:rsid w:val="00704890"/>
    <w:rsid w:val="00704B37"/>
    <w:rsid w:val="00704C62"/>
    <w:rsid w:val="00704DA8"/>
    <w:rsid w:val="00704E26"/>
    <w:rsid w:val="00704E6F"/>
    <w:rsid w:val="00704E77"/>
    <w:rsid w:val="00704F33"/>
    <w:rsid w:val="00705096"/>
    <w:rsid w:val="00705245"/>
    <w:rsid w:val="0070532A"/>
    <w:rsid w:val="00705497"/>
    <w:rsid w:val="007056A2"/>
    <w:rsid w:val="00705754"/>
    <w:rsid w:val="0070594F"/>
    <w:rsid w:val="00705A06"/>
    <w:rsid w:val="00705EE8"/>
    <w:rsid w:val="007061BD"/>
    <w:rsid w:val="00706202"/>
    <w:rsid w:val="0070627B"/>
    <w:rsid w:val="007063A6"/>
    <w:rsid w:val="00706916"/>
    <w:rsid w:val="00706B4F"/>
    <w:rsid w:val="00706B90"/>
    <w:rsid w:val="00706DD7"/>
    <w:rsid w:val="0070732B"/>
    <w:rsid w:val="0070740F"/>
    <w:rsid w:val="007074A9"/>
    <w:rsid w:val="00707A2D"/>
    <w:rsid w:val="00707B32"/>
    <w:rsid w:val="00707C29"/>
    <w:rsid w:val="00707D68"/>
    <w:rsid w:val="00707E2A"/>
    <w:rsid w:val="00707E5A"/>
    <w:rsid w:val="00710052"/>
    <w:rsid w:val="007104E0"/>
    <w:rsid w:val="00710D69"/>
    <w:rsid w:val="00710E60"/>
    <w:rsid w:val="00711151"/>
    <w:rsid w:val="00711426"/>
    <w:rsid w:val="007115ED"/>
    <w:rsid w:val="00711662"/>
    <w:rsid w:val="007119BE"/>
    <w:rsid w:val="00711B0E"/>
    <w:rsid w:val="00711B99"/>
    <w:rsid w:val="00711BDE"/>
    <w:rsid w:val="00711DB9"/>
    <w:rsid w:val="00712009"/>
    <w:rsid w:val="0071216B"/>
    <w:rsid w:val="00712254"/>
    <w:rsid w:val="007124D9"/>
    <w:rsid w:val="007126AF"/>
    <w:rsid w:val="00712807"/>
    <w:rsid w:val="0071295A"/>
    <w:rsid w:val="00712B06"/>
    <w:rsid w:val="00713020"/>
    <w:rsid w:val="007130B8"/>
    <w:rsid w:val="00713491"/>
    <w:rsid w:val="007137B8"/>
    <w:rsid w:val="007138F8"/>
    <w:rsid w:val="00713921"/>
    <w:rsid w:val="00713ED2"/>
    <w:rsid w:val="00713F0A"/>
    <w:rsid w:val="00714908"/>
    <w:rsid w:val="00714BAE"/>
    <w:rsid w:val="00714EAF"/>
    <w:rsid w:val="00714FEB"/>
    <w:rsid w:val="007150DF"/>
    <w:rsid w:val="007151CA"/>
    <w:rsid w:val="007153B5"/>
    <w:rsid w:val="0071565F"/>
    <w:rsid w:val="007156AC"/>
    <w:rsid w:val="00715E1D"/>
    <w:rsid w:val="0071628B"/>
    <w:rsid w:val="00716585"/>
    <w:rsid w:val="00716EE1"/>
    <w:rsid w:val="00717191"/>
    <w:rsid w:val="00717228"/>
    <w:rsid w:val="0071724A"/>
    <w:rsid w:val="007172F7"/>
    <w:rsid w:val="007177E8"/>
    <w:rsid w:val="00717A2F"/>
    <w:rsid w:val="00717C6A"/>
    <w:rsid w:val="00717D80"/>
    <w:rsid w:val="00720195"/>
    <w:rsid w:val="0072042D"/>
    <w:rsid w:val="007204AF"/>
    <w:rsid w:val="007205DD"/>
    <w:rsid w:val="00720927"/>
    <w:rsid w:val="00720E2E"/>
    <w:rsid w:val="00720FFE"/>
    <w:rsid w:val="0072106D"/>
    <w:rsid w:val="00721218"/>
    <w:rsid w:val="007212D7"/>
    <w:rsid w:val="0072138A"/>
    <w:rsid w:val="00721390"/>
    <w:rsid w:val="00721728"/>
    <w:rsid w:val="007217BC"/>
    <w:rsid w:val="00721B3C"/>
    <w:rsid w:val="00721BFC"/>
    <w:rsid w:val="00721C91"/>
    <w:rsid w:val="00721CF8"/>
    <w:rsid w:val="00721D64"/>
    <w:rsid w:val="0072218C"/>
    <w:rsid w:val="0072229E"/>
    <w:rsid w:val="007223C4"/>
    <w:rsid w:val="007225D6"/>
    <w:rsid w:val="00722E65"/>
    <w:rsid w:val="0072328A"/>
    <w:rsid w:val="0072349D"/>
    <w:rsid w:val="0072383C"/>
    <w:rsid w:val="00723A6C"/>
    <w:rsid w:val="00723B1A"/>
    <w:rsid w:val="00723DAF"/>
    <w:rsid w:val="00723FB9"/>
    <w:rsid w:val="007243F3"/>
    <w:rsid w:val="007244E4"/>
    <w:rsid w:val="00724547"/>
    <w:rsid w:val="007248BB"/>
    <w:rsid w:val="00724907"/>
    <w:rsid w:val="00724F56"/>
    <w:rsid w:val="007250FB"/>
    <w:rsid w:val="00725139"/>
    <w:rsid w:val="007251B2"/>
    <w:rsid w:val="007252C1"/>
    <w:rsid w:val="0072569D"/>
    <w:rsid w:val="00725D04"/>
    <w:rsid w:val="00725F01"/>
    <w:rsid w:val="00725FD4"/>
    <w:rsid w:val="00726297"/>
    <w:rsid w:val="00726353"/>
    <w:rsid w:val="00726406"/>
    <w:rsid w:val="00726E77"/>
    <w:rsid w:val="00727573"/>
    <w:rsid w:val="00727816"/>
    <w:rsid w:val="00727EE3"/>
    <w:rsid w:val="00727F58"/>
    <w:rsid w:val="00727F59"/>
    <w:rsid w:val="007302FB"/>
    <w:rsid w:val="00730704"/>
    <w:rsid w:val="00730B46"/>
    <w:rsid w:val="00730BA5"/>
    <w:rsid w:val="00730BF0"/>
    <w:rsid w:val="00730D13"/>
    <w:rsid w:val="00730F26"/>
    <w:rsid w:val="007310E4"/>
    <w:rsid w:val="00731B5D"/>
    <w:rsid w:val="00731B5E"/>
    <w:rsid w:val="00731D36"/>
    <w:rsid w:val="00731D76"/>
    <w:rsid w:val="00731E80"/>
    <w:rsid w:val="00731F11"/>
    <w:rsid w:val="0073209A"/>
    <w:rsid w:val="00732470"/>
    <w:rsid w:val="0073251B"/>
    <w:rsid w:val="00732578"/>
    <w:rsid w:val="00732665"/>
    <w:rsid w:val="00732740"/>
    <w:rsid w:val="0073285B"/>
    <w:rsid w:val="007328B4"/>
    <w:rsid w:val="0073295B"/>
    <w:rsid w:val="0073298E"/>
    <w:rsid w:val="00732B28"/>
    <w:rsid w:val="00732C29"/>
    <w:rsid w:val="007336B7"/>
    <w:rsid w:val="00733BDD"/>
    <w:rsid w:val="00733E73"/>
    <w:rsid w:val="00733E84"/>
    <w:rsid w:val="00734027"/>
    <w:rsid w:val="007342F9"/>
    <w:rsid w:val="00734698"/>
    <w:rsid w:val="007346C6"/>
    <w:rsid w:val="00734998"/>
    <w:rsid w:val="00734E19"/>
    <w:rsid w:val="00735161"/>
    <w:rsid w:val="007353D2"/>
    <w:rsid w:val="00735480"/>
    <w:rsid w:val="007357CC"/>
    <w:rsid w:val="00735DEC"/>
    <w:rsid w:val="00735E4A"/>
    <w:rsid w:val="00735E4D"/>
    <w:rsid w:val="00735F01"/>
    <w:rsid w:val="00736390"/>
    <w:rsid w:val="0073660E"/>
    <w:rsid w:val="00736A07"/>
    <w:rsid w:val="00736A11"/>
    <w:rsid w:val="00736B7D"/>
    <w:rsid w:val="00737890"/>
    <w:rsid w:val="00737AB0"/>
    <w:rsid w:val="00740352"/>
    <w:rsid w:val="0074041F"/>
    <w:rsid w:val="00740553"/>
    <w:rsid w:val="00740D3C"/>
    <w:rsid w:val="00740D73"/>
    <w:rsid w:val="0074124B"/>
    <w:rsid w:val="007413F2"/>
    <w:rsid w:val="00741526"/>
    <w:rsid w:val="007415BA"/>
    <w:rsid w:val="007415F6"/>
    <w:rsid w:val="0074168C"/>
    <w:rsid w:val="00741A48"/>
    <w:rsid w:val="00741A88"/>
    <w:rsid w:val="00741C1C"/>
    <w:rsid w:val="00741C40"/>
    <w:rsid w:val="007425A5"/>
    <w:rsid w:val="00742769"/>
    <w:rsid w:val="00742ACE"/>
    <w:rsid w:val="00742CF7"/>
    <w:rsid w:val="00742EFB"/>
    <w:rsid w:val="00743003"/>
    <w:rsid w:val="00743020"/>
    <w:rsid w:val="007430A8"/>
    <w:rsid w:val="00743491"/>
    <w:rsid w:val="007439ED"/>
    <w:rsid w:val="007439FB"/>
    <w:rsid w:val="00743AC3"/>
    <w:rsid w:val="00743CA3"/>
    <w:rsid w:val="00743D3B"/>
    <w:rsid w:val="00743D6E"/>
    <w:rsid w:val="00743F05"/>
    <w:rsid w:val="00744367"/>
    <w:rsid w:val="0074451A"/>
    <w:rsid w:val="00744839"/>
    <w:rsid w:val="0074484E"/>
    <w:rsid w:val="00744AF9"/>
    <w:rsid w:val="00744CDF"/>
    <w:rsid w:val="00744D18"/>
    <w:rsid w:val="00744EB5"/>
    <w:rsid w:val="00744F50"/>
    <w:rsid w:val="007452A0"/>
    <w:rsid w:val="00745425"/>
    <w:rsid w:val="0074542C"/>
    <w:rsid w:val="0074589E"/>
    <w:rsid w:val="00745930"/>
    <w:rsid w:val="00745CA9"/>
    <w:rsid w:val="007460B1"/>
    <w:rsid w:val="007464B6"/>
    <w:rsid w:val="007466E6"/>
    <w:rsid w:val="00746BB0"/>
    <w:rsid w:val="00746EFD"/>
    <w:rsid w:val="00746FA8"/>
    <w:rsid w:val="00746FCA"/>
    <w:rsid w:val="007470BB"/>
    <w:rsid w:val="00747277"/>
    <w:rsid w:val="00747401"/>
    <w:rsid w:val="007474FC"/>
    <w:rsid w:val="00747615"/>
    <w:rsid w:val="0074778F"/>
    <w:rsid w:val="00747B33"/>
    <w:rsid w:val="00747EDD"/>
    <w:rsid w:val="007500A0"/>
    <w:rsid w:val="007500CD"/>
    <w:rsid w:val="007500EC"/>
    <w:rsid w:val="007503EA"/>
    <w:rsid w:val="007507F9"/>
    <w:rsid w:val="00750DDE"/>
    <w:rsid w:val="00750E0B"/>
    <w:rsid w:val="00750EB7"/>
    <w:rsid w:val="00750F46"/>
    <w:rsid w:val="00751009"/>
    <w:rsid w:val="00751056"/>
    <w:rsid w:val="00751088"/>
    <w:rsid w:val="007510B6"/>
    <w:rsid w:val="0075135D"/>
    <w:rsid w:val="0075146E"/>
    <w:rsid w:val="0075159C"/>
    <w:rsid w:val="0075196E"/>
    <w:rsid w:val="007519FE"/>
    <w:rsid w:val="00751F9B"/>
    <w:rsid w:val="00752244"/>
    <w:rsid w:val="007522B8"/>
    <w:rsid w:val="00752422"/>
    <w:rsid w:val="00752883"/>
    <w:rsid w:val="00752A38"/>
    <w:rsid w:val="00752AE5"/>
    <w:rsid w:val="00752C3F"/>
    <w:rsid w:val="00752D4F"/>
    <w:rsid w:val="00753018"/>
    <w:rsid w:val="00753601"/>
    <w:rsid w:val="00753714"/>
    <w:rsid w:val="00753B90"/>
    <w:rsid w:val="00753CEE"/>
    <w:rsid w:val="00754587"/>
    <w:rsid w:val="00754B74"/>
    <w:rsid w:val="00754C95"/>
    <w:rsid w:val="00754EA9"/>
    <w:rsid w:val="00754F01"/>
    <w:rsid w:val="00754F20"/>
    <w:rsid w:val="00754F6B"/>
    <w:rsid w:val="0075514C"/>
    <w:rsid w:val="007551D7"/>
    <w:rsid w:val="00755308"/>
    <w:rsid w:val="00755321"/>
    <w:rsid w:val="0075582C"/>
    <w:rsid w:val="00755922"/>
    <w:rsid w:val="00755957"/>
    <w:rsid w:val="00755A0A"/>
    <w:rsid w:val="00755D0E"/>
    <w:rsid w:val="00755D53"/>
    <w:rsid w:val="007561BF"/>
    <w:rsid w:val="0075630D"/>
    <w:rsid w:val="00756E6D"/>
    <w:rsid w:val="00756FFB"/>
    <w:rsid w:val="007571E4"/>
    <w:rsid w:val="007572CC"/>
    <w:rsid w:val="00757684"/>
    <w:rsid w:val="00757695"/>
    <w:rsid w:val="007577C2"/>
    <w:rsid w:val="00757BAD"/>
    <w:rsid w:val="00757C96"/>
    <w:rsid w:val="00757DE5"/>
    <w:rsid w:val="00760016"/>
    <w:rsid w:val="0076009C"/>
    <w:rsid w:val="007600D6"/>
    <w:rsid w:val="00760599"/>
    <w:rsid w:val="00760A45"/>
    <w:rsid w:val="00760C11"/>
    <w:rsid w:val="00760EA8"/>
    <w:rsid w:val="00761091"/>
    <w:rsid w:val="00761375"/>
    <w:rsid w:val="0076139A"/>
    <w:rsid w:val="0076147F"/>
    <w:rsid w:val="0076188D"/>
    <w:rsid w:val="007619D7"/>
    <w:rsid w:val="0076231F"/>
    <w:rsid w:val="00762480"/>
    <w:rsid w:val="00762B5C"/>
    <w:rsid w:val="00762C09"/>
    <w:rsid w:val="00762D6B"/>
    <w:rsid w:val="007630AB"/>
    <w:rsid w:val="0076327B"/>
    <w:rsid w:val="0076375A"/>
    <w:rsid w:val="0076386F"/>
    <w:rsid w:val="00763967"/>
    <w:rsid w:val="007639E9"/>
    <w:rsid w:val="00763FDC"/>
    <w:rsid w:val="007640B8"/>
    <w:rsid w:val="007640E8"/>
    <w:rsid w:val="00764269"/>
    <w:rsid w:val="00764392"/>
    <w:rsid w:val="007645A7"/>
    <w:rsid w:val="0076461B"/>
    <w:rsid w:val="007646CD"/>
    <w:rsid w:val="0076481B"/>
    <w:rsid w:val="0076481C"/>
    <w:rsid w:val="00764899"/>
    <w:rsid w:val="007648A2"/>
    <w:rsid w:val="00764AA2"/>
    <w:rsid w:val="00764C38"/>
    <w:rsid w:val="00764D4F"/>
    <w:rsid w:val="007656A2"/>
    <w:rsid w:val="0076589A"/>
    <w:rsid w:val="0076594D"/>
    <w:rsid w:val="007659B1"/>
    <w:rsid w:val="00765B48"/>
    <w:rsid w:val="00765C1B"/>
    <w:rsid w:val="00765CF4"/>
    <w:rsid w:val="0076626F"/>
    <w:rsid w:val="00766328"/>
    <w:rsid w:val="00766436"/>
    <w:rsid w:val="0076648D"/>
    <w:rsid w:val="007664BC"/>
    <w:rsid w:val="00766545"/>
    <w:rsid w:val="007667FF"/>
    <w:rsid w:val="00766895"/>
    <w:rsid w:val="00766BA5"/>
    <w:rsid w:val="0076739A"/>
    <w:rsid w:val="00767785"/>
    <w:rsid w:val="00767C5F"/>
    <w:rsid w:val="00767CC1"/>
    <w:rsid w:val="00767D29"/>
    <w:rsid w:val="00767EA8"/>
    <w:rsid w:val="007700C1"/>
    <w:rsid w:val="007705BF"/>
    <w:rsid w:val="0077099C"/>
    <w:rsid w:val="007711A8"/>
    <w:rsid w:val="0077122D"/>
    <w:rsid w:val="0077145A"/>
    <w:rsid w:val="00771B38"/>
    <w:rsid w:val="00771BF1"/>
    <w:rsid w:val="007720E7"/>
    <w:rsid w:val="0077237B"/>
    <w:rsid w:val="007727D8"/>
    <w:rsid w:val="00772DF1"/>
    <w:rsid w:val="00772E8B"/>
    <w:rsid w:val="00773356"/>
    <w:rsid w:val="00773413"/>
    <w:rsid w:val="00773499"/>
    <w:rsid w:val="00773566"/>
    <w:rsid w:val="007737E2"/>
    <w:rsid w:val="00773B86"/>
    <w:rsid w:val="00773FFD"/>
    <w:rsid w:val="0077411F"/>
    <w:rsid w:val="00774181"/>
    <w:rsid w:val="0077430B"/>
    <w:rsid w:val="007744EF"/>
    <w:rsid w:val="0077462D"/>
    <w:rsid w:val="007746FB"/>
    <w:rsid w:val="0077470C"/>
    <w:rsid w:val="007749DF"/>
    <w:rsid w:val="007749FA"/>
    <w:rsid w:val="00774DDB"/>
    <w:rsid w:val="00774F72"/>
    <w:rsid w:val="00775086"/>
    <w:rsid w:val="007751FC"/>
    <w:rsid w:val="007754FB"/>
    <w:rsid w:val="0077553C"/>
    <w:rsid w:val="00775610"/>
    <w:rsid w:val="00775648"/>
    <w:rsid w:val="007756BD"/>
    <w:rsid w:val="00775813"/>
    <w:rsid w:val="00775A93"/>
    <w:rsid w:val="00775B46"/>
    <w:rsid w:val="00775C59"/>
    <w:rsid w:val="00775F2F"/>
    <w:rsid w:val="00775FB2"/>
    <w:rsid w:val="007761EA"/>
    <w:rsid w:val="0077625D"/>
    <w:rsid w:val="00776282"/>
    <w:rsid w:val="007764D8"/>
    <w:rsid w:val="00776953"/>
    <w:rsid w:val="0077774F"/>
    <w:rsid w:val="00777B7E"/>
    <w:rsid w:val="00777DAB"/>
    <w:rsid w:val="0078003A"/>
    <w:rsid w:val="0078009E"/>
    <w:rsid w:val="00780381"/>
    <w:rsid w:val="00780419"/>
    <w:rsid w:val="007804B6"/>
    <w:rsid w:val="00780E10"/>
    <w:rsid w:val="00780E18"/>
    <w:rsid w:val="00780FFD"/>
    <w:rsid w:val="00781065"/>
    <w:rsid w:val="00781639"/>
    <w:rsid w:val="00781794"/>
    <w:rsid w:val="00781916"/>
    <w:rsid w:val="00781A9E"/>
    <w:rsid w:val="00781FC1"/>
    <w:rsid w:val="00782006"/>
    <w:rsid w:val="007821F3"/>
    <w:rsid w:val="007824EA"/>
    <w:rsid w:val="007829D0"/>
    <w:rsid w:val="00782B7D"/>
    <w:rsid w:val="00782CA7"/>
    <w:rsid w:val="00782FF9"/>
    <w:rsid w:val="007830E8"/>
    <w:rsid w:val="007830FF"/>
    <w:rsid w:val="00783624"/>
    <w:rsid w:val="00783958"/>
    <w:rsid w:val="00783CD6"/>
    <w:rsid w:val="00783D78"/>
    <w:rsid w:val="00783E6B"/>
    <w:rsid w:val="00783E7B"/>
    <w:rsid w:val="0078425B"/>
    <w:rsid w:val="00784705"/>
    <w:rsid w:val="007847AB"/>
    <w:rsid w:val="00784903"/>
    <w:rsid w:val="00784B20"/>
    <w:rsid w:val="00784BF6"/>
    <w:rsid w:val="00784CDD"/>
    <w:rsid w:val="00784D3F"/>
    <w:rsid w:val="00784DA9"/>
    <w:rsid w:val="007851F4"/>
    <w:rsid w:val="007857A8"/>
    <w:rsid w:val="0078592B"/>
    <w:rsid w:val="007859FF"/>
    <w:rsid w:val="00785A66"/>
    <w:rsid w:val="00785E0D"/>
    <w:rsid w:val="00785F5D"/>
    <w:rsid w:val="00785FCD"/>
    <w:rsid w:val="0078608B"/>
    <w:rsid w:val="0078627C"/>
    <w:rsid w:val="007864B1"/>
    <w:rsid w:val="0078651F"/>
    <w:rsid w:val="00786B26"/>
    <w:rsid w:val="00786C54"/>
    <w:rsid w:val="00786D1E"/>
    <w:rsid w:val="00787707"/>
    <w:rsid w:val="0078781D"/>
    <w:rsid w:val="007879A1"/>
    <w:rsid w:val="00787A13"/>
    <w:rsid w:val="00787D00"/>
    <w:rsid w:val="00787F2D"/>
    <w:rsid w:val="00787FA3"/>
    <w:rsid w:val="007900F6"/>
    <w:rsid w:val="00790220"/>
    <w:rsid w:val="0079033B"/>
    <w:rsid w:val="007906E5"/>
    <w:rsid w:val="00790B33"/>
    <w:rsid w:val="00790BAC"/>
    <w:rsid w:val="00790CB8"/>
    <w:rsid w:val="00790F95"/>
    <w:rsid w:val="00791237"/>
    <w:rsid w:val="00791638"/>
    <w:rsid w:val="00791704"/>
    <w:rsid w:val="0079173C"/>
    <w:rsid w:val="007917EC"/>
    <w:rsid w:val="00791A93"/>
    <w:rsid w:val="00791AB5"/>
    <w:rsid w:val="00791B6E"/>
    <w:rsid w:val="0079223D"/>
    <w:rsid w:val="00792A1B"/>
    <w:rsid w:val="00792C2F"/>
    <w:rsid w:val="00792CAC"/>
    <w:rsid w:val="00793032"/>
    <w:rsid w:val="00793091"/>
    <w:rsid w:val="00793431"/>
    <w:rsid w:val="007938D7"/>
    <w:rsid w:val="00793B6C"/>
    <w:rsid w:val="00793DF0"/>
    <w:rsid w:val="007940B7"/>
    <w:rsid w:val="0079455A"/>
    <w:rsid w:val="00794679"/>
    <w:rsid w:val="007948CF"/>
    <w:rsid w:val="007949EE"/>
    <w:rsid w:val="00794A98"/>
    <w:rsid w:val="00794DB5"/>
    <w:rsid w:val="00795157"/>
    <w:rsid w:val="00795217"/>
    <w:rsid w:val="0079545E"/>
    <w:rsid w:val="00796480"/>
    <w:rsid w:val="0079654B"/>
    <w:rsid w:val="00796951"/>
    <w:rsid w:val="00796A00"/>
    <w:rsid w:val="00796A46"/>
    <w:rsid w:val="00796A59"/>
    <w:rsid w:val="00796BB2"/>
    <w:rsid w:val="00796C63"/>
    <w:rsid w:val="00796E9A"/>
    <w:rsid w:val="00797235"/>
    <w:rsid w:val="007977E1"/>
    <w:rsid w:val="00797A68"/>
    <w:rsid w:val="007A00B9"/>
    <w:rsid w:val="007A0714"/>
    <w:rsid w:val="007A0817"/>
    <w:rsid w:val="007A0E21"/>
    <w:rsid w:val="007A153F"/>
    <w:rsid w:val="007A18E3"/>
    <w:rsid w:val="007A1A0E"/>
    <w:rsid w:val="007A1B85"/>
    <w:rsid w:val="007A1FA3"/>
    <w:rsid w:val="007A2924"/>
    <w:rsid w:val="007A2A18"/>
    <w:rsid w:val="007A2A93"/>
    <w:rsid w:val="007A3157"/>
    <w:rsid w:val="007A35C4"/>
    <w:rsid w:val="007A3688"/>
    <w:rsid w:val="007A3723"/>
    <w:rsid w:val="007A3C1D"/>
    <w:rsid w:val="007A3D09"/>
    <w:rsid w:val="007A3E17"/>
    <w:rsid w:val="007A3ED1"/>
    <w:rsid w:val="007A43F8"/>
    <w:rsid w:val="007A480B"/>
    <w:rsid w:val="007A4839"/>
    <w:rsid w:val="007A4AB4"/>
    <w:rsid w:val="007A4BF9"/>
    <w:rsid w:val="007A4ED8"/>
    <w:rsid w:val="007A5198"/>
    <w:rsid w:val="007A58E4"/>
    <w:rsid w:val="007A5AFE"/>
    <w:rsid w:val="007A5DFE"/>
    <w:rsid w:val="007A5EE1"/>
    <w:rsid w:val="007A6116"/>
    <w:rsid w:val="007A6132"/>
    <w:rsid w:val="007A63DE"/>
    <w:rsid w:val="007A65E0"/>
    <w:rsid w:val="007A6C3E"/>
    <w:rsid w:val="007A774A"/>
    <w:rsid w:val="007A7AC9"/>
    <w:rsid w:val="007A7ACF"/>
    <w:rsid w:val="007A7CD6"/>
    <w:rsid w:val="007A7D5D"/>
    <w:rsid w:val="007A7D82"/>
    <w:rsid w:val="007B0017"/>
    <w:rsid w:val="007B00CC"/>
    <w:rsid w:val="007B04C1"/>
    <w:rsid w:val="007B06BC"/>
    <w:rsid w:val="007B130A"/>
    <w:rsid w:val="007B1662"/>
    <w:rsid w:val="007B194B"/>
    <w:rsid w:val="007B1A99"/>
    <w:rsid w:val="007B1B71"/>
    <w:rsid w:val="007B1D73"/>
    <w:rsid w:val="007B1F7D"/>
    <w:rsid w:val="007B212C"/>
    <w:rsid w:val="007B22F1"/>
    <w:rsid w:val="007B2AC9"/>
    <w:rsid w:val="007B2D42"/>
    <w:rsid w:val="007B2DF5"/>
    <w:rsid w:val="007B3338"/>
    <w:rsid w:val="007B3344"/>
    <w:rsid w:val="007B34A1"/>
    <w:rsid w:val="007B3618"/>
    <w:rsid w:val="007B3631"/>
    <w:rsid w:val="007B3661"/>
    <w:rsid w:val="007B3A90"/>
    <w:rsid w:val="007B3B2C"/>
    <w:rsid w:val="007B3F6E"/>
    <w:rsid w:val="007B3FE6"/>
    <w:rsid w:val="007B41C1"/>
    <w:rsid w:val="007B42EB"/>
    <w:rsid w:val="007B4757"/>
    <w:rsid w:val="007B4AF4"/>
    <w:rsid w:val="007B4E35"/>
    <w:rsid w:val="007B4FA0"/>
    <w:rsid w:val="007B50BC"/>
    <w:rsid w:val="007B50D2"/>
    <w:rsid w:val="007B5143"/>
    <w:rsid w:val="007B5505"/>
    <w:rsid w:val="007B567C"/>
    <w:rsid w:val="007B5699"/>
    <w:rsid w:val="007B571C"/>
    <w:rsid w:val="007B5843"/>
    <w:rsid w:val="007B5919"/>
    <w:rsid w:val="007B5965"/>
    <w:rsid w:val="007B5BED"/>
    <w:rsid w:val="007B5D2B"/>
    <w:rsid w:val="007B5F32"/>
    <w:rsid w:val="007B5F6D"/>
    <w:rsid w:val="007B625F"/>
    <w:rsid w:val="007B6723"/>
    <w:rsid w:val="007B6C81"/>
    <w:rsid w:val="007B6F55"/>
    <w:rsid w:val="007B735C"/>
    <w:rsid w:val="007B7CE6"/>
    <w:rsid w:val="007B7D26"/>
    <w:rsid w:val="007B7DE3"/>
    <w:rsid w:val="007B7E6E"/>
    <w:rsid w:val="007B7EDB"/>
    <w:rsid w:val="007B7F09"/>
    <w:rsid w:val="007C0476"/>
    <w:rsid w:val="007C0764"/>
    <w:rsid w:val="007C0906"/>
    <w:rsid w:val="007C0A38"/>
    <w:rsid w:val="007C0A5E"/>
    <w:rsid w:val="007C0C34"/>
    <w:rsid w:val="007C0E38"/>
    <w:rsid w:val="007C0E8D"/>
    <w:rsid w:val="007C11C7"/>
    <w:rsid w:val="007C134E"/>
    <w:rsid w:val="007C147E"/>
    <w:rsid w:val="007C148D"/>
    <w:rsid w:val="007C15F3"/>
    <w:rsid w:val="007C17F4"/>
    <w:rsid w:val="007C1AA1"/>
    <w:rsid w:val="007C1C79"/>
    <w:rsid w:val="007C1CD7"/>
    <w:rsid w:val="007C2161"/>
    <w:rsid w:val="007C222F"/>
    <w:rsid w:val="007C2550"/>
    <w:rsid w:val="007C29AC"/>
    <w:rsid w:val="007C2E0B"/>
    <w:rsid w:val="007C2E5A"/>
    <w:rsid w:val="007C34F3"/>
    <w:rsid w:val="007C35E1"/>
    <w:rsid w:val="007C35F4"/>
    <w:rsid w:val="007C3648"/>
    <w:rsid w:val="007C3889"/>
    <w:rsid w:val="007C394F"/>
    <w:rsid w:val="007C3986"/>
    <w:rsid w:val="007C3A5E"/>
    <w:rsid w:val="007C3A76"/>
    <w:rsid w:val="007C3B25"/>
    <w:rsid w:val="007C40C7"/>
    <w:rsid w:val="007C4338"/>
    <w:rsid w:val="007C439B"/>
    <w:rsid w:val="007C4617"/>
    <w:rsid w:val="007C4688"/>
    <w:rsid w:val="007C46EA"/>
    <w:rsid w:val="007C4A82"/>
    <w:rsid w:val="007C4AA8"/>
    <w:rsid w:val="007C4AFB"/>
    <w:rsid w:val="007C4BAA"/>
    <w:rsid w:val="007C4D06"/>
    <w:rsid w:val="007C50F6"/>
    <w:rsid w:val="007C528B"/>
    <w:rsid w:val="007C53A8"/>
    <w:rsid w:val="007C542E"/>
    <w:rsid w:val="007C5454"/>
    <w:rsid w:val="007C5660"/>
    <w:rsid w:val="007C590C"/>
    <w:rsid w:val="007C5931"/>
    <w:rsid w:val="007C5B40"/>
    <w:rsid w:val="007C5BA9"/>
    <w:rsid w:val="007C5E86"/>
    <w:rsid w:val="007C5F3E"/>
    <w:rsid w:val="007C5FE4"/>
    <w:rsid w:val="007C60C2"/>
    <w:rsid w:val="007C611E"/>
    <w:rsid w:val="007C63E6"/>
    <w:rsid w:val="007C69CC"/>
    <w:rsid w:val="007C6B9C"/>
    <w:rsid w:val="007C7224"/>
    <w:rsid w:val="007C7436"/>
    <w:rsid w:val="007C75A0"/>
    <w:rsid w:val="007C783E"/>
    <w:rsid w:val="007C790D"/>
    <w:rsid w:val="007C7A1E"/>
    <w:rsid w:val="007C7CB3"/>
    <w:rsid w:val="007D023F"/>
    <w:rsid w:val="007D0A4D"/>
    <w:rsid w:val="007D0AAB"/>
    <w:rsid w:val="007D1045"/>
    <w:rsid w:val="007D1373"/>
    <w:rsid w:val="007D13C4"/>
    <w:rsid w:val="007D140D"/>
    <w:rsid w:val="007D1546"/>
    <w:rsid w:val="007D162A"/>
    <w:rsid w:val="007D197D"/>
    <w:rsid w:val="007D1B5B"/>
    <w:rsid w:val="007D1D1E"/>
    <w:rsid w:val="007D1E32"/>
    <w:rsid w:val="007D201E"/>
    <w:rsid w:val="007D20DA"/>
    <w:rsid w:val="007D217A"/>
    <w:rsid w:val="007D2275"/>
    <w:rsid w:val="007D22B4"/>
    <w:rsid w:val="007D2352"/>
    <w:rsid w:val="007D28B3"/>
    <w:rsid w:val="007D2C06"/>
    <w:rsid w:val="007D3267"/>
    <w:rsid w:val="007D332A"/>
    <w:rsid w:val="007D3550"/>
    <w:rsid w:val="007D3F55"/>
    <w:rsid w:val="007D413F"/>
    <w:rsid w:val="007D42E5"/>
    <w:rsid w:val="007D4704"/>
    <w:rsid w:val="007D47F7"/>
    <w:rsid w:val="007D52A6"/>
    <w:rsid w:val="007D55E7"/>
    <w:rsid w:val="007D5D55"/>
    <w:rsid w:val="007D5F74"/>
    <w:rsid w:val="007D60E6"/>
    <w:rsid w:val="007D6603"/>
    <w:rsid w:val="007D6BB8"/>
    <w:rsid w:val="007D6CF2"/>
    <w:rsid w:val="007D6DE5"/>
    <w:rsid w:val="007D7043"/>
    <w:rsid w:val="007D70AF"/>
    <w:rsid w:val="007D725D"/>
    <w:rsid w:val="007D7B13"/>
    <w:rsid w:val="007D7E3F"/>
    <w:rsid w:val="007D7F91"/>
    <w:rsid w:val="007E0026"/>
    <w:rsid w:val="007E002D"/>
    <w:rsid w:val="007E02D9"/>
    <w:rsid w:val="007E039B"/>
    <w:rsid w:val="007E0659"/>
    <w:rsid w:val="007E0695"/>
    <w:rsid w:val="007E0776"/>
    <w:rsid w:val="007E0857"/>
    <w:rsid w:val="007E0961"/>
    <w:rsid w:val="007E0BED"/>
    <w:rsid w:val="007E0CA2"/>
    <w:rsid w:val="007E0E03"/>
    <w:rsid w:val="007E0E9B"/>
    <w:rsid w:val="007E105C"/>
    <w:rsid w:val="007E1386"/>
    <w:rsid w:val="007E138A"/>
    <w:rsid w:val="007E141A"/>
    <w:rsid w:val="007E16C3"/>
    <w:rsid w:val="007E1806"/>
    <w:rsid w:val="007E1A25"/>
    <w:rsid w:val="007E1B9B"/>
    <w:rsid w:val="007E1DD8"/>
    <w:rsid w:val="007E2199"/>
    <w:rsid w:val="007E21D8"/>
    <w:rsid w:val="007E2204"/>
    <w:rsid w:val="007E24CC"/>
    <w:rsid w:val="007E27DD"/>
    <w:rsid w:val="007E29EE"/>
    <w:rsid w:val="007E2CAF"/>
    <w:rsid w:val="007E3079"/>
    <w:rsid w:val="007E30D7"/>
    <w:rsid w:val="007E3162"/>
    <w:rsid w:val="007E3686"/>
    <w:rsid w:val="007E3978"/>
    <w:rsid w:val="007E3CA7"/>
    <w:rsid w:val="007E3CD6"/>
    <w:rsid w:val="007E3FD7"/>
    <w:rsid w:val="007E403C"/>
    <w:rsid w:val="007E4064"/>
    <w:rsid w:val="007E42B9"/>
    <w:rsid w:val="007E42C3"/>
    <w:rsid w:val="007E4554"/>
    <w:rsid w:val="007E45DB"/>
    <w:rsid w:val="007E462E"/>
    <w:rsid w:val="007E4668"/>
    <w:rsid w:val="007E46B3"/>
    <w:rsid w:val="007E4DD1"/>
    <w:rsid w:val="007E4E52"/>
    <w:rsid w:val="007E5662"/>
    <w:rsid w:val="007E57CB"/>
    <w:rsid w:val="007E591B"/>
    <w:rsid w:val="007E5983"/>
    <w:rsid w:val="007E5996"/>
    <w:rsid w:val="007E5A65"/>
    <w:rsid w:val="007E5B18"/>
    <w:rsid w:val="007E5BAB"/>
    <w:rsid w:val="007E5CFC"/>
    <w:rsid w:val="007E5E95"/>
    <w:rsid w:val="007E625A"/>
    <w:rsid w:val="007E6351"/>
    <w:rsid w:val="007E67C8"/>
    <w:rsid w:val="007E6B6A"/>
    <w:rsid w:val="007E6FA3"/>
    <w:rsid w:val="007E6FC3"/>
    <w:rsid w:val="007E70C3"/>
    <w:rsid w:val="007E70E0"/>
    <w:rsid w:val="007E73B0"/>
    <w:rsid w:val="007E73B2"/>
    <w:rsid w:val="007E73B3"/>
    <w:rsid w:val="007E7452"/>
    <w:rsid w:val="007E74E7"/>
    <w:rsid w:val="007E768A"/>
    <w:rsid w:val="007E7A33"/>
    <w:rsid w:val="007E7AB6"/>
    <w:rsid w:val="007E7C64"/>
    <w:rsid w:val="007E7C92"/>
    <w:rsid w:val="007F0188"/>
    <w:rsid w:val="007F04F3"/>
    <w:rsid w:val="007F072C"/>
    <w:rsid w:val="007F0741"/>
    <w:rsid w:val="007F08D2"/>
    <w:rsid w:val="007F093E"/>
    <w:rsid w:val="007F099F"/>
    <w:rsid w:val="007F1075"/>
    <w:rsid w:val="007F119B"/>
    <w:rsid w:val="007F1271"/>
    <w:rsid w:val="007F131F"/>
    <w:rsid w:val="007F171B"/>
    <w:rsid w:val="007F1840"/>
    <w:rsid w:val="007F19A3"/>
    <w:rsid w:val="007F19F5"/>
    <w:rsid w:val="007F1EA8"/>
    <w:rsid w:val="007F20AF"/>
    <w:rsid w:val="007F22BD"/>
    <w:rsid w:val="007F2435"/>
    <w:rsid w:val="007F26CA"/>
    <w:rsid w:val="007F28EC"/>
    <w:rsid w:val="007F29F2"/>
    <w:rsid w:val="007F2D9C"/>
    <w:rsid w:val="007F3070"/>
    <w:rsid w:val="007F339D"/>
    <w:rsid w:val="007F3487"/>
    <w:rsid w:val="007F35D1"/>
    <w:rsid w:val="007F3AA3"/>
    <w:rsid w:val="007F3B20"/>
    <w:rsid w:val="007F3C9E"/>
    <w:rsid w:val="007F3CF2"/>
    <w:rsid w:val="007F3F13"/>
    <w:rsid w:val="007F3F7F"/>
    <w:rsid w:val="007F3FEC"/>
    <w:rsid w:val="007F4121"/>
    <w:rsid w:val="007F417F"/>
    <w:rsid w:val="007F475D"/>
    <w:rsid w:val="007F4879"/>
    <w:rsid w:val="007F48B8"/>
    <w:rsid w:val="007F48C3"/>
    <w:rsid w:val="007F49B9"/>
    <w:rsid w:val="007F4B93"/>
    <w:rsid w:val="007F4DB3"/>
    <w:rsid w:val="007F4EE2"/>
    <w:rsid w:val="007F4F7F"/>
    <w:rsid w:val="007F510C"/>
    <w:rsid w:val="007F513E"/>
    <w:rsid w:val="007F56DA"/>
    <w:rsid w:val="007F5E41"/>
    <w:rsid w:val="007F6584"/>
    <w:rsid w:val="007F659B"/>
    <w:rsid w:val="007F65BE"/>
    <w:rsid w:val="007F6A4C"/>
    <w:rsid w:val="007F6CDC"/>
    <w:rsid w:val="007F705A"/>
    <w:rsid w:val="007F724F"/>
    <w:rsid w:val="007F7338"/>
    <w:rsid w:val="007F742F"/>
    <w:rsid w:val="007F747B"/>
    <w:rsid w:val="007F74B5"/>
    <w:rsid w:val="007F78C3"/>
    <w:rsid w:val="007F79AE"/>
    <w:rsid w:val="007F7A83"/>
    <w:rsid w:val="007F7ADC"/>
    <w:rsid w:val="007F7B2E"/>
    <w:rsid w:val="007F7D32"/>
    <w:rsid w:val="007F7D47"/>
    <w:rsid w:val="007F7E69"/>
    <w:rsid w:val="008002B9"/>
    <w:rsid w:val="008003EB"/>
    <w:rsid w:val="008006D6"/>
    <w:rsid w:val="0080086F"/>
    <w:rsid w:val="00800911"/>
    <w:rsid w:val="00800982"/>
    <w:rsid w:val="00800C2C"/>
    <w:rsid w:val="00800F38"/>
    <w:rsid w:val="0080105E"/>
    <w:rsid w:val="008010D0"/>
    <w:rsid w:val="008010DE"/>
    <w:rsid w:val="0080154F"/>
    <w:rsid w:val="008015B6"/>
    <w:rsid w:val="008015C5"/>
    <w:rsid w:val="0080179D"/>
    <w:rsid w:val="00801C4D"/>
    <w:rsid w:val="00801CE4"/>
    <w:rsid w:val="0080201F"/>
    <w:rsid w:val="0080253F"/>
    <w:rsid w:val="00802886"/>
    <w:rsid w:val="008028E4"/>
    <w:rsid w:val="00802AE4"/>
    <w:rsid w:val="00802AFC"/>
    <w:rsid w:val="00802C21"/>
    <w:rsid w:val="00802E47"/>
    <w:rsid w:val="00802E49"/>
    <w:rsid w:val="008032AC"/>
    <w:rsid w:val="00803312"/>
    <w:rsid w:val="00803320"/>
    <w:rsid w:val="00803329"/>
    <w:rsid w:val="00804139"/>
    <w:rsid w:val="008042FF"/>
    <w:rsid w:val="008043E7"/>
    <w:rsid w:val="008045DC"/>
    <w:rsid w:val="008049D3"/>
    <w:rsid w:val="00804A04"/>
    <w:rsid w:val="00804F18"/>
    <w:rsid w:val="00805282"/>
    <w:rsid w:val="008052F8"/>
    <w:rsid w:val="008056D0"/>
    <w:rsid w:val="00805A7A"/>
    <w:rsid w:val="00805A81"/>
    <w:rsid w:val="00805BCA"/>
    <w:rsid w:val="00805E31"/>
    <w:rsid w:val="00805F3B"/>
    <w:rsid w:val="00806462"/>
    <w:rsid w:val="0080656B"/>
    <w:rsid w:val="0080665C"/>
    <w:rsid w:val="0080668F"/>
    <w:rsid w:val="00806C32"/>
    <w:rsid w:val="00806CF8"/>
    <w:rsid w:val="00806E94"/>
    <w:rsid w:val="00807010"/>
    <w:rsid w:val="008071DE"/>
    <w:rsid w:val="00807420"/>
    <w:rsid w:val="00807511"/>
    <w:rsid w:val="00807887"/>
    <w:rsid w:val="008078E7"/>
    <w:rsid w:val="008079BC"/>
    <w:rsid w:val="00807BA9"/>
    <w:rsid w:val="00807FFE"/>
    <w:rsid w:val="008103EF"/>
    <w:rsid w:val="008105CB"/>
    <w:rsid w:val="0081090A"/>
    <w:rsid w:val="008109C9"/>
    <w:rsid w:val="00810C34"/>
    <w:rsid w:val="00810D81"/>
    <w:rsid w:val="00810E58"/>
    <w:rsid w:val="0081129C"/>
    <w:rsid w:val="008112FE"/>
    <w:rsid w:val="0081158C"/>
    <w:rsid w:val="0081161C"/>
    <w:rsid w:val="00811630"/>
    <w:rsid w:val="00811763"/>
    <w:rsid w:val="00812012"/>
    <w:rsid w:val="008122BE"/>
    <w:rsid w:val="008122CD"/>
    <w:rsid w:val="008128B9"/>
    <w:rsid w:val="008128BC"/>
    <w:rsid w:val="00812E03"/>
    <w:rsid w:val="00812E57"/>
    <w:rsid w:val="00812E8D"/>
    <w:rsid w:val="00813048"/>
    <w:rsid w:val="008132AB"/>
    <w:rsid w:val="00813B0A"/>
    <w:rsid w:val="0081409C"/>
    <w:rsid w:val="0081475D"/>
    <w:rsid w:val="00814820"/>
    <w:rsid w:val="008148BA"/>
    <w:rsid w:val="00814ADB"/>
    <w:rsid w:val="00814F30"/>
    <w:rsid w:val="00814F71"/>
    <w:rsid w:val="00814FF4"/>
    <w:rsid w:val="00815071"/>
    <w:rsid w:val="008152BB"/>
    <w:rsid w:val="00815AFC"/>
    <w:rsid w:val="00816055"/>
    <w:rsid w:val="00816856"/>
    <w:rsid w:val="008169B3"/>
    <w:rsid w:val="00816E37"/>
    <w:rsid w:val="00816FA3"/>
    <w:rsid w:val="00817204"/>
    <w:rsid w:val="0081753B"/>
    <w:rsid w:val="0081782F"/>
    <w:rsid w:val="0081786A"/>
    <w:rsid w:val="00817933"/>
    <w:rsid w:val="008179E9"/>
    <w:rsid w:val="00817D71"/>
    <w:rsid w:val="00817F02"/>
    <w:rsid w:val="00817F53"/>
    <w:rsid w:val="008203DB"/>
    <w:rsid w:val="008204AC"/>
    <w:rsid w:val="008205CC"/>
    <w:rsid w:val="00820723"/>
    <w:rsid w:val="00820938"/>
    <w:rsid w:val="00820ACE"/>
    <w:rsid w:val="00820BEC"/>
    <w:rsid w:val="00820D7C"/>
    <w:rsid w:val="008210CB"/>
    <w:rsid w:val="008210DF"/>
    <w:rsid w:val="00821143"/>
    <w:rsid w:val="0082118A"/>
    <w:rsid w:val="008213EB"/>
    <w:rsid w:val="00821ABC"/>
    <w:rsid w:val="00821E5D"/>
    <w:rsid w:val="00822123"/>
    <w:rsid w:val="0082225E"/>
    <w:rsid w:val="008228A2"/>
    <w:rsid w:val="00822C66"/>
    <w:rsid w:val="00822CDE"/>
    <w:rsid w:val="00822F7E"/>
    <w:rsid w:val="00822FC4"/>
    <w:rsid w:val="0082316D"/>
    <w:rsid w:val="008234C0"/>
    <w:rsid w:val="00823FFC"/>
    <w:rsid w:val="00824A03"/>
    <w:rsid w:val="00824B8F"/>
    <w:rsid w:val="008254F0"/>
    <w:rsid w:val="008257EA"/>
    <w:rsid w:val="00825802"/>
    <w:rsid w:val="00825A17"/>
    <w:rsid w:val="00826410"/>
    <w:rsid w:val="00826464"/>
    <w:rsid w:val="008265AF"/>
    <w:rsid w:val="008267BD"/>
    <w:rsid w:val="0082683A"/>
    <w:rsid w:val="008268E3"/>
    <w:rsid w:val="00826AD3"/>
    <w:rsid w:val="00826B36"/>
    <w:rsid w:val="00826B7E"/>
    <w:rsid w:val="00826CD8"/>
    <w:rsid w:val="00826F1B"/>
    <w:rsid w:val="008270BC"/>
    <w:rsid w:val="00827280"/>
    <w:rsid w:val="008272E4"/>
    <w:rsid w:val="00827D1E"/>
    <w:rsid w:val="00827D25"/>
    <w:rsid w:val="00830062"/>
    <w:rsid w:val="008301C4"/>
    <w:rsid w:val="00830654"/>
    <w:rsid w:val="00830B95"/>
    <w:rsid w:val="00830C0A"/>
    <w:rsid w:val="00830EDF"/>
    <w:rsid w:val="00830EEB"/>
    <w:rsid w:val="0083133D"/>
    <w:rsid w:val="008313FC"/>
    <w:rsid w:val="00831706"/>
    <w:rsid w:val="0083183F"/>
    <w:rsid w:val="008318CB"/>
    <w:rsid w:val="00831902"/>
    <w:rsid w:val="00831A53"/>
    <w:rsid w:val="00831E0C"/>
    <w:rsid w:val="00831EF0"/>
    <w:rsid w:val="00831F57"/>
    <w:rsid w:val="008321E3"/>
    <w:rsid w:val="00832270"/>
    <w:rsid w:val="008325D2"/>
    <w:rsid w:val="00832678"/>
    <w:rsid w:val="008328F8"/>
    <w:rsid w:val="00832E98"/>
    <w:rsid w:val="00832EFD"/>
    <w:rsid w:val="00832F82"/>
    <w:rsid w:val="00833192"/>
    <w:rsid w:val="00833199"/>
    <w:rsid w:val="008331F9"/>
    <w:rsid w:val="008333A3"/>
    <w:rsid w:val="008333EE"/>
    <w:rsid w:val="00833431"/>
    <w:rsid w:val="00833B2B"/>
    <w:rsid w:val="00833B65"/>
    <w:rsid w:val="0083409A"/>
    <w:rsid w:val="008341D8"/>
    <w:rsid w:val="008342E6"/>
    <w:rsid w:val="00834307"/>
    <w:rsid w:val="00834E01"/>
    <w:rsid w:val="00835425"/>
    <w:rsid w:val="008354FA"/>
    <w:rsid w:val="00835BCB"/>
    <w:rsid w:val="00835C99"/>
    <w:rsid w:val="00835E18"/>
    <w:rsid w:val="00835EDC"/>
    <w:rsid w:val="008362D3"/>
    <w:rsid w:val="0083643E"/>
    <w:rsid w:val="0083656A"/>
    <w:rsid w:val="00836E4C"/>
    <w:rsid w:val="00836E94"/>
    <w:rsid w:val="00837111"/>
    <w:rsid w:val="008372A9"/>
    <w:rsid w:val="008372FB"/>
    <w:rsid w:val="00837325"/>
    <w:rsid w:val="008373A1"/>
    <w:rsid w:val="008373FB"/>
    <w:rsid w:val="008377BB"/>
    <w:rsid w:val="00837911"/>
    <w:rsid w:val="00837BD7"/>
    <w:rsid w:val="00837EAB"/>
    <w:rsid w:val="0084005A"/>
    <w:rsid w:val="00840107"/>
    <w:rsid w:val="008401B3"/>
    <w:rsid w:val="00840392"/>
    <w:rsid w:val="00840A2C"/>
    <w:rsid w:val="00840B9D"/>
    <w:rsid w:val="00840CF2"/>
    <w:rsid w:val="00840F2E"/>
    <w:rsid w:val="0084106B"/>
    <w:rsid w:val="0084154F"/>
    <w:rsid w:val="0084175E"/>
    <w:rsid w:val="008417B6"/>
    <w:rsid w:val="00841AD7"/>
    <w:rsid w:val="00841C7C"/>
    <w:rsid w:val="00842032"/>
    <w:rsid w:val="00842247"/>
    <w:rsid w:val="0084232F"/>
    <w:rsid w:val="00842A0C"/>
    <w:rsid w:val="00842AF6"/>
    <w:rsid w:val="00842B7B"/>
    <w:rsid w:val="00842C80"/>
    <w:rsid w:val="00842DE2"/>
    <w:rsid w:val="00842EDA"/>
    <w:rsid w:val="008431F8"/>
    <w:rsid w:val="008432D7"/>
    <w:rsid w:val="0084351E"/>
    <w:rsid w:val="008437E1"/>
    <w:rsid w:val="00843C4D"/>
    <w:rsid w:val="00844163"/>
    <w:rsid w:val="0084450B"/>
    <w:rsid w:val="00844B74"/>
    <w:rsid w:val="00844B94"/>
    <w:rsid w:val="00844CFB"/>
    <w:rsid w:val="00844FED"/>
    <w:rsid w:val="0084514B"/>
    <w:rsid w:val="008452C6"/>
    <w:rsid w:val="0084534F"/>
    <w:rsid w:val="008456FF"/>
    <w:rsid w:val="0084573E"/>
    <w:rsid w:val="008458AF"/>
    <w:rsid w:val="00845B65"/>
    <w:rsid w:val="00845D10"/>
    <w:rsid w:val="00845E1E"/>
    <w:rsid w:val="008460E3"/>
    <w:rsid w:val="008461E9"/>
    <w:rsid w:val="008468CE"/>
    <w:rsid w:val="00846AAA"/>
    <w:rsid w:val="00846B23"/>
    <w:rsid w:val="00846C2A"/>
    <w:rsid w:val="00847171"/>
    <w:rsid w:val="008471F8"/>
    <w:rsid w:val="008472C3"/>
    <w:rsid w:val="0084751B"/>
    <w:rsid w:val="00847D0B"/>
    <w:rsid w:val="00847D91"/>
    <w:rsid w:val="00847E68"/>
    <w:rsid w:val="00847F06"/>
    <w:rsid w:val="00847F17"/>
    <w:rsid w:val="00847FA4"/>
    <w:rsid w:val="008504EF"/>
    <w:rsid w:val="008505D9"/>
    <w:rsid w:val="0085139E"/>
    <w:rsid w:val="008513F4"/>
    <w:rsid w:val="0085155B"/>
    <w:rsid w:val="008517EE"/>
    <w:rsid w:val="008518AA"/>
    <w:rsid w:val="00851B3A"/>
    <w:rsid w:val="00851BBC"/>
    <w:rsid w:val="00851C9A"/>
    <w:rsid w:val="0085207C"/>
    <w:rsid w:val="008521FB"/>
    <w:rsid w:val="008529B2"/>
    <w:rsid w:val="00852D21"/>
    <w:rsid w:val="00852F0C"/>
    <w:rsid w:val="008531A8"/>
    <w:rsid w:val="0085322C"/>
    <w:rsid w:val="00853343"/>
    <w:rsid w:val="008535C8"/>
    <w:rsid w:val="0085366B"/>
    <w:rsid w:val="00853D23"/>
    <w:rsid w:val="008540A1"/>
    <w:rsid w:val="008546E3"/>
    <w:rsid w:val="008547BD"/>
    <w:rsid w:val="00854B6F"/>
    <w:rsid w:val="00854EC3"/>
    <w:rsid w:val="00855026"/>
    <w:rsid w:val="008553CE"/>
    <w:rsid w:val="0085544C"/>
    <w:rsid w:val="00855BA2"/>
    <w:rsid w:val="008560C8"/>
    <w:rsid w:val="00856167"/>
    <w:rsid w:val="008561C1"/>
    <w:rsid w:val="008562F0"/>
    <w:rsid w:val="008566ED"/>
    <w:rsid w:val="00856746"/>
    <w:rsid w:val="0085686C"/>
    <w:rsid w:val="00856A62"/>
    <w:rsid w:val="00856A6E"/>
    <w:rsid w:val="00857023"/>
    <w:rsid w:val="008571C7"/>
    <w:rsid w:val="0085730D"/>
    <w:rsid w:val="008600C1"/>
    <w:rsid w:val="008600D6"/>
    <w:rsid w:val="008602C4"/>
    <w:rsid w:val="0086030A"/>
    <w:rsid w:val="00860378"/>
    <w:rsid w:val="0086047C"/>
    <w:rsid w:val="008604DF"/>
    <w:rsid w:val="00860697"/>
    <w:rsid w:val="008606C8"/>
    <w:rsid w:val="0086075F"/>
    <w:rsid w:val="0086081F"/>
    <w:rsid w:val="008609B4"/>
    <w:rsid w:val="00860EE4"/>
    <w:rsid w:val="00861095"/>
    <w:rsid w:val="00861344"/>
    <w:rsid w:val="00861824"/>
    <w:rsid w:val="00861875"/>
    <w:rsid w:val="0086189A"/>
    <w:rsid w:val="008618BE"/>
    <w:rsid w:val="008619BC"/>
    <w:rsid w:val="00862023"/>
    <w:rsid w:val="008620C5"/>
    <w:rsid w:val="008624B6"/>
    <w:rsid w:val="008626D1"/>
    <w:rsid w:val="008629F5"/>
    <w:rsid w:val="00862AEB"/>
    <w:rsid w:val="00862B8E"/>
    <w:rsid w:val="00862BC9"/>
    <w:rsid w:val="00862DC5"/>
    <w:rsid w:val="00862EC2"/>
    <w:rsid w:val="0086302D"/>
    <w:rsid w:val="008630A1"/>
    <w:rsid w:val="008630D3"/>
    <w:rsid w:val="008630DA"/>
    <w:rsid w:val="008630DC"/>
    <w:rsid w:val="00863232"/>
    <w:rsid w:val="00863342"/>
    <w:rsid w:val="0086343A"/>
    <w:rsid w:val="0086348D"/>
    <w:rsid w:val="008634F2"/>
    <w:rsid w:val="0086352F"/>
    <w:rsid w:val="008635DC"/>
    <w:rsid w:val="00863714"/>
    <w:rsid w:val="0086381D"/>
    <w:rsid w:val="00863896"/>
    <w:rsid w:val="008638AF"/>
    <w:rsid w:val="00863B18"/>
    <w:rsid w:val="00863FAF"/>
    <w:rsid w:val="00864000"/>
    <w:rsid w:val="00864107"/>
    <w:rsid w:val="00864577"/>
    <w:rsid w:val="00864650"/>
    <w:rsid w:val="008646BA"/>
    <w:rsid w:val="00864B50"/>
    <w:rsid w:val="00864C88"/>
    <w:rsid w:val="00864CB6"/>
    <w:rsid w:val="00864D6D"/>
    <w:rsid w:val="00865128"/>
    <w:rsid w:val="00865167"/>
    <w:rsid w:val="008651CB"/>
    <w:rsid w:val="00865362"/>
    <w:rsid w:val="008653F9"/>
    <w:rsid w:val="008657DA"/>
    <w:rsid w:val="00865967"/>
    <w:rsid w:val="00865977"/>
    <w:rsid w:val="00865A1C"/>
    <w:rsid w:val="00865BAF"/>
    <w:rsid w:val="00865BEA"/>
    <w:rsid w:val="00865D2C"/>
    <w:rsid w:val="00865F1A"/>
    <w:rsid w:val="00866073"/>
    <w:rsid w:val="008663AF"/>
    <w:rsid w:val="00866854"/>
    <w:rsid w:val="00866C45"/>
    <w:rsid w:val="00866DE0"/>
    <w:rsid w:val="00866FA5"/>
    <w:rsid w:val="00866FB0"/>
    <w:rsid w:val="0086712E"/>
    <w:rsid w:val="00867449"/>
    <w:rsid w:val="00867470"/>
    <w:rsid w:val="00867756"/>
    <w:rsid w:val="008679A7"/>
    <w:rsid w:val="00867DC0"/>
    <w:rsid w:val="00867E84"/>
    <w:rsid w:val="008701FC"/>
    <w:rsid w:val="0087052E"/>
    <w:rsid w:val="008707B1"/>
    <w:rsid w:val="00870803"/>
    <w:rsid w:val="00870C8E"/>
    <w:rsid w:val="00870D8E"/>
    <w:rsid w:val="00870F0E"/>
    <w:rsid w:val="0087147E"/>
    <w:rsid w:val="008716FA"/>
    <w:rsid w:val="008716FE"/>
    <w:rsid w:val="00871A9C"/>
    <w:rsid w:val="00871C36"/>
    <w:rsid w:val="00871EA4"/>
    <w:rsid w:val="0087247F"/>
    <w:rsid w:val="008726BB"/>
    <w:rsid w:val="00872B3B"/>
    <w:rsid w:val="00873143"/>
    <w:rsid w:val="00873767"/>
    <w:rsid w:val="008738BF"/>
    <w:rsid w:val="00873A6F"/>
    <w:rsid w:val="00873BD4"/>
    <w:rsid w:val="00873BD8"/>
    <w:rsid w:val="00873BE0"/>
    <w:rsid w:val="00873DD2"/>
    <w:rsid w:val="00874080"/>
    <w:rsid w:val="008740FA"/>
    <w:rsid w:val="008742AF"/>
    <w:rsid w:val="0087489B"/>
    <w:rsid w:val="00874929"/>
    <w:rsid w:val="00874C55"/>
    <w:rsid w:val="00874FCA"/>
    <w:rsid w:val="00875321"/>
    <w:rsid w:val="00875375"/>
    <w:rsid w:val="00875EAB"/>
    <w:rsid w:val="00876076"/>
    <w:rsid w:val="008763DA"/>
    <w:rsid w:val="00876B1C"/>
    <w:rsid w:val="00876EC2"/>
    <w:rsid w:val="00876EEA"/>
    <w:rsid w:val="00876EF6"/>
    <w:rsid w:val="0087728A"/>
    <w:rsid w:val="008773D3"/>
    <w:rsid w:val="00877D68"/>
    <w:rsid w:val="00877DAD"/>
    <w:rsid w:val="00877DE2"/>
    <w:rsid w:val="0088004C"/>
    <w:rsid w:val="0088034E"/>
    <w:rsid w:val="00880403"/>
    <w:rsid w:val="0088067B"/>
    <w:rsid w:val="00880F2D"/>
    <w:rsid w:val="00880F31"/>
    <w:rsid w:val="008811A3"/>
    <w:rsid w:val="0088135E"/>
    <w:rsid w:val="00881682"/>
    <w:rsid w:val="008816CB"/>
    <w:rsid w:val="008817CB"/>
    <w:rsid w:val="00881998"/>
    <w:rsid w:val="00881CCA"/>
    <w:rsid w:val="00881F37"/>
    <w:rsid w:val="00881F65"/>
    <w:rsid w:val="0088228D"/>
    <w:rsid w:val="008823B8"/>
    <w:rsid w:val="00882443"/>
    <w:rsid w:val="0088265C"/>
    <w:rsid w:val="00882736"/>
    <w:rsid w:val="0088289A"/>
    <w:rsid w:val="0088295D"/>
    <w:rsid w:val="00882E18"/>
    <w:rsid w:val="00883077"/>
    <w:rsid w:val="008831FB"/>
    <w:rsid w:val="008832E0"/>
    <w:rsid w:val="008836E1"/>
    <w:rsid w:val="00883C27"/>
    <w:rsid w:val="00883DFF"/>
    <w:rsid w:val="00883E4A"/>
    <w:rsid w:val="00883E60"/>
    <w:rsid w:val="0088404E"/>
    <w:rsid w:val="008842D6"/>
    <w:rsid w:val="008842FC"/>
    <w:rsid w:val="008844B3"/>
    <w:rsid w:val="008844CB"/>
    <w:rsid w:val="00884E9E"/>
    <w:rsid w:val="00884F95"/>
    <w:rsid w:val="008851A9"/>
    <w:rsid w:val="00885254"/>
    <w:rsid w:val="008856CC"/>
    <w:rsid w:val="008857AF"/>
    <w:rsid w:val="00885829"/>
    <w:rsid w:val="00886198"/>
    <w:rsid w:val="0088634B"/>
    <w:rsid w:val="008865EF"/>
    <w:rsid w:val="00886689"/>
    <w:rsid w:val="00886850"/>
    <w:rsid w:val="00886A80"/>
    <w:rsid w:val="00886ADF"/>
    <w:rsid w:val="00886BAD"/>
    <w:rsid w:val="00886C72"/>
    <w:rsid w:val="00886D1B"/>
    <w:rsid w:val="00886EED"/>
    <w:rsid w:val="00886F8F"/>
    <w:rsid w:val="008870B4"/>
    <w:rsid w:val="008877E0"/>
    <w:rsid w:val="00887B72"/>
    <w:rsid w:val="00887B8B"/>
    <w:rsid w:val="0089009C"/>
    <w:rsid w:val="008900EF"/>
    <w:rsid w:val="0089020A"/>
    <w:rsid w:val="008905D6"/>
    <w:rsid w:val="008909A7"/>
    <w:rsid w:val="00890E7E"/>
    <w:rsid w:val="00890FBE"/>
    <w:rsid w:val="00891008"/>
    <w:rsid w:val="008911F6"/>
    <w:rsid w:val="00891510"/>
    <w:rsid w:val="008917A2"/>
    <w:rsid w:val="008917E9"/>
    <w:rsid w:val="008919C3"/>
    <w:rsid w:val="00891A0F"/>
    <w:rsid w:val="00891BF6"/>
    <w:rsid w:val="00891C3F"/>
    <w:rsid w:val="00891E3D"/>
    <w:rsid w:val="0089207C"/>
    <w:rsid w:val="008920AE"/>
    <w:rsid w:val="00892233"/>
    <w:rsid w:val="00892280"/>
    <w:rsid w:val="00892501"/>
    <w:rsid w:val="008928AD"/>
    <w:rsid w:val="00892975"/>
    <w:rsid w:val="00892ACF"/>
    <w:rsid w:val="00892C7E"/>
    <w:rsid w:val="00892C82"/>
    <w:rsid w:val="00892EF0"/>
    <w:rsid w:val="008930A3"/>
    <w:rsid w:val="0089324B"/>
    <w:rsid w:val="00893286"/>
    <w:rsid w:val="008933D2"/>
    <w:rsid w:val="00893576"/>
    <w:rsid w:val="008935C2"/>
    <w:rsid w:val="0089365F"/>
    <w:rsid w:val="00893B1A"/>
    <w:rsid w:val="00893F5E"/>
    <w:rsid w:val="00893F9B"/>
    <w:rsid w:val="008940FA"/>
    <w:rsid w:val="0089431B"/>
    <w:rsid w:val="00894383"/>
    <w:rsid w:val="0089438C"/>
    <w:rsid w:val="008944B2"/>
    <w:rsid w:val="008946E3"/>
    <w:rsid w:val="0089472E"/>
    <w:rsid w:val="00894799"/>
    <w:rsid w:val="008947AE"/>
    <w:rsid w:val="008948A2"/>
    <w:rsid w:val="00894C96"/>
    <w:rsid w:val="00894D6A"/>
    <w:rsid w:val="008950CB"/>
    <w:rsid w:val="008950E7"/>
    <w:rsid w:val="0089533B"/>
    <w:rsid w:val="00895793"/>
    <w:rsid w:val="00895C37"/>
    <w:rsid w:val="00895E8C"/>
    <w:rsid w:val="00895F9B"/>
    <w:rsid w:val="00896909"/>
    <w:rsid w:val="00896B4B"/>
    <w:rsid w:val="00896DA8"/>
    <w:rsid w:val="00896E13"/>
    <w:rsid w:val="00896F6A"/>
    <w:rsid w:val="00897049"/>
    <w:rsid w:val="008971BC"/>
    <w:rsid w:val="008971E6"/>
    <w:rsid w:val="00897228"/>
    <w:rsid w:val="00897280"/>
    <w:rsid w:val="0089757E"/>
    <w:rsid w:val="008977AC"/>
    <w:rsid w:val="00897892"/>
    <w:rsid w:val="00897AD7"/>
    <w:rsid w:val="00897B42"/>
    <w:rsid w:val="00897DAC"/>
    <w:rsid w:val="00897EA3"/>
    <w:rsid w:val="00897EDF"/>
    <w:rsid w:val="008A0007"/>
    <w:rsid w:val="008A008F"/>
    <w:rsid w:val="008A049D"/>
    <w:rsid w:val="008A04EE"/>
    <w:rsid w:val="008A0518"/>
    <w:rsid w:val="008A0AF1"/>
    <w:rsid w:val="008A0E01"/>
    <w:rsid w:val="008A0F7B"/>
    <w:rsid w:val="008A1183"/>
    <w:rsid w:val="008A11AA"/>
    <w:rsid w:val="008A13E2"/>
    <w:rsid w:val="008A1564"/>
    <w:rsid w:val="008A169A"/>
    <w:rsid w:val="008A19EF"/>
    <w:rsid w:val="008A1B2C"/>
    <w:rsid w:val="008A1C43"/>
    <w:rsid w:val="008A1C8E"/>
    <w:rsid w:val="008A1E74"/>
    <w:rsid w:val="008A1F72"/>
    <w:rsid w:val="008A20B8"/>
    <w:rsid w:val="008A2388"/>
    <w:rsid w:val="008A245F"/>
    <w:rsid w:val="008A2571"/>
    <w:rsid w:val="008A270D"/>
    <w:rsid w:val="008A28A9"/>
    <w:rsid w:val="008A34F2"/>
    <w:rsid w:val="008A3B1D"/>
    <w:rsid w:val="008A3B6B"/>
    <w:rsid w:val="008A3D9D"/>
    <w:rsid w:val="008A3DC5"/>
    <w:rsid w:val="008A3E7F"/>
    <w:rsid w:val="008A42B1"/>
    <w:rsid w:val="008A42BF"/>
    <w:rsid w:val="008A42F7"/>
    <w:rsid w:val="008A4727"/>
    <w:rsid w:val="008A480D"/>
    <w:rsid w:val="008A4A44"/>
    <w:rsid w:val="008A4B2E"/>
    <w:rsid w:val="008A4D6C"/>
    <w:rsid w:val="008A4DFD"/>
    <w:rsid w:val="008A5090"/>
    <w:rsid w:val="008A5274"/>
    <w:rsid w:val="008A52DE"/>
    <w:rsid w:val="008A55FC"/>
    <w:rsid w:val="008A57E9"/>
    <w:rsid w:val="008A5870"/>
    <w:rsid w:val="008A5F5E"/>
    <w:rsid w:val="008A60C3"/>
    <w:rsid w:val="008A645B"/>
    <w:rsid w:val="008A648D"/>
    <w:rsid w:val="008A67E9"/>
    <w:rsid w:val="008A67F1"/>
    <w:rsid w:val="008A67F2"/>
    <w:rsid w:val="008A691D"/>
    <w:rsid w:val="008A6ED5"/>
    <w:rsid w:val="008A70A0"/>
    <w:rsid w:val="008A70EA"/>
    <w:rsid w:val="008A72B0"/>
    <w:rsid w:val="008A7406"/>
    <w:rsid w:val="008A74F4"/>
    <w:rsid w:val="008A7677"/>
    <w:rsid w:val="008A79D3"/>
    <w:rsid w:val="008A7BB1"/>
    <w:rsid w:val="008A7F5D"/>
    <w:rsid w:val="008B00B9"/>
    <w:rsid w:val="008B022E"/>
    <w:rsid w:val="008B043F"/>
    <w:rsid w:val="008B0618"/>
    <w:rsid w:val="008B0AD4"/>
    <w:rsid w:val="008B0C04"/>
    <w:rsid w:val="008B0D31"/>
    <w:rsid w:val="008B1372"/>
    <w:rsid w:val="008B150F"/>
    <w:rsid w:val="008B15B4"/>
    <w:rsid w:val="008B1A61"/>
    <w:rsid w:val="008B1B33"/>
    <w:rsid w:val="008B1B44"/>
    <w:rsid w:val="008B1B66"/>
    <w:rsid w:val="008B20AA"/>
    <w:rsid w:val="008B245D"/>
    <w:rsid w:val="008B2481"/>
    <w:rsid w:val="008B26CD"/>
    <w:rsid w:val="008B2B62"/>
    <w:rsid w:val="008B2B81"/>
    <w:rsid w:val="008B2CB4"/>
    <w:rsid w:val="008B2FA9"/>
    <w:rsid w:val="008B2FE0"/>
    <w:rsid w:val="008B3030"/>
    <w:rsid w:val="008B3226"/>
    <w:rsid w:val="008B3444"/>
    <w:rsid w:val="008B3700"/>
    <w:rsid w:val="008B37A1"/>
    <w:rsid w:val="008B384B"/>
    <w:rsid w:val="008B397A"/>
    <w:rsid w:val="008B3DD3"/>
    <w:rsid w:val="008B3ED6"/>
    <w:rsid w:val="008B3FF5"/>
    <w:rsid w:val="008B40E4"/>
    <w:rsid w:val="008B42B5"/>
    <w:rsid w:val="008B442F"/>
    <w:rsid w:val="008B465C"/>
    <w:rsid w:val="008B477A"/>
    <w:rsid w:val="008B4876"/>
    <w:rsid w:val="008B4DC7"/>
    <w:rsid w:val="008B4DDA"/>
    <w:rsid w:val="008B4FB1"/>
    <w:rsid w:val="008B5062"/>
    <w:rsid w:val="008B519A"/>
    <w:rsid w:val="008B5341"/>
    <w:rsid w:val="008B5535"/>
    <w:rsid w:val="008B5A7F"/>
    <w:rsid w:val="008B5B4E"/>
    <w:rsid w:val="008B5ED0"/>
    <w:rsid w:val="008B6407"/>
    <w:rsid w:val="008B6479"/>
    <w:rsid w:val="008B658C"/>
    <w:rsid w:val="008B659E"/>
    <w:rsid w:val="008B66A4"/>
    <w:rsid w:val="008B66C8"/>
    <w:rsid w:val="008B6854"/>
    <w:rsid w:val="008B68AC"/>
    <w:rsid w:val="008B6B72"/>
    <w:rsid w:val="008B7014"/>
    <w:rsid w:val="008B7066"/>
    <w:rsid w:val="008B7084"/>
    <w:rsid w:val="008B71FF"/>
    <w:rsid w:val="008B7410"/>
    <w:rsid w:val="008B7A63"/>
    <w:rsid w:val="008B7AAF"/>
    <w:rsid w:val="008B7D4C"/>
    <w:rsid w:val="008B7D6E"/>
    <w:rsid w:val="008C03D2"/>
    <w:rsid w:val="008C0AB5"/>
    <w:rsid w:val="008C0B02"/>
    <w:rsid w:val="008C0ECD"/>
    <w:rsid w:val="008C0F77"/>
    <w:rsid w:val="008C1035"/>
    <w:rsid w:val="008C135D"/>
    <w:rsid w:val="008C1628"/>
    <w:rsid w:val="008C1815"/>
    <w:rsid w:val="008C18D7"/>
    <w:rsid w:val="008C197E"/>
    <w:rsid w:val="008C2345"/>
    <w:rsid w:val="008C262D"/>
    <w:rsid w:val="008C26F3"/>
    <w:rsid w:val="008C282C"/>
    <w:rsid w:val="008C28AA"/>
    <w:rsid w:val="008C295D"/>
    <w:rsid w:val="008C2AAA"/>
    <w:rsid w:val="008C2B08"/>
    <w:rsid w:val="008C2C1E"/>
    <w:rsid w:val="008C2DC2"/>
    <w:rsid w:val="008C2E16"/>
    <w:rsid w:val="008C2FA3"/>
    <w:rsid w:val="008C2FA4"/>
    <w:rsid w:val="008C3051"/>
    <w:rsid w:val="008C337A"/>
    <w:rsid w:val="008C34FC"/>
    <w:rsid w:val="008C36F1"/>
    <w:rsid w:val="008C37E5"/>
    <w:rsid w:val="008C3880"/>
    <w:rsid w:val="008C3ACE"/>
    <w:rsid w:val="008C3AE4"/>
    <w:rsid w:val="008C3C8B"/>
    <w:rsid w:val="008C3CF7"/>
    <w:rsid w:val="008C40D5"/>
    <w:rsid w:val="008C4253"/>
    <w:rsid w:val="008C4312"/>
    <w:rsid w:val="008C43A7"/>
    <w:rsid w:val="008C44AF"/>
    <w:rsid w:val="008C44DB"/>
    <w:rsid w:val="008C464C"/>
    <w:rsid w:val="008C46B3"/>
    <w:rsid w:val="008C46D7"/>
    <w:rsid w:val="008C511E"/>
    <w:rsid w:val="008C536F"/>
    <w:rsid w:val="008C57C9"/>
    <w:rsid w:val="008C5814"/>
    <w:rsid w:val="008C5C2D"/>
    <w:rsid w:val="008C5DBE"/>
    <w:rsid w:val="008C5DF1"/>
    <w:rsid w:val="008C5EE7"/>
    <w:rsid w:val="008C610B"/>
    <w:rsid w:val="008C6254"/>
    <w:rsid w:val="008C63F1"/>
    <w:rsid w:val="008C6AC2"/>
    <w:rsid w:val="008C6F4B"/>
    <w:rsid w:val="008C7280"/>
    <w:rsid w:val="008C73B4"/>
    <w:rsid w:val="008C74A5"/>
    <w:rsid w:val="008C7528"/>
    <w:rsid w:val="008C7732"/>
    <w:rsid w:val="008C77C7"/>
    <w:rsid w:val="008C7A53"/>
    <w:rsid w:val="008C7BBD"/>
    <w:rsid w:val="008C7D70"/>
    <w:rsid w:val="008C7E7D"/>
    <w:rsid w:val="008C7EB3"/>
    <w:rsid w:val="008C7F78"/>
    <w:rsid w:val="008C7FAE"/>
    <w:rsid w:val="008D0078"/>
    <w:rsid w:val="008D01CC"/>
    <w:rsid w:val="008D0583"/>
    <w:rsid w:val="008D0AC4"/>
    <w:rsid w:val="008D0B60"/>
    <w:rsid w:val="008D0CDC"/>
    <w:rsid w:val="008D0E5D"/>
    <w:rsid w:val="008D0E6D"/>
    <w:rsid w:val="008D0F06"/>
    <w:rsid w:val="008D1052"/>
    <w:rsid w:val="008D12C4"/>
    <w:rsid w:val="008D1372"/>
    <w:rsid w:val="008D13D7"/>
    <w:rsid w:val="008D1680"/>
    <w:rsid w:val="008D17E0"/>
    <w:rsid w:val="008D1A99"/>
    <w:rsid w:val="008D1AF3"/>
    <w:rsid w:val="008D1B21"/>
    <w:rsid w:val="008D1CDD"/>
    <w:rsid w:val="008D2405"/>
    <w:rsid w:val="008D28DD"/>
    <w:rsid w:val="008D291F"/>
    <w:rsid w:val="008D293E"/>
    <w:rsid w:val="008D2AB3"/>
    <w:rsid w:val="008D2AC1"/>
    <w:rsid w:val="008D2BC5"/>
    <w:rsid w:val="008D2D2F"/>
    <w:rsid w:val="008D3016"/>
    <w:rsid w:val="008D3401"/>
    <w:rsid w:val="008D35A9"/>
    <w:rsid w:val="008D37DB"/>
    <w:rsid w:val="008D38CA"/>
    <w:rsid w:val="008D39F1"/>
    <w:rsid w:val="008D404A"/>
    <w:rsid w:val="008D40E3"/>
    <w:rsid w:val="008D4350"/>
    <w:rsid w:val="008D452B"/>
    <w:rsid w:val="008D4733"/>
    <w:rsid w:val="008D4824"/>
    <w:rsid w:val="008D4EEF"/>
    <w:rsid w:val="008D5310"/>
    <w:rsid w:val="008D5382"/>
    <w:rsid w:val="008D5768"/>
    <w:rsid w:val="008D58EB"/>
    <w:rsid w:val="008D5BC6"/>
    <w:rsid w:val="008D5E62"/>
    <w:rsid w:val="008D5FD1"/>
    <w:rsid w:val="008D638B"/>
    <w:rsid w:val="008D6734"/>
    <w:rsid w:val="008D676F"/>
    <w:rsid w:val="008D697A"/>
    <w:rsid w:val="008D6A8E"/>
    <w:rsid w:val="008D6A95"/>
    <w:rsid w:val="008D6C98"/>
    <w:rsid w:val="008D6EDA"/>
    <w:rsid w:val="008D705A"/>
    <w:rsid w:val="008D735E"/>
    <w:rsid w:val="008D7395"/>
    <w:rsid w:val="008D73B7"/>
    <w:rsid w:val="008D770E"/>
    <w:rsid w:val="008D773B"/>
    <w:rsid w:val="008D7DA7"/>
    <w:rsid w:val="008D7F13"/>
    <w:rsid w:val="008D7FDC"/>
    <w:rsid w:val="008E0424"/>
    <w:rsid w:val="008E046C"/>
    <w:rsid w:val="008E05EE"/>
    <w:rsid w:val="008E065A"/>
    <w:rsid w:val="008E098C"/>
    <w:rsid w:val="008E0B4C"/>
    <w:rsid w:val="008E0BB6"/>
    <w:rsid w:val="008E0DF5"/>
    <w:rsid w:val="008E0EFF"/>
    <w:rsid w:val="008E1211"/>
    <w:rsid w:val="008E1383"/>
    <w:rsid w:val="008E14F7"/>
    <w:rsid w:val="008E17F5"/>
    <w:rsid w:val="008E1B31"/>
    <w:rsid w:val="008E1BC0"/>
    <w:rsid w:val="008E1DD1"/>
    <w:rsid w:val="008E1E28"/>
    <w:rsid w:val="008E222C"/>
    <w:rsid w:val="008E2297"/>
    <w:rsid w:val="008E2459"/>
    <w:rsid w:val="008E2485"/>
    <w:rsid w:val="008E267C"/>
    <w:rsid w:val="008E296F"/>
    <w:rsid w:val="008E2979"/>
    <w:rsid w:val="008E29A0"/>
    <w:rsid w:val="008E321B"/>
    <w:rsid w:val="008E33CF"/>
    <w:rsid w:val="008E35D3"/>
    <w:rsid w:val="008E38CD"/>
    <w:rsid w:val="008E3A81"/>
    <w:rsid w:val="008E3D5C"/>
    <w:rsid w:val="008E3E07"/>
    <w:rsid w:val="008E3E4C"/>
    <w:rsid w:val="008E4095"/>
    <w:rsid w:val="008E40FB"/>
    <w:rsid w:val="008E46A3"/>
    <w:rsid w:val="008E4AE8"/>
    <w:rsid w:val="008E4C44"/>
    <w:rsid w:val="008E4C76"/>
    <w:rsid w:val="008E4DE9"/>
    <w:rsid w:val="008E4E97"/>
    <w:rsid w:val="008E53A6"/>
    <w:rsid w:val="008E55DE"/>
    <w:rsid w:val="008E583F"/>
    <w:rsid w:val="008E5A62"/>
    <w:rsid w:val="008E5CC4"/>
    <w:rsid w:val="008E6073"/>
    <w:rsid w:val="008E61C1"/>
    <w:rsid w:val="008E61C7"/>
    <w:rsid w:val="008E6294"/>
    <w:rsid w:val="008E62FC"/>
    <w:rsid w:val="008E63BE"/>
    <w:rsid w:val="008E697F"/>
    <w:rsid w:val="008E69F4"/>
    <w:rsid w:val="008E6CB6"/>
    <w:rsid w:val="008E6FAF"/>
    <w:rsid w:val="008E70FF"/>
    <w:rsid w:val="008E7305"/>
    <w:rsid w:val="008E756D"/>
    <w:rsid w:val="008E7755"/>
    <w:rsid w:val="008E7B80"/>
    <w:rsid w:val="008E7F6E"/>
    <w:rsid w:val="008E7FA3"/>
    <w:rsid w:val="008E7FE7"/>
    <w:rsid w:val="008F010F"/>
    <w:rsid w:val="008F0178"/>
    <w:rsid w:val="008F0320"/>
    <w:rsid w:val="008F044B"/>
    <w:rsid w:val="008F09AE"/>
    <w:rsid w:val="008F0C3B"/>
    <w:rsid w:val="008F0C79"/>
    <w:rsid w:val="008F0CD2"/>
    <w:rsid w:val="008F0E95"/>
    <w:rsid w:val="008F0FB3"/>
    <w:rsid w:val="008F160E"/>
    <w:rsid w:val="008F1811"/>
    <w:rsid w:val="008F1845"/>
    <w:rsid w:val="008F1BEC"/>
    <w:rsid w:val="008F1D6A"/>
    <w:rsid w:val="008F1F2D"/>
    <w:rsid w:val="008F1F9C"/>
    <w:rsid w:val="008F209C"/>
    <w:rsid w:val="008F23AD"/>
    <w:rsid w:val="008F2B0A"/>
    <w:rsid w:val="008F2EBF"/>
    <w:rsid w:val="008F326F"/>
    <w:rsid w:val="008F357C"/>
    <w:rsid w:val="008F3613"/>
    <w:rsid w:val="008F3CCE"/>
    <w:rsid w:val="008F3CFD"/>
    <w:rsid w:val="008F4116"/>
    <w:rsid w:val="008F421C"/>
    <w:rsid w:val="008F424C"/>
    <w:rsid w:val="008F44D5"/>
    <w:rsid w:val="008F488C"/>
    <w:rsid w:val="008F4D4D"/>
    <w:rsid w:val="008F50DC"/>
    <w:rsid w:val="008F511C"/>
    <w:rsid w:val="008F549C"/>
    <w:rsid w:val="008F5551"/>
    <w:rsid w:val="008F5E44"/>
    <w:rsid w:val="008F624A"/>
    <w:rsid w:val="008F62B9"/>
    <w:rsid w:val="008F63E9"/>
    <w:rsid w:val="008F656B"/>
    <w:rsid w:val="008F6754"/>
    <w:rsid w:val="008F67E4"/>
    <w:rsid w:val="008F6D63"/>
    <w:rsid w:val="008F6ED7"/>
    <w:rsid w:val="008F6F21"/>
    <w:rsid w:val="008F720F"/>
    <w:rsid w:val="008F735E"/>
    <w:rsid w:val="008F74D9"/>
    <w:rsid w:val="008F74E8"/>
    <w:rsid w:val="008F79F9"/>
    <w:rsid w:val="008F7E85"/>
    <w:rsid w:val="008F7F21"/>
    <w:rsid w:val="0090029C"/>
    <w:rsid w:val="009002E6"/>
    <w:rsid w:val="0090052E"/>
    <w:rsid w:val="009008E3"/>
    <w:rsid w:val="00900AA1"/>
    <w:rsid w:val="00900C04"/>
    <w:rsid w:val="0090102B"/>
    <w:rsid w:val="00901744"/>
    <w:rsid w:val="00901912"/>
    <w:rsid w:val="00901A1D"/>
    <w:rsid w:val="00901BB1"/>
    <w:rsid w:val="00901CD0"/>
    <w:rsid w:val="00901CD4"/>
    <w:rsid w:val="009022F8"/>
    <w:rsid w:val="0090235D"/>
    <w:rsid w:val="00902C7B"/>
    <w:rsid w:val="00902CDC"/>
    <w:rsid w:val="00902D0E"/>
    <w:rsid w:val="00902F84"/>
    <w:rsid w:val="0090312D"/>
    <w:rsid w:val="009033D1"/>
    <w:rsid w:val="00903473"/>
    <w:rsid w:val="0090347D"/>
    <w:rsid w:val="009034CB"/>
    <w:rsid w:val="0090363A"/>
    <w:rsid w:val="0090372E"/>
    <w:rsid w:val="00903922"/>
    <w:rsid w:val="00903C63"/>
    <w:rsid w:val="00904026"/>
    <w:rsid w:val="009040EA"/>
    <w:rsid w:val="0090437A"/>
    <w:rsid w:val="0090441A"/>
    <w:rsid w:val="00904AF7"/>
    <w:rsid w:val="00904CA0"/>
    <w:rsid w:val="00904E7C"/>
    <w:rsid w:val="00904F1C"/>
    <w:rsid w:val="00905080"/>
    <w:rsid w:val="009053E1"/>
    <w:rsid w:val="00905482"/>
    <w:rsid w:val="009054C2"/>
    <w:rsid w:val="0090572A"/>
    <w:rsid w:val="00905A5C"/>
    <w:rsid w:val="00905C7D"/>
    <w:rsid w:val="00905D25"/>
    <w:rsid w:val="00906025"/>
    <w:rsid w:val="0090613A"/>
    <w:rsid w:val="00906611"/>
    <w:rsid w:val="0090684A"/>
    <w:rsid w:val="00906CE9"/>
    <w:rsid w:val="0090700E"/>
    <w:rsid w:val="0090736C"/>
    <w:rsid w:val="009074B7"/>
    <w:rsid w:val="0090794E"/>
    <w:rsid w:val="00907A8E"/>
    <w:rsid w:val="00907DB1"/>
    <w:rsid w:val="00907DD8"/>
    <w:rsid w:val="00907FAE"/>
    <w:rsid w:val="0091016A"/>
    <w:rsid w:val="00910295"/>
    <w:rsid w:val="009105A2"/>
    <w:rsid w:val="00910E4A"/>
    <w:rsid w:val="00911296"/>
    <w:rsid w:val="009113D2"/>
    <w:rsid w:val="009113E9"/>
    <w:rsid w:val="009113F3"/>
    <w:rsid w:val="009114A9"/>
    <w:rsid w:val="00911718"/>
    <w:rsid w:val="009117F7"/>
    <w:rsid w:val="00911847"/>
    <w:rsid w:val="009118AD"/>
    <w:rsid w:val="00911AD9"/>
    <w:rsid w:val="00911C53"/>
    <w:rsid w:val="00911F86"/>
    <w:rsid w:val="0091205F"/>
    <w:rsid w:val="0091217A"/>
    <w:rsid w:val="00912383"/>
    <w:rsid w:val="00912413"/>
    <w:rsid w:val="0091242A"/>
    <w:rsid w:val="00912688"/>
    <w:rsid w:val="00912714"/>
    <w:rsid w:val="009128C9"/>
    <w:rsid w:val="009129D8"/>
    <w:rsid w:val="00912AAE"/>
    <w:rsid w:val="00912B5D"/>
    <w:rsid w:val="00912DC4"/>
    <w:rsid w:val="009133CD"/>
    <w:rsid w:val="00913618"/>
    <w:rsid w:val="0091395E"/>
    <w:rsid w:val="00913A6E"/>
    <w:rsid w:val="00913CB9"/>
    <w:rsid w:val="009140C5"/>
    <w:rsid w:val="009145A6"/>
    <w:rsid w:val="00914708"/>
    <w:rsid w:val="00914788"/>
    <w:rsid w:val="009148E9"/>
    <w:rsid w:val="009149EB"/>
    <w:rsid w:val="00914B16"/>
    <w:rsid w:val="00914B43"/>
    <w:rsid w:val="00914CB3"/>
    <w:rsid w:val="00914EFB"/>
    <w:rsid w:val="00914F2D"/>
    <w:rsid w:val="009155AA"/>
    <w:rsid w:val="00915675"/>
    <w:rsid w:val="00915783"/>
    <w:rsid w:val="00915962"/>
    <w:rsid w:val="00915D54"/>
    <w:rsid w:val="00915ECF"/>
    <w:rsid w:val="0091613F"/>
    <w:rsid w:val="009162C8"/>
    <w:rsid w:val="00916381"/>
    <w:rsid w:val="0091641A"/>
    <w:rsid w:val="0091690C"/>
    <w:rsid w:val="00916C48"/>
    <w:rsid w:val="00916C74"/>
    <w:rsid w:val="00916EA7"/>
    <w:rsid w:val="00917030"/>
    <w:rsid w:val="009170AA"/>
    <w:rsid w:val="00917165"/>
    <w:rsid w:val="009171C4"/>
    <w:rsid w:val="009171F8"/>
    <w:rsid w:val="0091741B"/>
    <w:rsid w:val="009174C2"/>
    <w:rsid w:val="00917841"/>
    <w:rsid w:val="009178E9"/>
    <w:rsid w:val="009200AB"/>
    <w:rsid w:val="00920432"/>
    <w:rsid w:val="0092057A"/>
    <w:rsid w:val="009209B2"/>
    <w:rsid w:val="00920C45"/>
    <w:rsid w:val="00921140"/>
    <w:rsid w:val="00921335"/>
    <w:rsid w:val="009213C6"/>
    <w:rsid w:val="00921537"/>
    <w:rsid w:val="0092180B"/>
    <w:rsid w:val="009219DA"/>
    <w:rsid w:val="00921A29"/>
    <w:rsid w:val="00921D2C"/>
    <w:rsid w:val="00921F77"/>
    <w:rsid w:val="00922187"/>
    <w:rsid w:val="009224B8"/>
    <w:rsid w:val="00922918"/>
    <w:rsid w:val="00922A0E"/>
    <w:rsid w:val="00922BFD"/>
    <w:rsid w:val="00922E83"/>
    <w:rsid w:val="00923290"/>
    <w:rsid w:val="00923671"/>
    <w:rsid w:val="00923ABB"/>
    <w:rsid w:val="00923AE2"/>
    <w:rsid w:val="00923DBE"/>
    <w:rsid w:val="00923ED7"/>
    <w:rsid w:val="00923F23"/>
    <w:rsid w:val="0092407F"/>
    <w:rsid w:val="009240FB"/>
    <w:rsid w:val="00924133"/>
    <w:rsid w:val="00924208"/>
    <w:rsid w:val="009243E8"/>
    <w:rsid w:val="00924756"/>
    <w:rsid w:val="00924862"/>
    <w:rsid w:val="00924B35"/>
    <w:rsid w:val="00924FE0"/>
    <w:rsid w:val="00925084"/>
    <w:rsid w:val="009251E6"/>
    <w:rsid w:val="009252F4"/>
    <w:rsid w:val="009256A3"/>
    <w:rsid w:val="0092576B"/>
    <w:rsid w:val="009257D9"/>
    <w:rsid w:val="009257F4"/>
    <w:rsid w:val="0092590E"/>
    <w:rsid w:val="009259A7"/>
    <w:rsid w:val="00925B26"/>
    <w:rsid w:val="00925C70"/>
    <w:rsid w:val="00925CE6"/>
    <w:rsid w:val="00925DFB"/>
    <w:rsid w:val="00926399"/>
    <w:rsid w:val="009265B2"/>
    <w:rsid w:val="009267EB"/>
    <w:rsid w:val="00926B62"/>
    <w:rsid w:val="00926EB1"/>
    <w:rsid w:val="00926FF7"/>
    <w:rsid w:val="009273D0"/>
    <w:rsid w:val="009274BF"/>
    <w:rsid w:val="009274E4"/>
    <w:rsid w:val="0092758A"/>
    <w:rsid w:val="00927788"/>
    <w:rsid w:val="00927A56"/>
    <w:rsid w:val="00927B21"/>
    <w:rsid w:val="00927B5A"/>
    <w:rsid w:val="00927BB7"/>
    <w:rsid w:val="00927C2E"/>
    <w:rsid w:val="00927E67"/>
    <w:rsid w:val="00927F4A"/>
    <w:rsid w:val="00930019"/>
    <w:rsid w:val="0093027A"/>
    <w:rsid w:val="00930281"/>
    <w:rsid w:val="0093063E"/>
    <w:rsid w:val="009306C1"/>
    <w:rsid w:val="0093091F"/>
    <w:rsid w:val="00930D5D"/>
    <w:rsid w:val="00931357"/>
    <w:rsid w:val="009316EB"/>
    <w:rsid w:val="009319CC"/>
    <w:rsid w:val="00931B16"/>
    <w:rsid w:val="00931D8E"/>
    <w:rsid w:val="00931E6A"/>
    <w:rsid w:val="00931EE0"/>
    <w:rsid w:val="00932507"/>
    <w:rsid w:val="00932964"/>
    <w:rsid w:val="00932B5F"/>
    <w:rsid w:val="00932B67"/>
    <w:rsid w:val="00932C00"/>
    <w:rsid w:val="00932DB5"/>
    <w:rsid w:val="009331AC"/>
    <w:rsid w:val="00933328"/>
    <w:rsid w:val="0093368C"/>
    <w:rsid w:val="009338BA"/>
    <w:rsid w:val="00933B97"/>
    <w:rsid w:val="00933DE0"/>
    <w:rsid w:val="009340D2"/>
    <w:rsid w:val="00934149"/>
    <w:rsid w:val="0093435B"/>
    <w:rsid w:val="009346E1"/>
    <w:rsid w:val="009347C7"/>
    <w:rsid w:val="00934ABC"/>
    <w:rsid w:val="00934BA6"/>
    <w:rsid w:val="00934DD8"/>
    <w:rsid w:val="00934E41"/>
    <w:rsid w:val="00935327"/>
    <w:rsid w:val="009354B0"/>
    <w:rsid w:val="009356BB"/>
    <w:rsid w:val="00935AE5"/>
    <w:rsid w:val="00935BAB"/>
    <w:rsid w:val="00935C0C"/>
    <w:rsid w:val="00935C32"/>
    <w:rsid w:val="00935D94"/>
    <w:rsid w:val="00935F0F"/>
    <w:rsid w:val="009363CA"/>
    <w:rsid w:val="00936423"/>
    <w:rsid w:val="00936C56"/>
    <w:rsid w:val="00936D4D"/>
    <w:rsid w:val="0093700F"/>
    <w:rsid w:val="009372AA"/>
    <w:rsid w:val="009373D5"/>
    <w:rsid w:val="00937559"/>
    <w:rsid w:val="009375C9"/>
    <w:rsid w:val="009378FE"/>
    <w:rsid w:val="00937D3D"/>
    <w:rsid w:val="00937FC9"/>
    <w:rsid w:val="009401E6"/>
    <w:rsid w:val="009402E9"/>
    <w:rsid w:val="0094031C"/>
    <w:rsid w:val="009403CA"/>
    <w:rsid w:val="00940430"/>
    <w:rsid w:val="00940716"/>
    <w:rsid w:val="009407D8"/>
    <w:rsid w:val="009408E7"/>
    <w:rsid w:val="0094096C"/>
    <w:rsid w:val="00940A84"/>
    <w:rsid w:val="00940CED"/>
    <w:rsid w:val="00940D95"/>
    <w:rsid w:val="00941093"/>
    <w:rsid w:val="009410E4"/>
    <w:rsid w:val="0094110C"/>
    <w:rsid w:val="00941A65"/>
    <w:rsid w:val="00941B27"/>
    <w:rsid w:val="00941E38"/>
    <w:rsid w:val="00941FEA"/>
    <w:rsid w:val="00941FF3"/>
    <w:rsid w:val="0094227B"/>
    <w:rsid w:val="009424C7"/>
    <w:rsid w:val="00942594"/>
    <w:rsid w:val="0094262A"/>
    <w:rsid w:val="0094265C"/>
    <w:rsid w:val="009426A8"/>
    <w:rsid w:val="00942A29"/>
    <w:rsid w:val="00942BF6"/>
    <w:rsid w:val="00942E32"/>
    <w:rsid w:val="00943066"/>
    <w:rsid w:val="00943173"/>
    <w:rsid w:val="00943968"/>
    <w:rsid w:val="00943E40"/>
    <w:rsid w:val="00944013"/>
    <w:rsid w:val="00944126"/>
    <w:rsid w:val="00944A46"/>
    <w:rsid w:val="00944E41"/>
    <w:rsid w:val="009451B4"/>
    <w:rsid w:val="009452FA"/>
    <w:rsid w:val="009453C7"/>
    <w:rsid w:val="009455F4"/>
    <w:rsid w:val="009457D0"/>
    <w:rsid w:val="009458FF"/>
    <w:rsid w:val="00945E9B"/>
    <w:rsid w:val="00945FAA"/>
    <w:rsid w:val="009462C2"/>
    <w:rsid w:val="00946530"/>
    <w:rsid w:val="0094677D"/>
    <w:rsid w:val="0094690F"/>
    <w:rsid w:val="00946CC6"/>
    <w:rsid w:val="00946CE2"/>
    <w:rsid w:val="009476DF"/>
    <w:rsid w:val="00947C88"/>
    <w:rsid w:val="00947CF5"/>
    <w:rsid w:val="00947DA8"/>
    <w:rsid w:val="00947E1C"/>
    <w:rsid w:val="0095066F"/>
    <w:rsid w:val="00950689"/>
    <w:rsid w:val="009508F8"/>
    <w:rsid w:val="009511FA"/>
    <w:rsid w:val="0095125D"/>
    <w:rsid w:val="009516E8"/>
    <w:rsid w:val="00951880"/>
    <w:rsid w:val="00951F42"/>
    <w:rsid w:val="009525BE"/>
    <w:rsid w:val="00952739"/>
    <w:rsid w:val="009528C9"/>
    <w:rsid w:val="00952D59"/>
    <w:rsid w:val="00952EB6"/>
    <w:rsid w:val="0095321B"/>
    <w:rsid w:val="00953429"/>
    <w:rsid w:val="009534EB"/>
    <w:rsid w:val="00953519"/>
    <w:rsid w:val="009535D8"/>
    <w:rsid w:val="0095368D"/>
    <w:rsid w:val="00953754"/>
    <w:rsid w:val="009538CB"/>
    <w:rsid w:val="00953A9E"/>
    <w:rsid w:val="00953AC3"/>
    <w:rsid w:val="00953DFC"/>
    <w:rsid w:val="009541C6"/>
    <w:rsid w:val="0095442C"/>
    <w:rsid w:val="00954478"/>
    <w:rsid w:val="00954619"/>
    <w:rsid w:val="0095464B"/>
    <w:rsid w:val="00954892"/>
    <w:rsid w:val="009549CC"/>
    <w:rsid w:val="009549FD"/>
    <w:rsid w:val="00955143"/>
    <w:rsid w:val="009553AD"/>
    <w:rsid w:val="00955729"/>
    <w:rsid w:val="00955932"/>
    <w:rsid w:val="00955A21"/>
    <w:rsid w:val="00955D67"/>
    <w:rsid w:val="00955E0E"/>
    <w:rsid w:val="009563D2"/>
    <w:rsid w:val="0095651A"/>
    <w:rsid w:val="009566C1"/>
    <w:rsid w:val="009567B8"/>
    <w:rsid w:val="00956865"/>
    <w:rsid w:val="00956B82"/>
    <w:rsid w:val="00956E41"/>
    <w:rsid w:val="00956E5D"/>
    <w:rsid w:val="009570A1"/>
    <w:rsid w:val="00957337"/>
    <w:rsid w:val="00957350"/>
    <w:rsid w:val="00957522"/>
    <w:rsid w:val="009575F6"/>
    <w:rsid w:val="009578C5"/>
    <w:rsid w:val="009579F5"/>
    <w:rsid w:val="00957D82"/>
    <w:rsid w:val="00957DD1"/>
    <w:rsid w:val="00960157"/>
    <w:rsid w:val="009602D4"/>
    <w:rsid w:val="00960ACC"/>
    <w:rsid w:val="00960C20"/>
    <w:rsid w:val="00960CC0"/>
    <w:rsid w:val="00960FB5"/>
    <w:rsid w:val="009616B2"/>
    <w:rsid w:val="00961EAA"/>
    <w:rsid w:val="0096325A"/>
    <w:rsid w:val="009634EF"/>
    <w:rsid w:val="00963713"/>
    <w:rsid w:val="00963746"/>
    <w:rsid w:val="00963777"/>
    <w:rsid w:val="009638D5"/>
    <w:rsid w:val="00963A9F"/>
    <w:rsid w:val="00963B70"/>
    <w:rsid w:val="00963C49"/>
    <w:rsid w:val="00963CCD"/>
    <w:rsid w:val="00963CEA"/>
    <w:rsid w:val="00963D3C"/>
    <w:rsid w:val="00963DAB"/>
    <w:rsid w:val="0096400F"/>
    <w:rsid w:val="00964467"/>
    <w:rsid w:val="00964545"/>
    <w:rsid w:val="009645CB"/>
    <w:rsid w:val="00964D54"/>
    <w:rsid w:val="00964D91"/>
    <w:rsid w:val="00964E7A"/>
    <w:rsid w:val="00965037"/>
    <w:rsid w:val="0096532F"/>
    <w:rsid w:val="00965334"/>
    <w:rsid w:val="00965923"/>
    <w:rsid w:val="00965D31"/>
    <w:rsid w:val="0096620B"/>
    <w:rsid w:val="009667B5"/>
    <w:rsid w:val="00966B9B"/>
    <w:rsid w:val="00966C3E"/>
    <w:rsid w:val="00966EB4"/>
    <w:rsid w:val="00966F48"/>
    <w:rsid w:val="0096758E"/>
    <w:rsid w:val="009675B4"/>
    <w:rsid w:val="00967996"/>
    <w:rsid w:val="00967A14"/>
    <w:rsid w:val="00967A75"/>
    <w:rsid w:val="00967AB0"/>
    <w:rsid w:val="00967C80"/>
    <w:rsid w:val="009700E8"/>
    <w:rsid w:val="00970176"/>
    <w:rsid w:val="009701F6"/>
    <w:rsid w:val="0097026F"/>
    <w:rsid w:val="0097035A"/>
    <w:rsid w:val="0097037F"/>
    <w:rsid w:val="009704F6"/>
    <w:rsid w:val="0097056C"/>
    <w:rsid w:val="009706F9"/>
    <w:rsid w:val="00970ADC"/>
    <w:rsid w:val="00970AF6"/>
    <w:rsid w:val="00970B23"/>
    <w:rsid w:val="00970C78"/>
    <w:rsid w:val="00970F42"/>
    <w:rsid w:val="00970F48"/>
    <w:rsid w:val="00971137"/>
    <w:rsid w:val="009714CF"/>
    <w:rsid w:val="0097151D"/>
    <w:rsid w:val="00971604"/>
    <w:rsid w:val="0097162B"/>
    <w:rsid w:val="0097163A"/>
    <w:rsid w:val="009718E2"/>
    <w:rsid w:val="00971BD4"/>
    <w:rsid w:val="00971BF6"/>
    <w:rsid w:val="00971C42"/>
    <w:rsid w:val="00971F32"/>
    <w:rsid w:val="00972145"/>
    <w:rsid w:val="00972182"/>
    <w:rsid w:val="009721C9"/>
    <w:rsid w:val="0097220A"/>
    <w:rsid w:val="0097257F"/>
    <w:rsid w:val="009725BB"/>
    <w:rsid w:val="00972D65"/>
    <w:rsid w:val="00972EA1"/>
    <w:rsid w:val="00972F06"/>
    <w:rsid w:val="00973062"/>
    <w:rsid w:val="00973160"/>
    <w:rsid w:val="009734AC"/>
    <w:rsid w:val="009734AE"/>
    <w:rsid w:val="0097350F"/>
    <w:rsid w:val="00973659"/>
    <w:rsid w:val="009742DE"/>
    <w:rsid w:val="0097436E"/>
    <w:rsid w:val="00974A2F"/>
    <w:rsid w:val="00974D59"/>
    <w:rsid w:val="00974EB9"/>
    <w:rsid w:val="00974F15"/>
    <w:rsid w:val="00974F9B"/>
    <w:rsid w:val="0097507A"/>
    <w:rsid w:val="0097530E"/>
    <w:rsid w:val="009757A6"/>
    <w:rsid w:val="00975846"/>
    <w:rsid w:val="00975872"/>
    <w:rsid w:val="00975AB1"/>
    <w:rsid w:val="00975B0D"/>
    <w:rsid w:val="00975CE1"/>
    <w:rsid w:val="0097614B"/>
    <w:rsid w:val="009762B0"/>
    <w:rsid w:val="009762B2"/>
    <w:rsid w:val="00976579"/>
    <w:rsid w:val="00976584"/>
    <w:rsid w:val="0097670B"/>
    <w:rsid w:val="00976781"/>
    <w:rsid w:val="00976AE3"/>
    <w:rsid w:val="00976BAE"/>
    <w:rsid w:val="00976BBA"/>
    <w:rsid w:val="00976CDD"/>
    <w:rsid w:val="00976D36"/>
    <w:rsid w:val="00976EE0"/>
    <w:rsid w:val="00976FED"/>
    <w:rsid w:val="0097700A"/>
    <w:rsid w:val="009772F2"/>
    <w:rsid w:val="0097739D"/>
    <w:rsid w:val="009774F9"/>
    <w:rsid w:val="00977582"/>
    <w:rsid w:val="0097790A"/>
    <w:rsid w:val="00977915"/>
    <w:rsid w:val="00977A4D"/>
    <w:rsid w:val="00977F56"/>
    <w:rsid w:val="009801CB"/>
    <w:rsid w:val="009801D2"/>
    <w:rsid w:val="00980396"/>
    <w:rsid w:val="009804CC"/>
    <w:rsid w:val="009805AE"/>
    <w:rsid w:val="0098097B"/>
    <w:rsid w:val="00980B3B"/>
    <w:rsid w:val="00980D06"/>
    <w:rsid w:val="00980E52"/>
    <w:rsid w:val="00980E9A"/>
    <w:rsid w:val="00981041"/>
    <w:rsid w:val="009812A1"/>
    <w:rsid w:val="009813BD"/>
    <w:rsid w:val="009815ED"/>
    <w:rsid w:val="009818F1"/>
    <w:rsid w:val="00981A1E"/>
    <w:rsid w:val="00981A8D"/>
    <w:rsid w:val="00981BB3"/>
    <w:rsid w:val="00981D02"/>
    <w:rsid w:val="00981D82"/>
    <w:rsid w:val="00981EA8"/>
    <w:rsid w:val="00982012"/>
    <w:rsid w:val="0098214B"/>
    <w:rsid w:val="00982513"/>
    <w:rsid w:val="009825A1"/>
    <w:rsid w:val="009825CD"/>
    <w:rsid w:val="00982B8F"/>
    <w:rsid w:val="00982C00"/>
    <w:rsid w:val="00982DF3"/>
    <w:rsid w:val="00982F45"/>
    <w:rsid w:val="00983657"/>
    <w:rsid w:val="00983C51"/>
    <w:rsid w:val="00983DFD"/>
    <w:rsid w:val="009843EA"/>
    <w:rsid w:val="009844F5"/>
    <w:rsid w:val="00984A5D"/>
    <w:rsid w:val="00984F6D"/>
    <w:rsid w:val="00985039"/>
    <w:rsid w:val="0098541E"/>
    <w:rsid w:val="00985458"/>
    <w:rsid w:val="0098560E"/>
    <w:rsid w:val="009856DA"/>
    <w:rsid w:val="00985745"/>
    <w:rsid w:val="0098591C"/>
    <w:rsid w:val="0098613F"/>
    <w:rsid w:val="00986A29"/>
    <w:rsid w:val="00986ABF"/>
    <w:rsid w:val="00986C81"/>
    <w:rsid w:val="00986D05"/>
    <w:rsid w:val="00986D50"/>
    <w:rsid w:val="00986D9B"/>
    <w:rsid w:val="009876B1"/>
    <w:rsid w:val="0098797F"/>
    <w:rsid w:val="00987B70"/>
    <w:rsid w:val="00987C7A"/>
    <w:rsid w:val="00987D47"/>
    <w:rsid w:val="009903B8"/>
    <w:rsid w:val="009909DB"/>
    <w:rsid w:val="00990B91"/>
    <w:rsid w:val="00990D9B"/>
    <w:rsid w:val="00990F7C"/>
    <w:rsid w:val="00990FA1"/>
    <w:rsid w:val="0099150D"/>
    <w:rsid w:val="0099153E"/>
    <w:rsid w:val="0099168D"/>
    <w:rsid w:val="00991783"/>
    <w:rsid w:val="00991929"/>
    <w:rsid w:val="0099198E"/>
    <w:rsid w:val="00991993"/>
    <w:rsid w:val="00991A44"/>
    <w:rsid w:val="00991ADA"/>
    <w:rsid w:val="00991BC9"/>
    <w:rsid w:val="00991CE1"/>
    <w:rsid w:val="00991F58"/>
    <w:rsid w:val="009922FE"/>
    <w:rsid w:val="00992381"/>
    <w:rsid w:val="009928AA"/>
    <w:rsid w:val="00992912"/>
    <w:rsid w:val="00992968"/>
    <w:rsid w:val="009929C3"/>
    <w:rsid w:val="00992CAB"/>
    <w:rsid w:val="00992F9E"/>
    <w:rsid w:val="00993042"/>
    <w:rsid w:val="00993196"/>
    <w:rsid w:val="0099333C"/>
    <w:rsid w:val="009937EF"/>
    <w:rsid w:val="00993F49"/>
    <w:rsid w:val="00994031"/>
    <w:rsid w:val="009940BA"/>
    <w:rsid w:val="00994193"/>
    <w:rsid w:val="009944EC"/>
    <w:rsid w:val="00994871"/>
    <w:rsid w:val="00994CF3"/>
    <w:rsid w:val="00994E73"/>
    <w:rsid w:val="00994FA1"/>
    <w:rsid w:val="0099510C"/>
    <w:rsid w:val="0099511F"/>
    <w:rsid w:val="009952F7"/>
    <w:rsid w:val="009953F8"/>
    <w:rsid w:val="0099558E"/>
    <w:rsid w:val="0099571E"/>
    <w:rsid w:val="00995740"/>
    <w:rsid w:val="00995E23"/>
    <w:rsid w:val="00995EA8"/>
    <w:rsid w:val="0099629E"/>
    <w:rsid w:val="009964FA"/>
    <w:rsid w:val="009965AE"/>
    <w:rsid w:val="0099677E"/>
    <w:rsid w:val="009967C8"/>
    <w:rsid w:val="00996A85"/>
    <w:rsid w:val="00996CCA"/>
    <w:rsid w:val="00996ED4"/>
    <w:rsid w:val="00997215"/>
    <w:rsid w:val="0099724C"/>
    <w:rsid w:val="009974B6"/>
    <w:rsid w:val="0099755E"/>
    <w:rsid w:val="00997755"/>
    <w:rsid w:val="00997779"/>
    <w:rsid w:val="00997FAF"/>
    <w:rsid w:val="009A0070"/>
    <w:rsid w:val="009A01C6"/>
    <w:rsid w:val="009A02C6"/>
    <w:rsid w:val="009A0538"/>
    <w:rsid w:val="009A0BE2"/>
    <w:rsid w:val="009A0D7F"/>
    <w:rsid w:val="009A1740"/>
    <w:rsid w:val="009A1A6F"/>
    <w:rsid w:val="009A1B2C"/>
    <w:rsid w:val="009A1DD7"/>
    <w:rsid w:val="009A1E24"/>
    <w:rsid w:val="009A1F94"/>
    <w:rsid w:val="009A245A"/>
    <w:rsid w:val="009A2595"/>
    <w:rsid w:val="009A2651"/>
    <w:rsid w:val="009A26B5"/>
    <w:rsid w:val="009A291F"/>
    <w:rsid w:val="009A2925"/>
    <w:rsid w:val="009A2D68"/>
    <w:rsid w:val="009A3070"/>
    <w:rsid w:val="009A329F"/>
    <w:rsid w:val="009A33B3"/>
    <w:rsid w:val="009A344C"/>
    <w:rsid w:val="009A35EF"/>
    <w:rsid w:val="009A377B"/>
    <w:rsid w:val="009A38E3"/>
    <w:rsid w:val="009A3901"/>
    <w:rsid w:val="009A39C3"/>
    <w:rsid w:val="009A4085"/>
    <w:rsid w:val="009A4242"/>
    <w:rsid w:val="009A452C"/>
    <w:rsid w:val="009A4567"/>
    <w:rsid w:val="009A4A73"/>
    <w:rsid w:val="009A515F"/>
    <w:rsid w:val="009A5199"/>
    <w:rsid w:val="009A51A7"/>
    <w:rsid w:val="009A51F0"/>
    <w:rsid w:val="009A56E5"/>
    <w:rsid w:val="009A5ABF"/>
    <w:rsid w:val="009A5D20"/>
    <w:rsid w:val="009A5E51"/>
    <w:rsid w:val="009A600A"/>
    <w:rsid w:val="009A6372"/>
    <w:rsid w:val="009A65A5"/>
    <w:rsid w:val="009A6647"/>
    <w:rsid w:val="009A6692"/>
    <w:rsid w:val="009A6A9F"/>
    <w:rsid w:val="009A6D52"/>
    <w:rsid w:val="009A6EC9"/>
    <w:rsid w:val="009A6FB9"/>
    <w:rsid w:val="009A7096"/>
    <w:rsid w:val="009A72F9"/>
    <w:rsid w:val="009A73E6"/>
    <w:rsid w:val="009A73F6"/>
    <w:rsid w:val="009A779C"/>
    <w:rsid w:val="009A7B1A"/>
    <w:rsid w:val="009A7CC8"/>
    <w:rsid w:val="009A7D5D"/>
    <w:rsid w:val="009B0165"/>
    <w:rsid w:val="009B02BE"/>
    <w:rsid w:val="009B0364"/>
    <w:rsid w:val="009B0713"/>
    <w:rsid w:val="009B092C"/>
    <w:rsid w:val="009B0D82"/>
    <w:rsid w:val="009B0F88"/>
    <w:rsid w:val="009B114F"/>
    <w:rsid w:val="009B1594"/>
    <w:rsid w:val="009B1879"/>
    <w:rsid w:val="009B18E5"/>
    <w:rsid w:val="009B1B45"/>
    <w:rsid w:val="009B1C0B"/>
    <w:rsid w:val="009B1DA4"/>
    <w:rsid w:val="009B2245"/>
    <w:rsid w:val="009B2355"/>
    <w:rsid w:val="009B2404"/>
    <w:rsid w:val="009B2582"/>
    <w:rsid w:val="009B260C"/>
    <w:rsid w:val="009B281A"/>
    <w:rsid w:val="009B290D"/>
    <w:rsid w:val="009B2AF8"/>
    <w:rsid w:val="009B2B2E"/>
    <w:rsid w:val="009B2D77"/>
    <w:rsid w:val="009B2DB6"/>
    <w:rsid w:val="009B3159"/>
    <w:rsid w:val="009B3363"/>
    <w:rsid w:val="009B33E7"/>
    <w:rsid w:val="009B3721"/>
    <w:rsid w:val="009B37C8"/>
    <w:rsid w:val="009B37C9"/>
    <w:rsid w:val="009B39A2"/>
    <w:rsid w:val="009B3BB7"/>
    <w:rsid w:val="009B3BFC"/>
    <w:rsid w:val="009B3FD5"/>
    <w:rsid w:val="009B4145"/>
    <w:rsid w:val="009B431D"/>
    <w:rsid w:val="009B4445"/>
    <w:rsid w:val="009B4455"/>
    <w:rsid w:val="009B44D7"/>
    <w:rsid w:val="009B45C3"/>
    <w:rsid w:val="009B480B"/>
    <w:rsid w:val="009B4876"/>
    <w:rsid w:val="009B490C"/>
    <w:rsid w:val="009B513A"/>
    <w:rsid w:val="009B5189"/>
    <w:rsid w:val="009B54EB"/>
    <w:rsid w:val="009B5516"/>
    <w:rsid w:val="009B56E1"/>
    <w:rsid w:val="009B5859"/>
    <w:rsid w:val="009B58E1"/>
    <w:rsid w:val="009B5A0E"/>
    <w:rsid w:val="009B5A25"/>
    <w:rsid w:val="009B5B89"/>
    <w:rsid w:val="009B5D93"/>
    <w:rsid w:val="009B5DEF"/>
    <w:rsid w:val="009B5E21"/>
    <w:rsid w:val="009B5FCB"/>
    <w:rsid w:val="009B606B"/>
    <w:rsid w:val="009B6142"/>
    <w:rsid w:val="009B629B"/>
    <w:rsid w:val="009B634A"/>
    <w:rsid w:val="009B6852"/>
    <w:rsid w:val="009B697C"/>
    <w:rsid w:val="009B6AC3"/>
    <w:rsid w:val="009B6D96"/>
    <w:rsid w:val="009B6E44"/>
    <w:rsid w:val="009B6E4A"/>
    <w:rsid w:val="009B6EFF"/>
    <w:rsid w:val="009B7349"/>
    <w:rsid w:val="009B7584"/>
    <w:rsid w:val="009B7752"/>
    <w:rsid w:val="009B784D"/>
    <w:rsid w:val="009B7AD2"/>
    <w:rsid w:val="009B7D1C"/>
    <w:rsid w:val="009B7EC8"/>
    <w:rsid w:val="009B7EE4"/>
    <w:rsid w:val="009B7F04"/>
    <w:rsid w:val="009C004A"/>
    <w:rsid w:val="009C00DA"/>
    <w:rsid w:val="009C03F0"/>
    <w:rsid w:val="009C0796"/>
    <w:rsid w:val="009C0CD1"/>
    <w:rsid w:val="009C0D0E"/>
    <w:rsid w:val="009C0E6F"/>
    <w:rsid w:val="009C1077"/>
    <w:rsid w:val="009C13B5"/>
    <w:rsid w:val="009C141D"/>
    <w:rsid w:val="009C14D0"/>
    <w:rsid w:val="009C1586"/>
    <w:rsid w:val="009C1865"/>
    <w:rsid w:val="009C1CDB"/>
    <w:rsid w:val="009C1D9D"/>
    <w:rsid w:val="009C1E62"/>
    <w:rsid w:val="009C1F7B"/>
    <w:rsid w:val="009C2515"/>
    <w:rsid w:val="009C27FF"/>
    <w:rsid w:val="009C28C4"/>
    <w:rsid w:val="009C2A4F"/>
    <w:rsid w:val="009C2B9A"/>
    <w:rsid w:val="009C2D64"/>
    <w:rsid w:val="009C2DDF"/>
    <w:rsid w:val="009C2EE3"/>
    <w:rsid w:val="009C322B"/>
    <w:rsid w:val="009C339B"/>
    <w:rsid w:val="009C3411"/>
    <w:rsid w:val="009C367F"/>
    <w:rsid w:val="009C37D0"/>
    <w:rsid w:val="009C3927"/>
    <w:rsid w:val="009C3979"/>
    <w:rsid w:val="009C3D18"/>
    <w:rsid w:val="009C43B5"/>
    <w:rsid w:val="009C44F3"/>
    <w:rsid w:val="009C4796"/>
    <w:rsid w:val="009C488B"/>
    <w:rsid w:val="009C498C"/>
    <w:rsid w:val="009C4A03"/>
    <w:rsid w:val="009C4A95"/>
    <w:rsid w:val="009C4AB5"/>
    <w:rsid w:val="009C4CA6"/>
    <w:rsid w:val="009C50CD"/>
    <w:rsid w:val="009C5186"/>
    <w:rsid w:val="009C51FC"/>
    <w:rsid w:val="009C528D"/>
    <w:rsid w:val="009C53C4"/>
    <w:rsid w:val="009C57A4"/>
    <w:rsid w:val="009C5B28"/>
    <w:rsid w:val="009C5F10"/>
    <w:rsid w:val="009C6050"/>
    <w:rsid w:val="009C658D"/>
    <w:rsid w:val="009C677F"/>
    <w:rsid w:val="009C6959"/>
    <w:rsid w:val="009C7165"/>
    <w:rsid w:val="009C71FF"/>
    <w:rsid w:val="009C7388"/>
    <w:rsid w:val="009C7392"/>
    <w:rsid w:val="009C7449"/>
    <w:rsid w:val="009C751D"/>
    <w:rsid w:val="009C7563"/>
    <w:rsid w:val="009C7693"/>
    <w:rsid w:val="009C79CB"/>
    <w:rsid w:val="009C7B51"/>
    <w:rsid w:val="009C7E29"/>
    <w:rsid w:val="009C7F80"/>
    <w:rsid w:val="009D0107"/>
    <w:rsid w:val="009D0376"/>
    <w:rsid w:val="009D04B1"/>
    <w:rsid w:val="009D0711"/>
    <w:rsid w:val="009D087C"/>
    <w:rsid w:val="009D0961"/>
    <w:rsid w:val="009D0D79"/>
    <w:rsid w:val="009D0DE2"/>
    <w:rsid w:val="009D0ED7"/>
    <w:rsid w:val="009D1319"/>
    <w:rsid w:val="009D1B4A"/>
    <w:rsid w:val="009D1E72"/>
    <w:rsid w:val="009D1E80"/>
    <w:rsid w:val="009D2040"/>
    <w:rsid w:val="009D216A"/>
    <w:rsid w:val="009D21F5"/>
    <w:rsid w:val="009D2254"/>
    <w:rsid w:val="009D2362"/>
    <w:rsid w:val="009D27E3"/>
    <w:rsid w:val="009D294A"/>
    <w:rsid w:val="009D29EA"/>
    <w:rsid w:val="009D2A0A"/>
    <w:rsid w:val="009D2B1E"/>
    <w:rsid w:val="009D2BE9"/>
    <w:rsid w:val="009D2CFB"/>
    <w:rsid w:val="009D2EED"/>
    <w:rsid w:val="009D31EE"/>
    <w:rsid w:val="009D3262"/>
    <w:rsid w:val="009D330E"/>
    <w:rsid w:val="009D37AC"/>
    <w:rsid w:val="009D3ACE"/>
    <w:rsid w:val="009D40C9"/>
    <w:rsid w:val="009D46F2"/>
    <w:rsid w:val="009D4A53"/>
    <w:rsid w:val="009D4BCE"/>
    <w:rsid w:val="009D504D"/>
    <w:rsid w:val="009D5294"/>
    <w:rsid w:val="009D57C0"/>
    <w:rsid w:val="009D57D3"/>
    <w:rsid w:val="009D59B4"/>
    <w:rsid w:val="009D5AF4"/>
    <w:rsid w:val="009D5B3F"/>
    <w:rsid w:val="009D5DC1"/>
    <w:rsid w:val="009D604D"/>
    <w:rsid w:val="009D6189"/>
    <w:rsid w:val="009D6191"/>
    <w:rsid w:val="009D64FA"/>
    <w:rsid w:val="009D6763"/>
    <w:rsid w:val="009D6B27"/>
    <w:rsid w:val="009D6EA8"/>
    <w:rsid w:val="009D7011"/>
    <w:rsid w:val="009D7238"/>
    <w:rsid w:val="009D76CC"/>
    <w:rsid w:val="009D7802"/>
    <w:rsid w:val="009D783E"/>
    <w:rsid w:val="009D786F"/>
    <w:rsid w:val="009D7C8F"/>
    <w:rsid w:val="009D7CF7"/>
    <w:rsid w:val="009E0366"/>
    <w:rsid w:val="009E03B9"/>
    <w:rsid w:val="009E0498"/>
    <w:rsid w:val="009E0607"/>
    <w:rsid w:val="009E0B3A"/>
    <w:rsid w:val="009E0CFE"/>
    <w:rsid w:val="009E0D40"/>
    <w:rsid w:val="009E0FD2"/>
    <w:rsid w:val="009E1531"/>
    <w:rsid w:val="009E1651"/>
    <w:rsid w:val="009E180D"/>
    <w:rsid w:val="009E19C0"/>
    <w:rsid w:val="009E20B5"/>
    <w:rsid w:val="009E22E3"/>
    <w:rsid w:val="009E2481"/>
    <w:rsid w:val="009E24D6"/>
    <w:rsid w:val="009E25A5"/>
    <w:rsid w:val="009E273C"/>
    <w:rsid w:val="009E276D"/>
    <w:rsid w:val="009E2A00"/>
    <w:rsid w:val="009E334D"/>
    <w:rsid w:val="009E3407"/>
    <w:rsid w:val="009E3693"/>
    <w:rsid w:val="009E3789"/>
    <w:rsid w:val="009E3B9F"/>
    <w:rsid w:val="009E3C3D"/>
    <w:rsid w:val="009E3CB0"/>
    <w:rsid w:val="009E438E"/>
    <w:rsid w:val="009E44BA"/>
    <w:rsid w:val="009E4617"/>
    <w:rsid w:val="009E461D"/>
    <w:rsid w:val="009E46B8"/>
    <w:rsid w:val="009E4CED"/>
    <w:rsid w:val="009E4E35"/>
    <w:rsid w:val="009E4EE9"/>
    <w:rsid w:val="009E4F3C"/>
    <w:rsid w:val="009E520F"/>
    <w:rsid w:val="009E5366"/>
    <w:rsid w:val="009E5976"/>
    <w:rsid w:val="009E5BEA"/>
    <w:rsid w:val="009E5E13"/>
    <w:rsid w:val="009E60A2"/>
    <w:rsid w:val="009E7231"/>
    <w:rsid w:val="009E7259"/>
    <w:rsid w:val="009E7443"/>
    <w:rsid w:val="009E77B8"/>
    <w:rsid w:val="009E7C73"/>
    <w:rsid w:val="009F01CC"/>
    <w:rsid w:val="009F037E"/>
    <w:rsid w:val="009F0625"/>
    <w:rsid w:val="009F0781"/>
    <w:rsid w:val="009F0AA6"/>
    <w:rsid w:val="009F0B84"/>
    <w:rsid w:val="009F0F45"/>
    <w:rsid w:val="009F122E"/>
    <w:rsid w:val="009F13E1"/>
    <w:rsid w:val="009F14BA"/>
    <w:rsid w:val="009F1558"/>
    <w:rsid w:val="009F1605"/>
    <w:rsid w:val="009F1779"/>
    <w:rsid w:val="009F1858"/>
    <w:rsid w:val="009F1879"/>
    <w:rsid w:val="009F1C7D"/>
    <w:rsid w:val="009F1DC8"/>
    <w:rsid w:val="009F1FAA"/>
    <w:rsid w:val="009F206A"/>
    <w:rsid w:val="009F2473"/>
    <w:rsid w:val="009F26D4"/>
    <w:rsid w:val="009F28EE"/>
    <w:rsid w:val="009F2AB8"/>
    <w:rsid w:val="009F2B1A"/>
    <w:rsid w:val="009F2C35"/>
    <w:rsid w:val="009F2DC3"/>
    <w:rsid w:val="009F318D"/>
    <w:rsid w:val="009F34D2"/>
    <w:rsid w:val="009F36E8"/>
    <w:rsid w:val="009F3888"/>
    <w:rsid w:val="009F39C9"/>
    <w:rsid w:val="009F39E2"/>
    <w:rsid w:val="009F3A27"/>
    <w:rsid w:val="009F3C43"/>
    <w:rsid w:val="009F3D6F"/>
    <w:rsid w:val="009F3DC4"/>
    <w:rsid w:val="009F452B"/>
    <w:rsid w:val="009F4644"/>
    <w:rsid w:val="009F486B"/>
    <w:rsid w:val="009F48CC"/>
    <w:rsid w:val="009F4AA6"/>
    <w:rsid w:val="009F4AF3"/>
    <w:rsid w:val="009F4DF6"/>
    <w:rsid w:val="009F4E83"/>
    <w:rsid w:val="009F4FA2"/>
    <w:rsid w:val="009F5111"/>
    <w:rsid w:val="009F516C"/>
    <w:rsid w:val="009F5210"/>
    <w:rsid w:val="009F5367"/>
    <w:rsid w:val="009F53F4"/>
    <w:rsid w:val="009F557F"/>
    <w:rsid w:val="009F5C97"/>
    <w:rsid w:val="009F5D8A"/>
    <w:rsid w:val="009F5E5F"/>
    <w:rsid w:val="009F5F08"/>
    <w:rsid w:val="009F5FC0"/>
    <w:rsid w:val="009F62B6"/>
    <w:rsid w:val="009F63A4"/>
    <w:rsid w:val="009F650B"/>
    <w:rsid w:val="009F6E77"/>
    <w:rsid w:val="009F6EB4"/>
    <w:rsid w:val="009F6FC5"/>
    <w:rsid w:val="009F6FEC"/>
    <w:rsid w:val="009F7747"/>
    <w:rsid w:val="009F7E80"/>
    <w:rsid w:val="009F7ED5"/>
    <w:rsid w:val="009F7F80"/>
    <w:rsid w:val="00A0007A"/>
    <w:rsid w:val="00A00168"/>
    <w:rsid w:val="00A00622"/>
    <w:rsid w:val="00A00659"/>
    <w:rsid w:val="00A006D7"/>
    <w:rsid w:val="00A0078D"/>
    <w:rsid w:val="00A00813"/>
    <w:rsid w:val="00A00849"/>
    <w:rsid w:val="00A0096E"/>
    <w:rsid w:val="00A009BB"/>
    <w:rsid w:val="00A00D58"/>
    <w:rsid w:val="00A00FF1"/>
    <w:rsid w:val="00A01048"/>
    <w:rsid w:val="00A0126F"/>
    <w:rsid w:val="00A01783"/>
    <w:rsid w:val="00A018D9"/>
    <w:rsid w:val="00A01935"/>
    <w:rsid w:val="00A01CB0"/>
    <w:rsid w:val="00A01E75"/>
    <w:rsid w:val="00A01F31"/>
    <w:rsid w:val="00A02264"/>
    <w:rsid w:val="00A02BC8"/>
    <w:rsid w:val="00A034FA"/>
    <w:rsid w:val="00A035ED"/>
    <w:rsid w:val="00A0369F"/>
    <w:rsid w:val="00A03801"/>
    <w:rsid w:val="00A03A91"/>
    <w:rsid w:val="00A03CDF"/>
    <w:rsid w:val="00A03DCE"/>
    <w:rsid w:val="00A03E5C"/>
    <w:rsid w:val="00A04562"/>
    <w:rsid w:val="00A04755"/>
    <w:rsid w:val="00A04A3F"/>
    <w:rsid w:val="00A04A7A"/>
    <w:rsid w:val="00A04C48"/>
    <w:rsid w:val="00A04D85"/>
    <w:rsid w:val="00A04E7A"/>
    <w:rsid w:val="00A052DD"/>
    <w:rsid w:val="00A054F8"/>
    <w:rsid w:val="00A0552B"/>
    <w:rsid w:val="00A05684"/>
    <w:rsid w:val="00A05734"/>
    <w:rsid w:val="00A05B0C"/>
    <w:rsid w:val="00A05D59"/>
    <w:rsid w:val="00A05E56"/>
    <w:rsid w:val="00A05F47"/>
    <w:rsid w:val="00A05FF1"/>
    <w:rsid w:val="00A0671F"/>
    <w:rsid w:val="00A067A0"/>
    <w:rsid w:val="00A06814"/>
    <w:rsid w:val="00A068AB"/>
    <w:rsid w:val="00A06A75"/>
    <w:rsid w:val="00A06ABB"/>
    <w:rsid w:val="00A06B18"/>
    <w:rsid w:val="00A06B7F"/>
    <w:rsid w:val="00A06D9B"/>
    <w:rsid w:val="00A06E82"/>
    <w:rsid w:val="00A07291"/>
    <w:rsid w:val="00A072E7"/>
    <w:rsid w:val="00A0745D"/>
    <w:rsid w:val="00A074F0"/>
    <w:rsid w:val="00A075D6"/>
    <w:rsid w:val="00A07681"/>
    <w:rsid w:val="00A0768A"/>
    <w:rsid w:val="00A076B6"/>
    <w:rsid w:val="00A078D2"/>
    <w:rsid w:val="00A07960"/>
    <w:rsid w:val="00A07C25"/>
    <w:rsid w:val="00A07DD3"/>
    <w:rsid w:val="00A07F45"/>
    <w:rsid w:val="00A1001B"/>
    <w:rsid w:val="00A10539"/>
    <w:rsid w:val="00A105EA"/>
    <w:rsid w:val="00A10827"/>
    <w:rsid w:val="00A109F0"/>
    <w:rsid w:val="00A11503"/>
    <w:rsid w:val="00A11A4F"/>
    <w:rsid w:val="00A11B59"/>
    <w:rsid w:val="00A11F08"/>
    <w:rsid w:val="00A1203D"/>
    <w:rsid w:val="00A122B3"/>
    <w:rsid w:val="00A1264B"/>
    <w:rsid w:val="00A129C1"/>
    <w:rsid w:val="00A12B81"/>
    <w:rsid w:val="00A12BE8"/>
    <w:rsid w:val="00A12CAE"/>
    <w:rsid w:val="00A12DF5"/>
    <w:rsid w:val="00A12F30"/>
    <w:rsid w:val="00A12FEB"/>
    <w:rsid w:val="00A13A43"/>
    <w:rsid w:val="00A13B0C"/>
    <w:rsid w:val="00A14083"/>
    <w:rsid w:val="00A1429B"/>
    <w:rsid w:val="00A144C7"/>
    <w:rsid w:val="00A14871"/>
    <w:rsid w:val="00A14A51"/>
    <w:rsid w:val="00A14B46"/>
    <w:rsid w:val="00A14C3E"/>
    <w:rsid w:val="00A15161"/>
    <w:rsid w:val="00A1569B"/>
    <w:rsid w:val="00A15B39"/>
    <w:rsid w:val="00A15D0E"/>
    <w:rsid w:val="00A1621F"/>
    <w:rsid w:val="00A16DDC"/>
    <w:rsid w:val="00A16F63"/>
    <w:rsid w:val="00A17359"/>
    <w:rsid w:val="00A173EF"/>
    <w:rsid w:val="00A17815"/>
    <w:rsid w:val="00A1783A"/>
    <w:rsid w:val="00A179D1"/>
    <w:rsid w:val="00A17E20"/>
    <w:rsid w:val="00A20219"/>
    <w:rsid w:val="00A20305"/>
    <w:rsid w:val="00A20392"/>
    <w:rsid w:val="00A20563"/>
    <w:rsid w:val="00A20A79"/>
    <w:rsid w:val="00A20FC3"/>
    <w:rsid w:val="00A21180"/>
    <w:rsid w:val="00A211EE"/>
    <w:rsid w:val="00A215BA"/>
    <w:rsid w:val="00A21619"/>
    <w:rsid w:val="00A21B89"/>
    <w:rsid w:val="00A21D4D"/>
    <w:rsid w:val="00A21F39"/>
    <w:rsid w:val="00A22609"/>
    <w:rsid w:val="00A2282D"/>
    <w:rsid w:val="00A229B9"/>
    <w:rsid w:val="00A22CB6"/>
    <w:rsid w:val="00A22DAD"/>
    <w:rsid w:val="00A22EEF"/>
    <w:rsid w:val="00A22F54"/>
    <w:rsid w:val="00A23029"/>
    <w:rsid w:val="00A23045"/>
    <w:rsid w:val="00A230AA"/>
    <w:rsid w:val="00A238F9"/>
    <w:rsid w:val="00A23EE4"/>
    <w:rsid w:val="00A23F09"/>
    <w:rsid w:val="00A23F82"/>
    <w:rsid w:val="00A2451D"/>
    <w:rsid w:val="00A2457D"/>
    <w:rsid w:val="00A245BB"/>
    <w:rsid w:val="00A2492A"/>
    <w:rsid w:val="00A24EEA"/>
    <w:rsid w:val="00A24FE4"/>
    <w:rsid w:val="00A25117"/>
    <w:rsid w:val="00A252BD"/>
    <w:rsid w:val="00A25314"/>
    <w:rsid w:val="00A25718"/>
    <w:rsid w:val="00A25943"/>
    <w:rsid w:val="00A25999"/>
    <w:rsid w:val="00A260A4"/>
    <w:rsid w:val="00A26219"/>
    <w:rsid w:val="00A264DD"/>
    <w:rsid w:val="00A264FF"/>
    <w:rsid w:val="00A266BE"/>
    <w:rsid w:val="00A2687C"/>
    <w:rsid w:val="00A269C8"/>
    <w:rsid w:val="00A270FC"/>
    <w:rsid w:val="00A27509"/>
    <w:rsid w:val="00A2767D"/>
    <w:rsid w:val="00A27890"/>
    <w:rsid w:val="00A27A4A"/>
    <w:rsid w:val="00A27D56"/>
    <w:rsid w:val="00A27E6B"/>
    <w:rsid w:val="00A27ED5"/>
    <w:rsid w:val="00A30084"/>
    <w:rsid w:val="00A3024B"/>
    <w:rsid w:val="00A30312"/>
    <w:rsid w:val="00A30455"/>
    <w:rsid w:val="00A3045E"/>
    <w:rsid w:val="00A306C2"/>
    <w:rsid w:val="00A30748"/>
    <w:rsid w:val="00A30DB7"/>
    <w:rsid w:val="00A30EBA"/>
    <w:rsid w:val="00A31142"/>
    <w:rsid w:val="00A31526"/>
    <w:rsid w:val="00A316BF"/>
    <w:rsid w:val="00A31AB7"/>
    <w:rsid w:val="00A31C0C"/>
    <w:rsid w:val="00A3221D"/>
    <w:rsid w:val="00A3225A"/>
    <w:rsid w:val="00A32A2B"/>
    <w:rsid w:val="00A32F58"/>
    <w:rsid w:val="00A32FC7"/>
    <w:rsid w:val="00A33257"/>
    <w:rsid w:val="00A333B2"/>
    <w:rsid w:val="00A335E3"/>
    <w:rsid w:val="00A336C8"/>
    <w:rsid w:val="00A336F7"/>
    <w:rsid w:val="00A33A0A"/>
    <w:rsid w:val="00A33CEC"/>
    <w:rsid w:val="00A341CC"/>
    <w:rsid w:val="00A342F2"/>
    <w:rsid w:val="00A34557"/>
    <w:rsid w:val="00A345BF"/>
    <w:rsid w:val="00A3465A"/>
    <w:rsid w:val="00A347F6"/>
    <w:rsid w:val="00A34AE6"/>
    <w:rsid w:val="00A34F57"/>
    <w:rsid w:val="00A35185"/>
    <w:rsid w:val="00A35A67"/>
    <w:rsid w:val="00A35C5C"/>
    <w:rsid w:val="00A3612B"/>
    <w:rsid w:val="00A3656A"/>
    <w:rsid w:val="00A3664E"/>
    <w:rsid w:val="00A3669C"/>
    <w:rsid w:val="00A36A7F"/>
    <w:rsid w:val="00A3700C"/>
    <w:rsid w:val="00A371C7"/>
    <w:rsid w:val="00A3731F"/>
    <w:rsid w:val="00A37400"/>
    <w:rsid w:val="00A3760B"/>
    <w:rsid w:val="00A377D3"/>
    <w:rsid w:val="00A37A43"/>
    <w:rsid w:val="00A4028D"/>
    <w:rsid w:val="00A402B9"/>
    <w:rsid w:val="00A409ED"/>
    <w:rsid w:val="00A40B8D"/>
    <w:rsid w:val="00A40BA3"/>
    <w:rsid w:val="00A40C76"/>
    <w:rsid w:val="00A40EEB"/>
    <w:rsid w:val="00A4121B"/>
    <w:rsid w:val="00A412AD"/>
    <w:rsid w:val="00A4159F"/>
    <w:rsid w:val="00A416C7"/>
    <w:rsid w:val="00A4175D"/>
    <w:rsid w:val="00A418BB"/>
    <w:rsid w:val="00A41A8D"/>
    <w:rsid w:val="00A41B0B"/>
    <w:rsid w:val="00A41BEE"/>
    <w:rsid w:val="00A41D18"/>
    <w:rsid w:val="00A41D21"/>
    <w:rsid w:val="00A41D23"/>
    <w:rsid w:val="00A41DA7"/>
    <w:rsid w:val="00A41DD2"/>
    <w:rsid w:val="00A42018"/>
    <w:rsid w:val="00A42043"/>
    <w:rsid w:val="00A42185"/>
    <w:rsid w:val="00A4255C"/>
    <w:rsid w:val="00A4258A"/>
    <w:rsid w:val="00A42896"/>
    <w:rsid w:val="00A42AB5"/>
    <w:rsid w:val="00A42AD8"/>
    <w:rsid w:val="00A42D6D"/>
    <w:rsid w:val="00A42E55"/>
    <w:rsid w:val="00A43192"/>
    <w:rsid w:val="00A43445"/>
    <w:rsid w:val="00A437CD"/>
    <w:rsid w:val="00A437FA"/>
    <w:rsid w:val="00A43D02"/>
    <w:rsid w:val="00A43FB1"/>
    <w:rsid w:val="00A43FB9"/>
    <w:rsid w:val="00A445A1"/>
    <w:rsid w:val="00A44666"/>
    <w:rsid w:val="00A44813"/>
    <w:rsid w:val="00A4487D"/>
    <w:rsid w:val="00A449A1"/>
    <w:rsid w:val="00A44BD9"/>
    <w:rsid w:val="00A44EE7"/>
    <w:rsid w:val="00A45039"/>
    <w:rsid w:val="00A4519A"/>
    <w:rsid w:val="00A452A9"/>
    <w:rsid w:val="00A45329"/>
    <w:rsid w:val="00A45643"/>
    <w:rsid w:val="00A456C8"/>
    <w:rsid w:val="00A457BA"/>
    <w:rsid w:val="00A4582D"/>
    <w:rsid w:val="00A45B7D"/>
    <w:rsid w:val="00A460A8"/>
    <w:rsid w:val="00A46128"/>
    <w:rsid w:val="00A46221"/>
    <w:rsid w:val="00A46356"/>
    <w:rsid w:val="00A4652A"/>
    <w:rsid w:val="00A46539"/>
    <w:rsid w:val="00A465AF"/>
    <w:rsid w:val="00A466D7"/>
    <w:rsid w:val="00A46941"/>
    <w:rsid w:val="00A46DE4"/>
    <w:rsid w:val="00A46E80"/>
    <w:rsid w:val="00A47AE2"/>
    <w:rsid w:val="00A47B48"/>
    <w:rsid w:val="00A47D92"/>
    <w:rsid w:val="00A506BD"/>
    <w:rsid w:val="00A50788"/>
    <w:rsid w:val="00A50D51"/>
    <w:rsid w:val="00A50FAA"/>
    <w:rsid w:val="00A5166D"/>
    <w:rsid w:val="00A520DC"/>
    <w:rsid w:val="00A521EB"/>
    <w:rsid w:val="00A52502"/>
    <w:rsid w:val="00A52776"/>
    <w:rsid w:val="00A52943"/>
    <w:rsid w:val="00A52A51"/>
    <w:rsid w:val="00A52BBF"/>
    <w:rsid w:val="00A531C3"/>
    <w:rsid w:val="00A5322E"/>
    <w:rsid w:val="00A5341F"/>
    <w:rsid w:val="00A535D4"/>
    <w:rsid w:val="00A53614"/>
    <w:rsid w:val="00A53BB0"/>
    <w:rsid w:val="00A5422B"/>
    <w:rsid w:val="00A54278"/>
    <w:rsid w:val="00A54280"/>
    <w:rsid w:val="00A542ED"/>
    <w:rsid w:val="00A54738"/>
    <w:rsid w:val="00A5482F"/>
    <w:rsid w:val="00A54BD2"/>
    <w:rsid w:val="00A54F45"/>
    <w:rsid w:val="00A55065"/>
    <w:rsid w:val="00A553D8"/>
    <w:rsid w:val="00A554AD"/>
    <w:rsid w:val="00A55848"/>
    <w:rsid w:val="00A55945"/>
    <w:rsid w:val="00A559C0"/>
    <w:rsid w:val="00A55A9D"/>
    <w:rsid w:val="00A55B5D"/>
    <w:rsid w:val="00A55D1B"/>
    <w:rsid w:val="00A55F35"/>
    <w:rsid w:val="00A56022"/>
    <w:rsid w:val="00A56AD0"/>
    <w:rsid w:val="00A56D0B"/>
    <w:rsid w:val="00A56E52"/>
    <w:rsid w:val="00A56FB8"/>
    <w:rsid w:val="00A57301"/>
    <w:rsid w:val="00A5735E"/>
    <w:rsid w:val="00A5759E"/>
    <w:rsid w:val="00A57889"/>
    <w:rsid w:val="00A57B47"/>
    <w:rsid w:val="00A57F90"/>
    <w:rsid w:val="00A60225"/>
    <w:rsid w:val="00A60293"/>
    <w:rsid w:val="00A60823"/>
    <w:rsid w:val="00A608F2"/>
    <w:rsid w:val="00A6092F"/>
    <w:rsid w:val="00A60A6D"/>
    <w:rsid w:val="00A60B3E"/>
    <w:rsid w:val="00A60BDB"/>
    <w:rsid w:val="00A60C56"/>
    <w:rsid w:val="00A60C59"/>
    <w:rsid w:val="00A60C9D"/>
    <w:rsid w:val="00A60D1D"/>
    <w:rsid w:val="00A6119B"/>
    <w:rsid w:val="00A6139D"/>
    <w:rsid w:val="00A6151F"/>
    <w:rsid w:val="00A616E8"/>
    <w:rsid w:val="00A6173C"/>
    <w:rsid w:val="00A61B9D"/>
    <w:rsid w:val="00A61D38"/>
    <w:rsid w:val="00A61D6C"/>
    <w:rsid w:val="00A61F61"/>
    <w:rsid w:val="00A62069"/>
    <w:rsid w:val="00A622D2"/>
    <w:rsid w:val="00A62838"/>
    <w:rsid w:val="00A62918"/>
    <w:rsid w:val="00A63021"/>
    <w:rsid w:val="00A630C2"/>
    <w:rsid w:val="00A63341"/>
    <w:rsid w:val="00A633D0"/>
    <w:rsid w:val="00A6347A"/>
    <w:rsid w:val="00A634BE"/>
    <w:rsid w:val="00A634CB"/>
    <w:rsid w:val="00A63556"/>
    <w:rsid w:val="00A63898"/>
    <w:rsid w:val="00A638AC"/>
    <w:rsid w:val="00A6393E"/>
    <w:rsid w:val="00A63EC3"/>
    <w:rsid w:val="00A63FC2"/>
    <w:rsid w:val="00A64456"/>
    <w:rsid w:val="00A6461A"/>
    <w:rsid w:val="00A64B64"/>
    <w:rsid w:val="00A64EE2"/>
    <w:rsid w:val="00A6500D"/>
    <w:rsid w:val="00A65229"/>
    <w:rsid w:val="00A653AF"/>
    <w:rsid w:val="00A653DA"/>
    <w:rsid w:val="00A6559E"/>
    <w:rsid w:val="00A656F4"/>
    <w:rsid w:val="00A658D5"/>
    <w:rsid w:val="00A65911"/>
    <w:rsid w:val="00A659C1"/>
    <w:rsid w:val="00A65B3B"/>
    <w:rsid w:val="00A65B8D"/>
    <w:rsid w:val="00A65BB0"/>
    <w:rsid w:val="00A661EC"/>
    <w:rsid w:val="00A6621C"/>
    <w:rsid w:val="00A662C7"/>
    <w:rsid w:val="00A665E0"/>
    <w:rsid w:val="00A6693F"/>
    <w:rsid w:val="00A66CD6"/>
    <w:rsid w:val="00A66D0D"/>
    <w:rsid w:val="00A66D7C"/>
    <w:rsid w:val="00A67061"/>
    <w:rsid w:val="00A67207"/>
    <w:rsid w:val="00A67807"/>
    <w:rsid w:val="00A67918"/>
    <w:rsid w:val="00A679DE"/>
    <w:rsid w:val="00A67BB2"/>
    <w:rsid w:val="00A67DA9"/>
    <w:rsid w:val="00A67EA0"/>
    <w:rsid w:val="00A67F74"/>
    <w:rsid w:val="00A67F90"/>
    <w:rsid w:val="00A7012A"/>
    <w:rsid w:val="00A70204"/>
    <w:rsid w:val="00A702F0"/>
    <w:rsid w:val="00A705EA"/>
    <w:rsid w:val="00A7060C"/>
    <w:rsid w:val="00A70A8D"/>
    <w:rsid w:val="00A70E6E"/>
    <w:rsid w:val="00A70EF2"/>
    <w:rsid w:val="00A711D4"/>
    <w:rsid w:val="00A71221"/>
    <w:rsid w:val="00A71527"/>
    <w:rsid w:val="00A7196F"/>
    <w:rsid w:val="00A71A47"/>
    <w:rsid w:val="00A71C41"/>
    <w:rsid w:val="00A71F26"/>
    <w:rsid w:val="00A71F84"/>
    <w:rsid w:val="00A72304"/>
    <w:rsid w:val="00A7238B"/>
    <w:rsid w:val="00A7251C"/>
    <w:rsid w:val="00A72625"/>
    <w:rsid w:val="00A72914"/>
    <w:rsid w:val="00A72D27"/>
    <w:rsid w:val="00A72E4D"/>
    <w:rsid w:val="00A734D9"/>
    <w:rsid w:val="00A736B8"/>
    <w:rsid w:val="00A738EC"/>
    <w:rsid w:val="00A73A8A"/>
    <w:rsid w:val="00A73EEB"/>
    <w:rsid w:val="00A742F4"/>
    <w:rsid w:val="00A74538"/>
    <w:rsid w:val="00A74AC0"/>
    <w:rsid w:val="00A74D94"/>
    <w:rsid w:val="00A75178"/>
    <w:rsid w:val="00A753AF"/>
    <w:rsid w:val="00A754CC"/>
    <w:rsid w:val="00A7550F"/>
    <w:rsid w:val="00A7590B"/>
    <w:rsid w:val="00A75ACA"/>
    <w:rsid w:val="00A75B9E"/>
    <w:rsid w:val="00A75BB6"/>
    <w:rsid w:val="00A75C71"/>
    <w:rsid w:val="00A75CCC"/>
    <w:rsid w:val="00A763EB"/>
    <w:rsid w:val="00A763F0"/>
    <w:rsid w:val="00A7642D"/>
    <w:rsid w:val="00A76481"/>
    <w:rsid w:val="00A76628"/>
    <w:rsid w:val="00A7662E"/>
    <w:rsid w:val="00A76BE9"/>
    <w:rsid w:val="00A773F3"/>
    <w:rsid w:val="00A77464"/>
    <w:rsid w:val="00A774E9"/>
    <w:rsid w:val="00A776F1"/>
    <w:rsid w:val="00A7781F"/>
    <w:rsid w:val="00A77C2D"/>
    <w:rsid w:val="00A80052"/>
    <w:rsid w:val="00A80161"/>
    <w:rsid w:val="00A8050F"/>
    <w:rsid w:val="00A80656"/>
    <w:rsid w:val="00A80996"/>
    <w:rsid w:val="00A80AD0"/>
    <w:rsid w:val="00A80B00"/>
    <w:rsid w:val="00A80C92"/>
    <w:rsid w:val="00A80D14"/>
    <w:rsid w:val="00A80E3F"/>
    <w:rsid w:val="00A80E8B"/>
    <w:rsid w:val="00A80FA3"/>
    <w:rsid w:val="00A81190"/>
    <w:rsid w:val="00A8138E"/>
    <w:rsid w:val="00A81583"/>
    <w:rsid w:val="00A815C6"/>
    <w:rsid w:val="00A81717"/>
    <w:rsid w:val="00A8193C"/>
    <w:rsid w:val="00A81A0E"/>
    <w:rsid w:val="00A81F83"/>
    <w:rsid w:val="00A82104"/>
    <w:rsid w:val="00A824EC"/>
    <w:rsid w:val="00A826D5"/>
    <w:rsid w:val="00A82804"/>
    <w:rsid w:val="00A82B1C"/>
    <w:rsid w:val="00A82B82"/>
    <w:rsid w:val="00A82D5F"/>
    <w:rsid w:val="00A82DE8"/>
    <w:rsid w:val="00A83017"/>
    <w:rsid w:val="00A8326E"/>
    <w:rsid w:val="00A8353D"/>
    <w:rsid w:val="00A838F2"/>
    <w:rsid w:val="00A83BDE"/>
    <w:rsid w:val="00A83C5E"/>
    <w:rsid w:val="00A83F82"/>
    <w:rsid w:val="00A840C0"/>
    <w:rsid w:val="00A84539"/>
    <w:rsid w:val="00A8492F"/>
    <w:rsid w:val="00A84BDF"/>
    <w:rsid w:val="00A84CE7"/>
    <w:rsid w:val="00A85295"/>
    <w:rsid w:val="00A853A7"/>
    <w:rsid w:val="00A85BE1"/>
    <w:rsid w:val="00A85C68"/>
    <w:rsid w:val="00A85F1C"/>
    <w:rsid w:val="00A861FB"/>
    <w:rsid w:val="00A86764"/>
    <w:rsid w:val="00A8682A"/>
    <w:rsid w:val="00A8705D"/>
    <w:rsid w:val="00A872BE"/>
    <w:rsid w:val="00A8737D"/>
    <w:rsid w:val="00A87451"/>
    <w:rsid w:val="00A87487"/>
    <w:rsid w:val="00A874F3"/>
    <w:rsid w:val="00A87538"/>
    <w:rsid w:val="00A87921"/>
    <w:rsid w:val="00A87A06"/>
    <w:rsid w:val="00A903F9"/>
    <w:rsid w:val="00A904C5"/>
    <w:rsid w:val="00A90500"/>
    <w:rsid w:val="00A9056A"/>
    <w:rsid w:val="00A90A51"/>
    <w:rsid w:val="00A90B71"/>
    <w:rsid w:val="00A90FD7"/>
    <w:rsid w:val="00A91097"/>
    <w:rsid w:val="00A910A2"/>
    <w:rsid w:val="00A910B7"/>
    <w:rsid w:val="00A911A2"/>
    <w:rsid w:val="00A912BB"/>
    <w:rsid w:val="00A912D0"/>
    <w:rsid w:val="00A9130F"/>
    <w:rsid w:val="00A91416"/>
    <w:rsid w:val="00A91710"/>
    <w:rsid w:val="00A9196A"/>
    <w:rsid w:val="00A91972"/>
    <w:rsid w:val="00A91B88"/>
    <w:rsid w:val="00A91B93"/>
    <w:rsid w:val="00A9252E"/>
    <w:rsid w:val="00A927F6"/>
    <w:rsid w:val="00A92AC5"/>
    <w:rsid w:val="00A92CEE"/>
    <w:rsid w:val="00A92DC2"/>
    <w:rsid w:val="00A92EBF"/>
    <w:rsid w:val="00A92F1E"/>
    <w:rsid w:val="00A92F7E"/>
    <w:rsid w:val="00A930DB"/>
    <w:rsid w:val="00A9328C"/>
    <w:rsid w:val="00A933F3"/>
    <w:rsid w:val="00A934EF"/>
    <w:rsid w:val="00A93CCD"/>
    <w:rsid w:val="00A93D2D"/>
    <w:rsid w:val="00A93D9C"/>
    <w:rsid w:val="00A94046"/>
    <w:rsid w:val="00A940B5"/>
    <w:rsid w:val="00A94169"/>
    <w:rsid w:val="00A94176"/>
    <w:rsid w:val="00A94186"/>
    <w:rsid w:val="00A94431"/>
    <w:rsid w:val="00A9447F"/>
    <w:rsid w:val="00A94A00"/>
    <w:rsid w:val="00A94B6B"/>
    <w:rsid w:val="00A94D84"/>
    <w:rsid w:val="00A95214"/>
    <w:rsid w:val="00A95374"/>
    <w:rsid w:val="00A95542"/>
    <w:rsid w:val="00A955D9"/>
    <w:rsid w:val="00A957CE"/>
    <w:rsid w:val="00A95BE4"/>
    <w:rsid w:val="00A95CF9"/>
    <w:rsid w:val="00A95E28"/>
    <w:rsid w:val="00A96015"/>
    <w:rsid w:val="00A9618B"/>
    <w:rsid w:val="00A963D2"/>
    <w:rsid w:val="00A967BD"/>
    <w:rsid w:val="00A9698A"/>
    <w:rsid w:val="00A97725"/>
    <w:rsid w:val="00A97867"/>
    <w:rsid w:val="00A97FA8"/>
    <w:rsid w:val="00AA00FD"/>
    <w:rsid w:val="00AA0395"/>
    <w:rsid w:val="00AA03D1"/>
    <w:rsid w:val="00AA0590"/>
    <w:rsid w:val="00AA0CC7"/>
    <w:rsid w:val="00AA0E42"/>
    <w:rsid w:val="00AA0E65"/>
    <w:rsid w:val="00AA12AE"/>
    <w:rsid w:val="00AA17AA"/>
    <w:rsid w:val="00AA17EE"/>
    <w:rsid w:val="00AA18F1"/>
    <w:rsid w:val="00AA19CB"/>
    <w:rsid w:val="00AA19D0"/>
    <w:rsid w:val="00AA19DB"/>
    <w:rsid w:val="00AA20F8"/>
    <w:rsid w:val="00AA227D"/>
    <w:rsid w:val="00AA240F"/>
    <w:rsid w:val="00AA2566"/>
    <w:rsid w:val="00AA267C"/>
    <w:rsid w:val="00AA2716"/>
    <w:rsid w:val="00AA2728"/>
    <w:rsid w:val="00AA2E98"/>
    <w:rsid w:val="00AA2ED1"/>
    <w:rsid w:val="00AA3144"/>
    <w:rsid w:val="00AA3159"/>
    <w:rsid w:val="00AA3347"/>
    <w:rsid w:val="00AA3632"/>
    <w:rsid w:val="00AA3858"/>
    <w:rsid w:val="00AA3B17"/>
    <w:rsid w:val="00AA3B6B"/>
    <w:rsid w:val="00AA3DE8"/>
    <w:rsid w:val="00AA3EAB"/>
    <w:rsid w:val="00AA40FB"/>
    <w:rsid w:val="00AA4150"/>
    <w:rsid w:val="00AA415C"/>
    <w:rsid w:val="00AA46A4"/>
    <w:rsid w:val="00AA49C6"/>
    <w:rsid w:val="00AA4B4D"/>
    <w:rsid w:val="00AA50AB"/>
    <w:rsid w:val="00AA5802"/>
    <w:rsid w:val="00AA5926"/>
    <w:rsid w:val="00AA5B6A"/>
    <w:rsid w:val="00AA5C75"/>
    <w:rsid w:val="00AA5CB4"/>
    <w:rsid w:val="00AA5D5F"/>
    <w:rsid w:val="00AA5EAE"/>
    <w:rsid w:val="00AA60A4"/>
    <w:rsid w:val="00AA62D4"/>
    <w:rsid w:val="00AA6599"/>
    <w:rsid w:val="00AA6859"/>
    <w:rsid w:val="00AA6909"/>
    <w:rsid w:val="00AA6C35"/>
    <w:rsid w:val="00AA6DE5"/>
    <w:rsid w:val="00AA7009"/>
    <w:rsid w:val="00AA70CB"/>
    <w:rsid w:val="00AA7224"/>
    <w:rsid w:val="00AA742E"/>
    <w:rsid w:val="00AA7580"/>
    <w:rsid w:val="00AA7652"/>
    <w:rsid w:val="00AA78B0"/>
    <w:rsid w:val="00AA78FF"/>
    <w:rsid w:val="00AA7AE8"/>
    <w:rsid w:val="00AA7AFD"/>
    <w:rsid w:val="00AA7F85"/>
    <w:rsid w:val="00AB0594"/>
    <w:rsid w:val="00AB07E0"/>
    <w:rsid w:val="00AB0BB1"/>
    <w:rsid w:val="00AB0D51"/>
    <w:rsid w:val="00AB0ECE"/>
    <w:rsid w:val="00AB0F6A"/>
    <w:rsid w:val="00AB1036"/>
    <w:rsid w:val="00AB112D"/>
    <w:rsid w:val="00AB126D"/>
    <w:rsid w:val="00AB139C"/>
    <w:rsid w:val="00AB1585"/>
    <w:rsid w:val="00AB19D3"/>
    <w:rsid w:val="00AB1A16"/>
    <w:rsid w:val="00AB1BD8"/>
    <w:rsid w:val="00AB1E78"/>
    <w:rsid w:val="00AB1E9E"/>
    <w:rsid w:val="00AB22D2"/>
    <w:rsid w:val="00AB2B87"/>
    <w:rsid w:val="00AB3073"/>
    <w:rsid w:val="00AB33B0"/>
    <w:rsid w:val="00AB34BE"/>
    <w:rsid w:val="00AB355F"/>
    <w:rsid w:val="00AB35E3"/>
    <w:rsid w:val="00AB37ED"/>
    <w:rsid w:val="00AB3A4A"/>
    <w:rsid w:val="00AB3A65"/>
    <w:rsid w:val="00AB4245"/>
    <w:rsid w:val="00AB427B"/>
    <w:rsid w:val="00AB4501"/>
    <w:rsid w:val="00AB4A4C"/>
    <w:rsid w:val="00AB4AD0"/>
    <w:rsid w:val="00AB4CCC"/>
    <w:rsid w:val="00AB4E34"/>
    <w:rsid w:val="00AB511A"/>
    <w:rsid w:val="00AB5138"/>
    <w:rsid w:val="00AB590F"/>
    <w:rsid w:val="00AB593C"/>
    <w:rsid w:val="00AB5982"/>
    <w:rsid w:val="00AB61B9"/>
    <w:rsid w:val="00AB636D"/>
    <w:rsid w:val="00AB63D6"/>
    <w:rsid w:val="00AB6531"/>
    <w:rsid w:val="00AB6BE4"/>
    <w:rsid w:val="00AB6F17"/>
    <w:rsid w:val="00AB700B"/>
    <w:rsid w:val="00AB7236"/>
    <w:rsid w:val="00AB73D4"/>
    <w:rsid w:val="00AB7668"/>
    <w:rsid w:val="00AB7BE6"/>
    <w:rsid w:val="00AB7ED1"/>
    <w:rsid w:val="00AC098B"/>
    <w:rsid w:val="00AC0ADE"/>
    <w:rsid w:val="00AC0D6F"/>
    <w:rsid w:val="00AC0EB7"/>
    <w:rsid w:val="00AC1136"/>
    <w:rsid w:val="00AC12C5"/>
    <w:rsid w:val="00AC1471"/>
    <w:rsid w:val="00AC14ED"/>
    <w:rsid w:val="00AC150B"/>
    <w:rsid w:val="00AC1517"/>
    <w:rsid w:val="00AC16C0"/>
    <w:rsid w:val="00AC1AFA"/>
    <w:rsid w:val="00AC1C1B"/>
    <w:rsid w:val="00AC1D03"/>
    <w:rsid w:val="00AC1D22"/>
    <w:rsid w:val="00AC21C7"/>
    <w:rsid w:val="00AC2294"/>
    <w:rsid w:val="00AC24E9"/>
    <w:rsid w:val="00AC25D3"/>
    <w:rsid w:val="00AC270D"/>
    <w:rsid w:val="00AC290F"/>
    <w:rsid w:val="00AC2AC6"/>
    <w:rsid w:val="00AC2E11"/>
    <w:rsid w:val="00AC3031"/>
    <w:rsid w:val="00AC30C5"/>
    <w:rsid w:val="00AC312F"/>
    <w:rsid w:val="00AC318A"/>
    <w:rsid w:val="00AC34DB"/>
    <w:rsid w:val="00AC358D"/>
    <w:rsid w:val="00AC3846"/>
    <w:rsid w:val="00AC38C2"/>
    <w:rsid w:val="00AC3954"/>
    <w:rsid w:val="00AC3ADA"/>
    <w:rsid w:val="00AC3B76"/>
    <w:rsid w:val="00AC3C7F"/>
    <w:rsid w:val="00AC3EFA"/>
    <w:rsid w:val="00AC40E4"/>
    <w:rsid w:val="00AC42C3"/>
    <w:rsid w:val="00AC4CB2"/>
    <w:rsid w:val="00AC4EF4"/>
    <w:rsid w:val="00AC4F27"/>
    <w:rsid w:val="00AC51EE"/>
    <w:rsid w:val="00AC5246"/>
    <w:rsid w:val="00AC524F"/>
    <w:rsid w:val="00AC5501"/>
    <w:rsid w:val="00AC5829"/>
    <w:rsid w:val="00AC583A"/>
    <w:rsid w:val="00AC584E"/>
    <w:rsid w:val="00AC58AC"/>
    <w:rsid w:val="00AC5DAE"/>
    <w:rsid w:val="00AC60BC"/>
    <w:rsid w:val="00AC6103"/>
    <w:rsid w:val="00AC637B"/>
    <w:rsid w:val="00AC6581"/>
    <w:rsid w:val="00AC6602"/>
    <w:rsid w:val="00AC664A"/>
    <w:rsid w:val="00AC6A24"/>
    <w:rsid w:val="00AC6A7A"/>
    <w:rsid w:val="00AC6C4E"/>
    <w:rsid w:val="00AC72EE"/>
    <w:rsid w:val="00AC76C2"/>
    <w:rsid w:val="00AC7925"/>
    <w:rsid w:val="00AD0816"/>
    <w:rsid w:val="00AD082C"/>
    <w:rsid w:val="00AD083F"/>
    <w:rsid w:val="00AD096B"/>
    <w:rsid w:val="00AD0A02"/>
    <w:rsid w:val="00AD0B0A"/>
    <w:rsid w:val="00AD0B58"/>
    <w:rsid w:val="00AD0B5A"/>
    <w:rsid w:val="00AD0D16"/>
    <w:rsid w:val="00AD0DDB"/>
    <w:rsid w:val="00AD0FB8"/>
    <w:rsid w:val="00AD0FF1"/>
    <w:rsid w:val="00AD10C0"/>
    <w:rsid w:val="00AD1215"/>
    <w:rsid w:val="00AD14FC"/>
    <w:rsid w:val="00AD16BC"/>
    <w:rsid w:val="00AD1855"/>
    <w:rsid w:val="00AD18CB"/>
    <w:rsid w:val="00AD1B63"/>
    <w:rsid w:val="00AD1C55"/>
    <w:rsid w:val="00AD1D60"/>
    <w:rsid w:val="00AD1EF7"/>
    <w:rsid w:val="00AD25E0"/>
    <w:rsid w:val="00AD26CC"/>
    <w:rsid w:val="00AD272B"/>
    <w:rsid w:val="00AD277F"/>
    <w:rsid w:val="00AD29AD"/>
    <w:rsid w:val="00AD2C23"/>
    <w:rsid w:val="00AD2C9C"/>
    <w:rsid w:val="00AD2D4B"/>
    <w:rsid w:val="00AD2EC2"/>
    <w:rsid w:val="00AD2F66"/>
    <w:rsid w:val="00AD3123"/>
    <w:rsid w:val="00AD31D5"/>
    <w:rsid w:val="00AD327B"/>
    <w:rsid w:val="00AD3398"/>
    <w:rsid w:val="00AD339F"/>
    <w:rsid w:val="00AD353A"/>
    <w:rsid w:val="00AD35F8"/>
    <w:rsid w:val="00AD3623"/>
    <w:rsid w:val="00AD3CAA"/>
    <w:rsid w:val="00AD3DB3"/>
    <w:rsid w:val="00AD3F83"/>
    <w:rsid w:val="00AD404D"/>
    <w:rsid w:val="00AD40B5"/>
    <w:rsid w:val="00AD454D"/>
    <w:rsid w:val="00AD46F5"/>
    <w:rsid w:val="00AD4B99"/>
    <w:rsid w:val="00AD4BE6"/>
    <w:rsid w:val="00AD4D24"/>
    <w:rsid w:val="00AD50CA"/>
    <w:rsid w:val="00AD5215"/>
    <w:rsid w:val="00AD5452"/>
    <w:rsid w:val="00AD554C"/>
    <w:rsid w:val="00AD5694"/>
    <w:rsid w:val="00AD5BC7"/>
    <w:rsid w:val="00AD5F87"/>
    <w:rsid w:val="00AD6062"/>
    <w:rsid w:val="00AD60AE"/>
    <w:rsid w:val="00AD69C3"/>
    <w:rsid w:val="00AD6C0E"/>
    <w:rsid w:val="00AD6C56"/>
    <w:rsid w:val="00AD6CF9"/>
    <w:rsid w:val="00AD6E0B"/>
    <w:rsid w:val="00AD70BC"/>
    <w:rsid w:val="00AD7153"/>
    <w:rsid w:val="00AD72A1"/>
    <w:rsid w:val="00AD73D0"/>
    <w:rsid w:val="00AD7437"/>
    <w:rsid w:val="00AD7A7A"/>
    <w:rsid w:val="00AD7D35"/>
    <w:rsid w:val="00AD7DA5"/>
    <w:rsid w:val="00AE0106"/>
    <w:rsid w:val="00AE03E4"/>
    <w:rsid w:val="00AE0460"/>
    <w:rsid w:val="00AE076F"/>
    <w:rsid w:val="00AE07C1"/>
    <w:rsid w:val="00AE0E32"/>
    <w:rsid w:val="00AE129A"/>
    <w:rsid w:val="00AE17E4"/>
    <w:rsid w:val="00AE1812"/>
    <w:rsid w:val="00AE1C23"/>
    <w:rsid w:val="00AE1DB7"/>
    <w:rsid w:val="00AE1DF9"/>
    <w:rsid w:val="00AE22EF"/>
    <w:rsid w:val="00AE23C2"/>
    <w:rsid w:val="00AE2745"/>
    <w:rsid w:val="00AE2AE7"/>
    <w:rsid w:val="00AE2F85"/>
    <w:rsid w:val="00AE306F"/>
    <w:rsid w:val="00AE30B9"/>
    <w:rsid w:val="00AE31CE"/>
    <w:rsid w:val="00AE320B"/>
    <w:rsid w:val="00AE33D4"/>
    <w:rsid w:val="00AE340E"/>
    <w:rsid w:val="00AE35F0"/>
    <w:rsid w:val="00AE3705"/>
    <w:rsid w:val="00AE3737"/>
    <w:rsid w:val="00AE37C7"/>
    <w:rsid w:val="00AE3966"/>
    <w:rsid w:val="00AE3CBC"/>
    <w:rsid w:val="00AE3F1D"/>
    <w:rsid w:val="00AE40E3"/>
    <w:rsid w:val="00AE4B05"/>
    <w:rsid w:val="00AE4DC0"/>
    <w:rsid w:val="00AE4E8C"/>
    <w:rsid w:val="00AE4E9A"/>
    <w:rsid w:val="00AE517A"/>
    <w:rsid w:val="00AE529E"/>
    <w:rsid w:val="00AE54EB"/>
    <w:rsid w:val="00AE5572"/>
    <w:rsid w:val="00AE58AA"/>
    <w:rsid w:val="00AE5B00"/>
    <w:rsid w:val="00AE5ED0"/>
    <w:rsid w:val="00AE5FC9"/>
    <w:rsid w:val="00AE6048"/>
    <w:rsid w:val="00AE6168"/>
    <w:rsid w:val="00AE6309"/>
    <w:rsid w:val="00AE657C"/>
    <w:rsid w:val="00AE6581"/>
    <w:rsid w:val="00AE6646"/>
    <w:rsid w:val="00AE6C07"/>
    <w:rsid w:val="00AE6FBD"/>
    <w:rsid w:val="00AE706B"/>
    <w:rsid w:val="00AE78F4"/>
    <w:rsid w:val="00AE7F03"/>
    <w:rsid w:val="00AF008C"/>
    <w:rsid w:val="00AF0404"/>
    <w:rsid w:val="00AF055E"/>
    <w:rsid w:val="00AF0865"/>
    <w:rsid w:val="00AF1167"/>
    <w:rsid w:val="00AF16DC"/>
    <w:rsid w:val="00AF1B2C"/>
    <w:rsid w:val="00AF1E65"/>
    <w:rsid w:val="00AF2100"/>
    <w:rsid w:val="00AF2174"/>
    <w:rsid w:val="00AF2487"/>
    <w:rsid w:val="00AF29AA"/>
    <w:rsid w:val="00AF2A91"/>
    <w:rsid w:val="00AF2CDA"/>
    <w:rsid w:val="00AF2F5E"/>
    <w:rsid w:val="00AF3126"/>
    <w:rsid w:val="00AF3217"/>
    <w:rsid w:val="00AF35AB"/>
    <w:rsid w:val="00AF360E"/>
    <w:rsid w:val="00AF380C"/>
    <w:rsid w:val="00AF3914"/>
    <w:rsid w:val="00AF3C35"/>
    <w:rsid w:val="00AF400D"/>
    <w:rsid w:val="00AF41A5"/>
    <w:rsid w:val="00AF44C6"/>
    <w:rsid w:val="00AF47AA"/>
    <w:rsid w:val="00AF4A1F"/>
    <w:rsid w:val="00AF4BCC"/>
    <w:rsid w:val="00AF4BF3"/>
    <w:rsid w:val="00AF4CF9"/>
    <w:rsid w:val="00AF4D20"/>
    <w:rsid w:val="00AF5092"/>
    <w:rsid w:val="00AF527D"/>
    <w:rsid w:val="00AF5338"/>
    <w:rsid w:val="00AF5542"/>
    <w:rsid w:val="00AF580E"/>
    <w:rsid w:val="00AF5896"/>
    <w:rsid w:val="00AF5A28"/>
    <w:rsid w:val="00AF5ADA"/>
    <w:rsid w:val="00AF5B0B"/>
    <w:rsid w:val="00AF5B1E"/>
    <w:rsid w:val="00AF5D79"/>
    <w:rsid w:val="00AF5ECC"/>
    <w:rsid w:val="00AF61C6"/>
    <w:rsid w:val="00AF6438"/>
    <w:rsid w:val="00AF64DA"/>
    <w:rsid w:val="00AF664C"/>
    <w:rsid w:val="00AF67DD"/>
    <w:rsid w:val="00AF6E32"/>
    <w:rsid w:val="00AF7151"/>
    <w:rsid w:val="00AF71E0"/>
    <w:rsid w:val="00AF770C"/>
    <w:rsid w:val="00AF7718"/>
    <w:rsid w:val="00AF789A"/>
    <w:rsid w:val="00AF78D0"/>
    <w:rsid w:val="00AF79DE"/>
    <w:rsid w:val="00AF7BFF"/>
    <w:rsid w:val="00AF7CC6"/>
    <w:rsid w:val="00B0013F"/>
    <w:rsid w:val="00B00205"/>
    <w:rsid w:val="00B0070B"/>
    <w:rsid w:val="00B00A69"/>
    <w:rsid w:val="00B00B3E"/>
    <w:rsid w:val="00B00BC6"/>
    <w:rsid w:val="00B00F0C"/>
    <w:rsid w:val="00B0116B"/>
    <w:rsid w:val="00B013C2"/>
    <w:rsid w:val="00B0153F"/>
    <w:rsid w:val="00B01A58"/>
    <w:rsid w:val="00B01D9F"/>
    <w:rsid w:val="00B025F0"/>
    <w:rsid w:val="00B027DA"/>
    <w:rsid w:val="00B02882"/>
    <w:rsid w:val="00B02B88"/>
    <w:rsid w:val="00B02C48"/>
    <w:rsid w:val="00B02CD6"/>
    <w:rsid w:val="00B02DA8"/>
    <w:rsid w:val="00B02DBC"/>
    <w:rsid w:val="00B02F62"/>
    <w:rsid w:val="00B03035"/>
    <w:rsid w:val="00B030C6"/>
    <w:rsid w:val="00B0324A"/>
    <w:rsid w:val="00B03261"/>
    <w:rsid w:val="00B033B6"/>
    <w:rsid w:val="00B03570"/>
    <w:rsid w:val="00B035BB"/>
    <w:rsid w:val="00B036AD"/>
    <w:rsid w:val="00B037C6"/>
    <w:rsid w:val="00B038DD"/>
    <w:rsid w:val="00B03B08"/>
    <w:rsid w:val="00B04060"/>
    <w:rsid w:val="00B040B9"/>
    <w:rsid w:val="00B0419A"/>
    <w:rsid w:val="00B0425C"/>
    <w:rsid w:val="00B043B4"/>
    <w:rsid w:val="00B0443A"/>
    <w:rsid w:val="00B04810"/>
    <w:rsid w:val="00B04884"/>
    <w:rsid w:val="00B04ADD"/>
    <w:rsid w:val="00B04C8A"/>
    <w:rsid w:val="00B04D24"/>
    <w:rsid w:val="00B04F96"/>
    <w:rsid w:val="00B0510F"/>
    <w:rsid w:val="00B05249"/>
    <w:rsid w:val="00B053C9"/>
    <w:rsid w:val="00B05565"/>
    <w:rsid w:val="00B0560F"/>
    <w:rsid w:val="00B05A99"/>
    <w:rsid w:val="00B05D8A"/>
    <w:rsid w:val="00B060D7"/>
    <w:rsid w:val="00B06260"/>
    <w:rsid w:val="00B0632B"/>
    <w:rsid w:val="00B06571"/>
    <w:rsid w:val="00B065C1"/>
    <w:rsid w:val="00B06626"/>
    <w:rsid w:val="00B066C8"/>
    <w:rsid w:val="00B066EE"/>
    <w:rsid w:val="00B06B24"/>
    <w:rsid w:val="00B06F88"/>
    <w:rsid w:val="00B06FF2"/>
    <w:rsid w:val="00B07068"/>
    <w:rsid w:val="00B072A2"/>
    <w:rsid w:val="00B072B6"/>
    <w:rsid w:val="00B07AF7"/>
    <w:rsid w:val="00B07D91"/>
    <w:rsid w:val="00B07DD7"/>
    <w:rsid w:val="00B07E09"/>
    <w:rsid w:val="00B10143"/>
    <w:rsid w:val="00B102AA"/>
    <w:rsid w:val="00B104E8"/>
    <w:rsid w:val="00B10612"/>
    <w:rsid w:val="00B106AF"/>
    <w:rsid w:val="00B1080C"/>
    <w:rsid w:val="00B108AA"/>
    <w:rsid w:val="00B10906"/>
    <w:rsid w:val="00B10A55"/>
    <w:rsid w:val="00B10C02"/>
    <w:rsid w:val="00B10EBF"/>
    <w:rsid w:val="00B11139"/>
    <w:rsid w:val="00B114C4"/>
    <w:rsid w:val="00B1150F"/>
    <w:rsid w:val="00B11ADF"/>
    <w:rsid w:val="00B11B27"/>
    <w:rsid w:val="00B11CF9"/>
    <w:rsid w:val="00B11D28"/>
    <w:rsid w:val="00B11DBB"/>
    <w:rsid w:val="00B11DE9"/>
    <w:rsid w:val="00B12222"/>
    <w:rsid w:val="00B128D4"/>
    <w:rsid w:val="00B129F8"/>
    <w:rsid w:val="00B12BDB"/>
    <w:rsid w:val="00B12E13"/>
    <w:rsid w:val="00B12ED9"/>
    <w:rsid w:val="00B12F72"/>
    <w:rsid w:val="00B12F76"/>
    <w:rsid w:val="00B13272"/>
    <w:rsid w:val="00B13326"/>
    <w:rsid w:val="00B1337E"/>
    <w:rsid w:val="00B133EF"/>
    <w:rsid w:val="00B136FE"/>
    <w:rsid w:val="00B1371A"/>
    <w:rsid w:val="00B13750"/>
    <w:rsid w:val="00B1395A"/>
    <w:rsid w:val="00B13BE1"/>
    <w:rsid w:val="00B13C50"/>
    <w:rsid w:val="00B13F16"/>
    <w:rsid w:val="00B14307"/>
    <w:rsid w:val="00B145B3"/>
    <w:rsid w:val="00B146BA"/>
    <w:rsid w:val="00B14731"/>
    <w:rsid w:val="00B148B1"/>
    <w:rsid w:val="00B14CC6"/>
    <w:rsid w:val="00B14D92"/>
    <w:rsid w:val="00B14D94"/>
    <w:rsid w:val="00B14EF7"/>
    <w:rsid w:val="00B14EF8"/>
    <w:rsid w:val="00B15082"/>
    <w:rsid w:val="00B1518E"/>
    <w:rsid w:val="00B155D9"/>
    <w:rsid w:val="00B15CA0"/>
    <w:rsid w:val="00B163A3"/>
    <w:rsid w:val="00B168A4"/>
    <w:rsid w:val="00B16B3E"/>
    <w:rsid w:val="00B16C41"/>
    <w:rsid w:val="00B16C42"/>
    <w:rsid w:val="00B16D89"/>
    <w:rsid w:val="00B16DF8"/>
    <w:rsid w:val="00B16F95"/>
    <w:rsid w:val="00B1711F"/>
    <w:rsid w:val="00B1728F"/>
    <w:rsid w:val="00B172F9"/>
    <w:rsid w:val="00B1760E"/>
    <w:rsid w:val="00B178DF"/>
    <w:rsid w:val="00B200A0"/>
    <w:rsid w:val="00B2016B"/>
    <w:rsid w:val="00B202FE"/>
    <w:rsid w:val="00B20368"/>
    <w:rsid w:val="00B20B73"/>
    <w:rsid w:val="00B20DF7"/>
    <w:rsid w:val="00B20E87"/>
    <w:rsid w:val="00B211A9"/>
    <w:rsid w:val="00B214C3"/>
    <w:rsid w:val="00B214C6"/>
    <w:rsid w:val="00B216AD"/>
    <w:rsid w:val="00B2178C"/>
    <w:rsid w:val="00B217CD"/>
    <w:rsid w:val="00B21DC4"/>
    <w:rsid w:val="00B21EC4"/>
    <w:rsid w:val="00B21F04"/>
    <w:rsid w:val="00B221AA"/>
    <w:rsid w:val="00B22417"/>
    <w:rsid w:val="00B22504"/>
    <w:rsid w:val="00B22521"/>
    <w:rsid w:val="00B2261A"/>
    <w:rsid w:val="00B22803"/>
    <w:rsid w:val="00B2386F"/>
    <w:rsid w:val="00B23A6C"/>
    <w:rsid w:val="00B23C2D"/>
    <w:rsid w:val="00B23FAF"/>
    <w:rsid w:val="00B245AE"/>
    <w:rsid w:val="00B2463F"/>
    <w:rsid w:val="00B24A41"/>
    <w:rsid w:val="00B24A4B"/>
    <w:rsid w:val="00B24C21"/>
    <w:rsid w:val="00B24FDD"/>
    <w:rsid w:val="00B25117"/>
    <w:rsid w:val="00B251BE"/>
    <w:rsid w:val="00B252AD"/>
    <w:rsid w:val="00B2597C"/>
    <w:rsid w:val="00B25A12"/>
    <w:rsid w:val="00B25A4A"/>
    <w:rsid w:val="00B25BB1"/>
    <w:rsid w:val="00B25F45"/>
    <w:rsid w:val="00B25FC1"/>
    <w:rsid w:val="00B2637F"/>
    <w:rsid w:val="00B26509"/>
    <w:rsid w:val="00B26566"/>
    <w:rsid w:val="00B268D5"/>
    <w:rsid w:val="00B26925"/>
    <w:rsid w:val="00B26948"/>
    <w:rsid w:val="00B26AAC"/>
    <w:rsid w:val="00B26D89"/>
    <w:rsid w:val="00B270E9"/>
    <w:rsid w:val="00B27191"/>
    <w:rsid w:val="00B27207"/>
    <w:rsid w:val="00B2759E"/>
    <w:rsid w:val="00B276D8"/>
    <w:rsid w:val="00B27B6F"/>
    <w:rsid w:val="00B27D2C"/>
    <w:rsid w:val="00B27D2F"/>
    <w:rsid w:val="00B27D48"/>
    <w:rsid w:val="00B27E65"/>
    <w:rsid w:val="00B27ED1"/>
    <w:rsid w:val="00B30025"/>
    <w:rsid w:val="00B301F0"/>
    <w:rsid w:val="00B302E9"/>
    <w:rsid w:val="00B302FA"/>
    <w:rsid w:val="00B30767"/>
    <w:rsid w:val="00B30845"/>
    <w:rsid w:val="00B30A24"/>
    <w:rsid w:val="00B30AD8"/>
    <w:rsid w:val="00B30C2E"/>
    <w:rsid w:val="00B30FBC"/>
    <w:rsid w:val="00B313B5"/>
    <w:rsid w:val="00B31475"/>
    <w:rsid w:val="00B314BF"/>
    <w:rsid w:val="00B31501"/>
    <w:rsid w:val="00B31551"/>
    <w:rsid w:val="00B31D1E"/>
    <w:rsid w:val="00B31E24"/>
    <w:rsid w:val="00B32100"/>
    <w:rsid w:val="00B3218C"/>
    <w:rsid w:val="00B3236C"/>
    <w:rsid w:val="00B3247C"/>
    <w:rsid w:val="00B324BF"/>
    <w:rsid w:val="00B32594"/>
    <w:rsid w:val="00B32D52"/>
    <w:rsid w:val="00B33555"/>
    <w:rsid w:val="00B33C3B"/>
    <w:rsid w:val="00B33D55"/>
    <w:rsid w:val="00B33DA9"/>
    <w:rsid w:val="00B340A8"/>
    <w:rsid w:val="00B340B3"/>
    <w:rsid w:val="00B342BF"/>
    <w:rsid w:val="00B3431F"/>
    <w:rsid w:val="00B346AC"/>
    <w:rsid w:val="00B34C90"/>
    <w:rsid w:val="00B3500D"/>
    <w:rsid w:val="00B3537C"/>
    <w:rsid w:val="00B35524"/>
    <w:rsid w:val="00B357C6"/>
    <w:rsid w:val="00B35928"/>
    <w:rsid w:val="00B35DBE"/>
    <w:rsid w:val="00B35DD3"/>
    <w:rsid w:val="00B360DD"/>
    <w:rsid w:val="00B36531"/>
    <w:rsid w:val="00B369A3"/>
    <w:rsid w:val="00B36AF4"/>
    <w:rsid w:val="00B36B5A"/>
    <w:rsid w:val="00B370DB"/>
    <w:rsid w:val="00B370DD"/>
    <w:rsid w:val="00B37139"/>
    <w:rsid w:val="00B37614"/>
    <w:rsid w:val="00B377E5"/>
    <w:rsid w:val="00B37923"/>
    <w:rsid w:val="00B37B65"/>
    <w:rsid w:val="00B37CB6"/>
    <w:rsid w:val="00B37CCC"/>
    <w:rsid w:val="00B37E1F"/>
    <w:rsid w:val="00B37FE4"/>
    <w:rsid w:val="00B40097"/>
    <w:rsid w:val="00B401D3"/>
    <w:rsid w:val="00B402EF"/>
    <w:rsid w:val="00B405C8"/>
    <w:rsid w:val="00B40E36"/>
    <w:rsid w:val="00B40E9F"/>
    <w:rsid w:val="00B40EA2"/>
    <w:rsid w:val="00B40EA8"/>
    <w:rsid w:val="00B4147F"/>
    <w:rsid w:val="00B414DA"/>
    <w:rsid w:val="00B414DC"/>
    <w:rsid w:val="00B414F2"/>
    <w:rsid w:val="00B4152D"/>
    <w:rsid w:val="00B4173D"/>
    <w:rsid w:val="00B41BAB"/>
    <w:rsid w:val="00B41C3B"/>
    <w:rsid w:val="00B41ECB"/>
    <w:rsid w:val="00B42262"/>
    <w:rsid w:val="00B4250E"/>
    <w:rsid w:val="00B426B9"/>
    <w:rsid w:val="00B42705"/>
    <w:rsid w:val="00B42D75"/>
    <w:rsid w:val="00B42F40"/>
    <w:rsid w:val="00B43484"/>
    <w:rsid w:val="00B439E0"/>
    <w:rsid w:val="00B43E45"/>
    <w:rsid w:val="00B43F34"/>
    <w:rsid w:val="00B44861"/>
    <w:rsid w:val="00B44B1D"/>
    <w:rsid w:val="00B44CAC"/>
    <w:rsid w:val="00B44CDB"/>
    <w:rsid w:val="00B44D0F"/>
    <w:rsid w:val="00B45051"/>
    <w:rsid w:val="00B451EB"/>
    <w:rsid w:val="00B452E2"/>
    <w:rsid w:val="00B454D9"/>
    <w:rsid w:val="00B45A07"/>
    <w:rsid w:val="00B45A0B"/>
    <w:rsid w:val="00B45A33"/>
    <w:rsid w:val="00B45BBF"/>
    <w:rsid w:val="00B45E5A"/>
    <w:rsid w:val="00B461A9"/>
    <w:rsid w:val="00B461E5"/>
    <w:rsid w:val="00B4652A"/>
    <w:rsid w:val="00B466B7"/>
    <w:rsid w:val="00B467B1"/>
    <w:rsid w:val="00B4683F"/>
    <w:rsid w:val="00B46875"/>
    <w:rsid w:val="00B46B5B"/>
    <w:rsid w:val="00B46C6F"/>
    <w:rsid w:val="00B46D3A"/>
    <w:rsid w:val="00B46EC7"/>
    <w:rsid w:val="00B47345"/>
    <w:rsid w:val="00B47662"/>
    <w:rsid w:val="00B477A8"/>
    <w:rsid w:val="00B504CB"/>
    <w:rsid w:val="00B5057B"/>
    <w:rsid w:val="00B506CD"/>
    <w:rsid w:val="00B50934"/>
    <w:rsid w:val="00B509E4"/>
    <w:rsid w:val="00B50A2B"/>
    <w:rsid w:val="00B50AFB"/>
    <w:rsid w:val="00B50BD8"/>
    <w:rsid w:val="00B50E4A"/>
    <w:rsid w:val="00B50E6D"/>
    <w:rsid w:val="00B51183"/>
    <w:rsid w:val="00B516F3"/>
    <w:rsid w:val="00B51707"/>
    <w:rsid w:val="00B51A1B"/>
    <w:rsid w:val="00B51A9B"/>
    <w:rsid w:val="00B51E90"/>
    <w:rsid w:val="00B52033"/>
    <w:rsid w:val="00B520D7"/>
    <w:rsid w:val="00B522F6"/>
    <w:rsid w:val="00B525F4"/>
    <w:rsid w:val="00B528A6"/>
    <w:rsid w:val="00B52947"/>
    <w:rsid w:val="00B52959"/>
    <w:rsid w:val="00B52E12"/>
    <w:rsid w:val="00B52FE6"/>
    <w:rsid w:val="00B5303E"/>
    <w:rsid w:val="00B5304F"/>
    <w:rsid w:val="00B53196"/>
    <w:rsid w:val="00B5366C"/>
    <w:rsid w:val="00B537D7"/>
    <w:rsid w:val="00B53C13"/>
    <w:rsid w:val="00B53D0A"/>
    <w:rsid w:val="00B53D6F"/>
    <w:rsid w:val="00B53F54"/>
    <w:rsid w:val="00B54363"/>
    <w:rsid w:val="00B54454"/>
    <w:rsid w:val="00B546AF"/>
    <w:rsid w:val="00B54700"/>
    <w:rsid w:val="00B54825"/>
    <w:rsid w:val="00B54844"/>
    <w:rsid w:val="00B5489D"/>
    <w:rsid w:val="00B54936"/>
    <w:rsid w:val="00B54B12"/>
    <w:rsid w:val="00B54BC6"/>
    <w:rsid w:val="00B54C56"/>
    <w:rsid w:val="00B55136"/>
    <w:rsid w:val="00B55152"/>
    <w:rsid w:val="00B55649"/>
    <w:rsid w:val="00B55710"/>
    <w:rsid w:val="00B558E7"/>
    <w:rsid w:val="00B55926"/>
    <w:rsid w:val="00B559EC"/>
    <w:rsid w:val="00B55B14"/>
    <w:rsid w:val="00B55BA1"/>
    <w:rsid w:val="00B55C17"/>
    <w:rsid w:val="00B55D92"/>
    <w:rsid w:val="00B55DBF"/>
    <w:rsid w:val="00B55E20"/>
    <w:rsid w:val="00B560A8"/>
    <w:rsid w:val="00B561DA"/>
    <w:rsid w:val="00B561E1"/>
    <w:rsid w:val="00B564DC"/>
    <w:rsid w:val="00B567DD"/>
    <w:rsid w:val="00B570C1"/>
    <w:rsid w:val="00B571C6"/>
    <w:rsid w:val="00B571E0"/>
    <w:rsid w:val="00B57218"/>
    <w:rsid w:val="00B57344"/>
    <w:rsid w:val="00B575B6"/>
    <w:rsid w:val="00B577A8"/>
    <w:rsid w:val="00B57AE4"/>
    <w:rsid w:val="00B57B19"/>
    <w:rsid w:val="00B6037D"/>
    <w:rsid w:val="00B608EC"/>
    <w:rsid w:val="00B60B74"/>
    <w:rsid w:val="00B60C45"/>
    <w:rsid w:val="00B60DCB"/>
    <w:rsid w:val="00B6123B"/>
    <w:rsid w:val="00B6144F"/>
    <w:rsid w:val="00B6148C"/>
    <w:rsid w:val="00B61982"/>
    <w:rsid w:val="00B61A8C"/>
    <w:rsid w:val="00B61B55"/>
    <w:rsid w:val="00B61C10"/>
    <w:rsid w:val="00B61E63"/>
    <w:rsid w:val="00B61E9C"/>
    <w:rsid w:val="00B622A2"/>
    <w:rsid w:val="00B624CD"/>
    <w:rsid w:val="00B62B82"/>
    <w:rsid w:val="00B62BB4"/>
    <w:rsid w:val="00B62DDF"/>
    <w:rsid w:val="00B62DF5"/>
    <w:rsid w:val="00B63213"/>
    <w:rsid w:val="00B6324E"/>
    <w:rsid w:val="00B63678"/>
    <w:rsid w:val="00B6385F"/>
    <w:rsid w:val="00B63DA9"/>
    <w:rsid w:val="00B63E89"/>
    <w:rsid w:val="00B63EA9"/>
    <w:rsid w:val="00B643EE"/>
    <w:rsid w:val="00B64411"/>
    <w:rsid w:val="00B64B55"/>
    <w:rsid w:val="00B64B7D"/>
    <w:rsid w:val="00B65122"/>
    <w:rsid w:val="00B653BF"/>
    <w:rsid w:val="00B65837"/>
    <w:rsid w:val="00B6596D"/>
    <w:rsid w:val="00B65B94"/>
    <w:rsid w:val="00B65C4E"/>
    <w:rsid w:val="00B65CC0"/>
    <w:rsid w:val="00B65F35"/>
    <w:rsid w:val="00B66030"/>
    <w:rsid w:val="00B6621A"/>
    <w:rsid w:val="00B664FF"/>
    <w:rsid w:val="00B666B3"/>
    <w:rsid w:val="00B668D4"/>
    <w:rsid w:val="00B66C3D"/>
    <w:rsid w:val="00B66F4D"/>
    <w:rsid w:val="00B6764A"/>
    <w:rsid w:val="00B67975"/>
    <w:rsid w:val="00B67B4A"/>
    <w:rsid w:val="00B67EAE"/>
    <w:rsid w:val="00B67FDD"/>
    <w:rsid w:val="00B70016"/>
    <w:rsid w:val="00B700BC"/>
    <w:rsid w:val="00B700E5"/>
    <w:rsid w:val="00B700F2"/>
    <w:rsid w:val="00B70322"/>
    <w:rsid w:val="00B703CC"/>
    <w:rsid w:val="00B70852"/>
    <w:rsid w:val="00B7088B"/>
    <w:rsid w:val="00B70962"/>
    <w:rsid w:val="00B70B43"/>
    <w:rsid w:val="00B70C2D"/>
    <w:rsid w:val="00B70C3A"/>
    <w:rsid w:val="00B70CE8"/>
    <w:rsid w:val="00B70D02"/>
    <w:rsid w:val="00B70E8D"/>
    <w:rsid w:val="00B70F4E"/>
    <w:rsid w:val="00B719DA"/>
    <w:rsid w:val="00B71DDE"/>
    <w:rsid w:val="00B71E80"/>
    <w:rsid w:val="00B7205E"/>
    <w:rsid w:val="00B720D5"/>
    <w:rsid w:val="00B721A2"/>
    <w:rsid w:val="00B72539"/>
    <w:rsid w:val="00B72543"/>
    <w:rsid w:val="00B72875"/>
    <w:rsid w:val="00B729FB"/>
    <w:rsid w:val="00B72BB3"/>
    <w:rsid w:val="00B72C07"/>
    <w:rsid w:val="00B72C60"/>
    <w:rsid w:val="00B72E0C"/>
    <w:rsid w:val="00B73366"/>
    <w:rsid w:val="00B73565"/>
    <w:rsid w:val="00B73776"/>
    <w:rsid w:val="00B738F1"/>
    <w:rsid w:val="00B73A0B"/>
    <w:rsid w:val="00B73AC0"/>
    <w:rsid w:val="00B73F3A"/>
    <w:rsid w:val="00B73FF7"/>
    <w:rsid w:val="00B7467A"/>
    <w:rsid w:val="00B7486E"/>
    <w:rsid w:val="00B749DE"/>
    <w:rsid w:val="00B74E37"/>
    <w:rsid w:val="00B74F2B"/>
    <w:rsid w:val="00B74FE6"/>
    <w:rsid w:val="00B7514D"/>
    <w:rsid w:val="00B75232"/>
    <w:rsid w:val="00B757DA"/>
    <w:rsid w:val="00B7584F"/>
    <w:rsid w:val="00B758A7"/>
    <w:rsid w:val="00B75C6E"/>
    <w:rsid w:val="00B75D16"/>
    <w:rsid w:val="00B75D19"/>
    <w:rsid w:val="00B75DF0"/>
    <w:rsid w:val="00B75F3F"/>
    <w:rsid w:val="00B76114"/>
    <w:rsid w:val="00B76377"/>
    <w:rsid w:val="00B768EB"/>
    <w:rsid w:val="00B769C4"/>
    <w:rsid w:val="00B769ED"/>
    <w:rsid w:val="00B76A07"/>
    <w:rsid w:val="00B76A95"/>
    <w:rsid w:val="00B76DD7"/>
    <w:rsid w:val="00B76F61"/>
    <w:rsid w:val="00B76F75"/>
    <w:rsid w:val="00B7708A"/>
    <w:rsid w:val="00B772F1"/>
    <w:rsid w:val="00B773D6"/>
    <w:rsid w:val="00B77520"/>
    <w:rsid w:val="00B775A6"/>
    <w:rsid w:val="00B777AF"/>
    <w:rsid w:val="00B7788C"/>
    <w:rsid w:val="00B77896"/>
    <w:rsid w:val="00B77A97"/>
    <w:rsid w:val="00B77F92"/>
    <w:rsid w:val="00B8042E"/>
    <w:rsid w:val="00B80573"/>
    <w:rsid w:val="00B805AF"/>
    <w:rsid w:val="00B8063F"/>
    <w:rsid w:val="00B809AD"/>
    <w:rsid w:val="00B80AE2"/>
    <w:rsid w:val="00B80D20"/>
    <w:rsid w:val="00B80DC8"/>
    <w:rsid w:val="00B81436"/>
    <w:rsid w:val="00B81805"/>
    <w:rsid w:val="00B819D8"/>
    <w:rsid w:val="00B81A27"/>
    <w:rsid w:val="00B81E50"/>
    <w:rsid w:val="00B82175"/>
    <w:rsid w:val="00B826A2"/>
    <w:rsid w:val="00B82C7E"/>
    <w:rsid w:val="00B82F78"/>
    <w:rsid w:val="00B82FF5"/>
    <w:rsid w:val="00B83016"/>
    <w:rsid w:val="00B8309F"/>
    <w:rsid w:val="00B835C9"/>
    <w:rsid w:val="00B8365F"/>
    <w:rsid w:val="00B83F54"/>
    <w:rsid w:val="00B84875"/>
    <w:rsid w:val="00B84B45"/>
    <w:rsid w:val="00B85133"/>
    <w:rsid w:val="00B85154"/>
    <w:rsid w:val="00B855D5"/>
    <w:rsid w:val="00B857B1"/>
    <w:rsid w:val="00B85811"/>
    <w:rsid w:val="00B861D8"/>
    <w:rsid w:val="00B862C5"/>
    <w:rsid w:val="00B8635D"/>
    <w:rsid w:val="00B86367"/>
    <w:rsid w:val="00B8646E"/>
    <w:rsid w:val="00B866E2"/>
    <w:rsid w:val="00B8683F"/>
    <w:rsid w:val="00B86BE3"/>
    <w:rsid w:val="00B86D19"/>
    <w:rsid w:val="00B872A9"/>
    <w:rsid w:val="00B87330"/>
    <w:rsid w:val="00B87522"/>
    <w:rsid w:val="00B87527"/>
    <w:rsid w:val="00B87687"/>
    <w:rsid w:val="00B87B98"/>
    <w:rsid w:val="00B87B9E"/>
    <w:rsid w:val="00B87C97"/>
    <w:rsid w:val="00B87F6E"/>
    <w:rsid w:val="00B9026D"/>
    <w:rsid w:val="00B904FC"/>
    <w:rsid w:val="00B907B4"/>
    <w:rsid w:val="00B909E3"/>
    <w:rsid w:val="00B90D51"/>
    <w:rsid w:val="00B90D7C"/>
    <w:rsid w:val="00B90ED0"/>
    <w:rsid w:val="00B9146D"/>
    <w:rsid w:val="00B91815"/>
    <w:rsid w:val="00B91858"/>
    <w:rsid w:val="00B91C3D"/>
    <w:rsid w:val="00B91E46"/>
    <w:rsid w:val="00B91E8D"/>
    <w:rsid w:val="00B92584"/>
    <w:rsid w:val="00B925AF"/>
    <w:rsid w:val="00B926D4"/>
    <w:rsid w:val="00B92A65"/>
    <w:rsid w:val="00B92A7F"/>
    <w:rsid w:val="00B92EBA"/>
    <w:rsid w:val="00B92F62"/>
    <w:rsid w:val="00B92F81"/>
    <w:rsid w:val="00B92FD9"/>
    <w:rsid w:val="00B93088"/>
    <w:rsid w:val="00B9330F"/>
    <w:rsid w:val="00B933BD"/>
    <w:rsid w:val="00B934FA"/>
    <w:rsid w:val="00B935E9"/>
    <w:rsid w:val="00B93993"/>
    <w:rsid w:val="00B93A63"/>
    <w:rsid w:val="00B93ACE"/>
    <w:rsid w:val="00B93C1C"/>
    <w:rsid w:val="00B93C39"/>
    <w:rsid w:val="00B93D20"/>
    <w:rsid w:val="00B93EF1"/>
    <w:rsid w:val="00B94221"/>
    <w:rsid w:val="00B942DF"/>
    <w:rsid w:val="00B94405"/>
    <w:rsid w:val="00B9494E"/>
    <w:rsid w:val="00B94A3E"/>
    <w:rsid w:val="00B94C43"/>
    <w:rsid w:val="00B94D73"/>
    <w:rsid w:val="00B94EC7"/>
    <w:rsid w:val="00B94F12"/>
    <w:rsid w:val="00B95230"/>
    <w:rsid w:val="00B952AE"/>
    <w:rsid w:val="00B95350"/>
    <w:rsid w:val="00B953C8"/>
    <w:rsid w:val="00B9544E"/>
    <w:rsid w:val="00B95687"/>
    <w:rsid w:val="00B95D53"/>
    <w:rsid w:val="00B95D97"/>
    <w:rsid w:val="00B95F29"/>
    <w:rsid w:val="00B960B6"/>
    <w:rsid w:val="00B9621D"/>
    <w:rsid w:val="00B96296"/>
    <w:rsid w:val="00B96671"/>
    <w:rsid w:val="00B96CEC"/>
    <w:rsid w:val="00B974B0"/>
    <w:rsid w:val="00B974E8"/>
    <w:rsid w:val="00B976B7"/>
    <w:rsid w:val="00B97BD3"/>
    <w:rsid w:val="00B97C1A"/>
    <w:rsid w:val="00BA024F"/>
    <w:rsid w:val="00BA0262"/>
    <w:rsid w:val="00BA063A"/>
    <w:rsid w:val="00BA07AB"/>
    <w:rsid w:val="00BA099D"/>
    <w:rsid w:val="00BA0A10"/>
    <w:rsid w:val="00BA0CE0"/>
    <w:rsid w:val="00BA0D92"/>
    <w:rsid w:val="00BA0EA7"/>
    <w:rsid w:val="00BA0EF2"/>
    <w:rsid w:val="00BA0F80"/>
    <w:rsid w:val="00BA12A6"/>
    <w:rsid w:val="00BA13CF"/>
    <w:rsid w:val="00BA1555"/>
    <w:rsid w:val="00BA15B2"/>
    <w:rsid w:val="00BA160C"/>
    <w:rsid w:val="00BA1658"/>
    <w:rsid w:val="00BA183F"/>
    <w:rsid w:val="00BA189A"/>
    <w:rsid w:val="00BA1AEB"/>
    <w:rsid w:val="00BA1B96"/>
    <w:rsid w:val="00BA1C97"/>
    <w:rsid w:val="00BA1E9C"/>
    <w:rsid w:val="00BA2132"/>
    <w:rsid w:val="00BA223D"/>
    <w:rsid w:val="00BA2740"/>
    <w:rsid w:val="00BA2938"/>
    <w:rsid w:val="00BA2B57"/>
    <w:rsid w:val="00BA2CA1"/>
    <w:rsid w:val="00BA2F25"/>
    <w:rsid w:val="00BA3138"/>
    <w:rsid w:val="00BA33B6"/>
    <w:rsid w:val="00BA3986"/>
    <w:rsid w:val="00BA3992"/>
    <w:rsid w:val="00BA3A05"/>
    <w:rsid w:val="00BA3A58"/>
    <w:rsid w:val="00BA3A5B"/>
    <w:rsid w:val="00BA3A7B"/>
    <w:rsid w:val="00BA3CBC"/>
    <w:rsid w:val="00BA3E3D"/>
    <w:rsid w:val="00BA3E6C"/>
    <w:rsid w:val="00BA3E89"/>
    <w:rsid w:val="00BA3EA4"/>
    <w:rsid w:val="00BA3F96"/>
    <w:rsid w:val="00BA40DD"/>
    <w:rsid w:val="00BA448E"/>
    <w:rsid w:val="00BA454E"/>
    <w:rsid w:val="00BA4747"/>
    <w:rsid w:val="00BA4752"/>
    <w:rsid w:val="00BA4877"/>
    <w:rsid w:val="00BA48B4"/>
    <w:rsid w:val="00BA4B78"/>
    <w:rsid w:val="00BA4BE6"/>
    <w:rsid w:val="00BA4C25"/>
    <w:rsid w:val="00BA4E43"/>
    <w:rsid w:val="00BA5102"/>
    <w:rsid w:val="00BA51A7"/>
    <w:rsid w:val="00BA5223"/>
    <w:rsid w:val="00BA528A"/>
    <w:rsid w:val="00BA59C1"/>
    <w:rsid w:val="00BA5BDA"/>
    <w:rsid w:val="00BA5C0B"/>
    <w:rsid w:val="00BA5CEF"/>
    <w:rsid w:val="00BA5DB9"/>
    <w:rsid w:val="00BA5F36"/>
    <w:rsid w:val="00BA60DF"/>
    <w:rsid w:val="00BA61C1"/>
    <w:rsid w:val="00BA6846"/>
    <w:rsid w:val="00BA6A87"/>
    <w:rsid w:val="00BA6D2E"/>
    <w:rsid w:val="00BA6E2A"/>
    <w:rsid w:val="00BA725E"/>
    <w:rsid w:val="00BA76D1"/>
    <w:rsid w:val="00BA77F6"/>
    <w:rsid w:val="00BA7BE6"/>
    <w:rsid w:val="00BB0A3D"/>
    <w:rsid w:val="00BB0A85"/>
    <w:rsid w:val="00BB0ABF"/>
    <w:rsid w:val="00BB0CE7"/>
    <w:rsid w:val="00BB0E92"/>
    <w:rsid w:val="00BB10D3"/>
    <w:rsid w:val="00BB1149"/>
    <w:rsid w:val="00BB1491"/>
    <w:rsid w:val="00BB157D"/>
    <w:rsid w:val="00BB1662"/>
    <w:rsid w:val="00BB1714"/>
    <w:rsid w:val="00BB175C"/>
    <w:rsid w:val="00BB17E1"/>
    <w:rsid w:val="00BB17FB"/>
    <w:rsid w:val="00BB1827"/>
    <w:rsid w:val="00BB19C2"/>
    <w:rsid w:val="00BB1AFC"/>
    <w:rsid w:val="00BB1B40"/>
    <w:rsid w:val="00BB294A"/>
    <w:rsid w:val="00BB2D43"/>
    <w:rsid w:val="00BB2FAA"/>
    <w:rsid w:val="00BB3353"/>
    <w:rsid w:val="00BB3483"/>
    <w:rsid w:val="00BB34B6"/>
    <w:rsid w:val="00BB35BD"/>
    <w:rsid w:val="00BB3656"/>
    <w:rsid w:val="00BB39A3"/>
    <w:rsid w:val="00BB3E80"/>
    <w:rsid w:val="00BB4101"/>
    <w:rsid w:val="00BB41D4"/>
    <w:rsid w:val="00BB44B8"/>
    <w:rsid w:val="00BB461D"/>
    <w:rsid w:val="00BB46F7"/>
    <w:rsid w:val="00BB471F"/>
    <w:rsid w:val="00BB4758"/>
    <w:rsid w:val="00BB4796"/>
    <w:rsid w:val="00BB47E1"/>
    <w:rsid w:val="00BB4D16"/>
    <w:rsid w:val="00BB4E03"/>
    <w:rsid w:val="00BB4FC0"/>
    <w:rsid w:val="00BB5193"/>
    <w:rsid w:val="00BB51AE"/>
    <w:rsid w:val="00BB5220"/>
    <w:rsid w:val="00BB528C"/>
    <w:rsid w:val="00BB58E0"/>
    <w:rsid w:val="00BB5AAB"/>
    <w:rsid w:val="00BB5AC8"/>
    <w:rsid w:val="00BB5B9E"/>
    <w:rsid w:val="00BB5BD2"/>
    <w:rsid w:val="00BB5D12"/>
    <w:rsid w:val="00BB5F0D"/>
    <w:rsid w:val="00BB5FCF"/>
    <w:rsid w:val="00BB60B1"/>
    <w:rsid w:val="00BB60D8"/>
    <w:rsid w:val="00BB61FF"/>
    <w:rsid w:val="00BB63F5"/>
    <w:rsid w:val="00BB6973"/>
    <w:rsid w:val="00BB6A33"/>
    <w:rsid w:val="00BB6A87"/>
    <w:rsid w:val="00BB6FD4"/>
    <w:rsid w:val="00BB7489"/>
    <w:rsid w:val="00BB7495"/>
    <w:rsid w:val="00BB74B6"/>
    <w:rsid w:val="00BB78A3"/>
    <w:rsid w:val="00BB7966"/>
    <w:rsid w:val="00BB7CBD"/>
    <w:rsid w:val="00BB7E94"/>
    <w:rsid w:val="00BC0255"/>
    <w:rsid w:val="00BC0269"/>
    <w:rsid w:val="00BC028B"/>
    <w:rsid w:val="00BC05C5"/>
    <w:rsid w:val="00BC05F1"/>
    <w:rsid w:val="00BC07D3"/>
    <w:rsid w:val="00BC089B"/>
    <w:rsid w:val="00BC08A4"/>
    <w:rsid w:val="00BC08B1"/>
    <w:rsid w:val="00BC08E6"/>
    <w:rsid w:val="00BC0A66"/>
    <w:rsid w:val="00BC0B9F"/>
    <w:rsid w:val="00BC0CB6"/>
    <w:rsid w:val="00BC0D24"/>
    <w:rsid w:val="00BC1382"/>
    <w:rsid w:val="00BC142E"/>
    <w:rsid w:val="00BC1B86"/>
    <w:rsid w:val="00BC1DDE"/>
    <w:rsid w:val="00BC2020"/>
    <w:rsid w:val="00BC2384"/>
    <w:rsid w:val="00BC2A69"/>
    <w:rsid w:val="00BC2B51"/>
    <w:rsid w:val="00BC2BC3"/>
    <w:rsid w:val="00BC3111"/>
    <w:rsid w:val="00BC31F4"/>
    <w:rsid w:val="00BC324F"/>
    <w:rsid w:val="00BC329B"/>
    <w:rsid w:val="00BC3541"/>
    <w:rsid w:val="00BC3C1A"/>
    <w:rsid w:val="00BC3D42"/>
    <w:rsid w:val="00BC3DEB"/>
    <w:rsid w:val="00BC3FBF"/>
    <w:rsid w:val="00BC464F"/>
    <w:rsid w:val="00BC485B"/>
    <w:rsid w:val="00BC48C5"/>
    <w:rsid w:val="00BC4A76"/>
    <w:rsid w:val="00BC4FD6"/>
    <w:rsid w:val="00BC5049"/>
    <w:rsid w:val="00BC5183"/>
    <w:rsid w:val="00BC5821"/>
    <w:rsid w:val="00BC583D"/>
    <w:rsid w:val="00BC585F"/>
    <w:rsid w:val="00BC5882"/>
    <w:rsid w:val="00BC5A8B"/>
    <w:rsid w:val="00BC5BA8"/>
    <w:rsid w:val="00BC5D0B"/>
    <w:rsid w:val="00BC5D23"/>
    <w:rsid w:val="00BC5DED"/>
    <w:rsid w:val="00BC6086"/>
    <w:rsid w:val="00BC6330"/>
    <w:rsid w:val="00BC63F9"/>
    <w:rsid w:val="00BC63FC"/>
    <w:rsid w:val="00BC67DC"/>
    <w:rsid w:val="00BC6931"/>
    <w:rsid w:val="00BC6A9B"/>
    <w:rsid w:val="00BC6CAB"/>
    <w:rsid w:val="00BC6D96"/>
    <w:rsid w:val="00BC6F2F"/>
    <w:rsid w:val="00BC724C"/>
    <w:rsid w:val="00BC7274"/>
    <w:rsid w:val="00BC74FC"/>
    <w:rsid w:val="00BC79DD"/>
    <w:rsid w:val="00BC7BCC"/>
    <w:rsid w:val="00BC7D8F"/>
    <w:rsid w:val="00BD03F4"/>
    <w:rsid w:val="00BD092B"/>
    <w:rsid w:val="00BD0B7F"/>
    <w:rsid w:val="00BD0B80"/>
    <w:rsid w:val="00BD169D"/>
    <w:rsid w:val="00BD178C"/>
    <w:rsid w:val="00BD180C"/>
    <w:rsid w:val="00BD181C"/>
    <w:rsid w:val="00BD1B78"/>
    <w:rsid w:val="00BD1DF5"/>
    <w:rsid w:val="00BD1F5F"/>
    <w:rsid w:val="00BD23AA"/>
    <w:rsid w:val="00BD23D5"/>
    <w:rsid w:val="00BD2666"/>
    <w:rsid w:val="00BD266B"/>
    <w:rsid w:val="00BD27B7"/>
    <w:rsid w:val="00BD28E1"/>
    <w:rsid w:val="00BD2BDF"/>
    <w:rsid w:val="00BD2C12"/>
    <w:rsid w:val="00BD2F13"/>
    <w:rsid w:val="00BD2FD3"/>
    <w:rsid w:val="00BD32DB"/>
    <w:rsid w:val="00BD366C"/>
    <w:rsid w:val="00BD3690"/>
    <w:rsid w:val="00BD3B96"/>
    <w:rsid w:val="00BD3D60"/>
    <w:rsid w:val="00BD43C9"/>
    <w:rsid w:val="00BD47DB"/>
    <w:rsid w:val="00BD4A3B"/>
    <w:rsid w:val="00BD4E3F"/>
    <w:rsid w:val="00BD50B8"/>
    <w:rsid w:val="00BD50E6"/>
    <w:rsid w:val="00BD5261"/>
    <w:rsid w:val="00BD52FB"/>
    <w:rsid w:val="00BD532B"/>
    <w:rsid w:val="00BD57D7"/>
    <w:rsid w:val="00BD5A7C"/>
    <w:rsid w:val="00BD5BE7"/>
    <w:rsid w:val="00BD5EB0"/>
    <w:rsid w:val="00BD627E"/>
    <w:rsid w:val="00BD63DD"/>
    <w:rsid w:val="00BD64DA"/>
    <w:rsid w:val="00BD66A0"/>
    <w:rsid w:val="00BD6AAD"/>
    <w:rsid w:val="00BD6AE5"/>
    <w:rsid w:val="00BD6C36"/>
    <w:rsid w:val="00BD6D03"/>
    <w:rsid w:val="00BD6D5E"/>
    <w:rsid w:val="00BD6F40"/>
    <w:rsid w:val="00BD708F"/>
    <w:rsid w:val="00BD7359"/>
    <w:rsid w:val="00BD747D"/>
    <w:rsid w:val="00BD7B14"/>
    <w:rsid w:val="00BD7B97"/>
    <w:rsid w:val="00BD7C3A"/>
    <w:rsid w:val="00BD7F65"/>
    <w:rsid w:val="00BE005E"/>
    <w:rsid w:val="00BE01E9"/>
    <w:rsid w:val="00BE03CC"/>
    <w:rsid w:val="00BE0440"/>
    <w:rsid w:val="00BE05C9"/>
    <w:rsid w:val="00BE0814"/>
    <w:rsid w:val="00BE0854"/>
    <w:rsid w:val="00BE0CCD"/>
    <w:rsid w:val="00BE12CE"/>
    <w:rsid w:val="00BE1456"/>
    <w:rsid w:val="00BE145E"/>
    <w:rsid w:val="00BE147D"/>
    <w:rsid w:val="00BE183E"/>
    <w:rsid w:val="00BE1A67"/>
    <w:rsid w:val="00BE1AAB"/>
    <w:rsid w:val="00BE212C"/>
    <w:rsid w:val="00BE223F"/>
    <w:rsid w:val="00BE24CB"/>
    <w:rsid w:val="00BE2B1A"/>
    <w:rsid w:val="00BE2B6E"/>
    <w:rsid w:val="00BE2BAA"/>
    <w:rsid w:val="00BE2D31"/>
    <w:rsid w:val="00BE2FD0"/>
    <w:rsid w:val="00BE315B"/>
    <w:rsid w:val="00BE31AE"/>
    <w:rsid w:val="00BE31C7"/>
    <w:rsid w:val="00BE34A9"/>
    <w:rsid w:val="00BE34D9"/>
    <w:rsid w:val="00BE3584"/>
    <w:rsid w:val="00BE35F1"/>
    <w:rsid w:val="00BE36EA"/>
    <w:rsid w:val="00BE3AFE"/>
    <w:rsid w:val="00BE3FB3"/>
    <w:rsid w:val="00BE4276"/>
    <w:rsid w:val="00BE42AF"/>
    <w:rsid w:val="00BE478A"/>
    <w:rsid w:val="00BE49AA"/>
    <w:rsid w:val="00BE4A25"/>
    <w:rsid w:val="00BE4C2F"/>
    <w:rsid w:val="00BE4F88"/>
    <w:rsid w:val="00BE5097"/>
    <w:rsid w:val="00BE55F7"/>
    <w:rsid w:val="00BE57AA"/>
    <w:rsid w:val="00BE58DF"/>
    <w:rsid w:val="00BE5B48"/>
    <w:rsid w:val="00BE5C69"/>
    <w:rsid w:val="00BE5DC8"/>
    <w:rsid w:val="00BE5F50"/>
    <w:rsid w:val="00BE5F8C"/>
    <w:rsid w:val="00BE5FBC"/>
    <w:rsid w:val="00BE6066"/>
    <w:rsid w:val="00BE60C2"/>
    <w:rsid w:val="00BE60FE"/>
    <w:rsid w:val="00BE62F6"/>
    <w:rsid w:val="00BE6428"/>
    <w:rsid w:val="00BE6596"/>
    <w:rsid w:val="00BE6651"/>
    <w:rsid w:val="00BE67AF"/>
    <w:rsid w:val="00BE67F4"/>
    <w:rsid w:val="00BE6B07"/>
    <w:rsid w:val="00BE6C02"/>
    <w:rsid w:val="00BE6D66"/>
    <w:rsid w:val="00BE6DBA"/>
    <w:rsid w:val="00BE6F04"/>
    <w:rsid w:val="00BE70D0"/>
    <w:rsid w:val="00BE7467"/>
    <w:rsid w:val="00BE74E1"/>
    <w:rsid w:val="00BE767D"/>
    <w:rsid w:val="00BE7D1D"/>
    <w:rsid w:val="00BE7F22"/>
    <w:rsid w:val="00BF0725"/>
    <w:rsid w:val="00BF0AC0"/>
    <w:rsid w:val="00BF0B90"/>
    <w:rsid w:val="00BF0E6C"/>
    <w:rsid w:val="00BF0ED7"/>
    <w:rsid w:val="00BF0F59"/>
    <w:rsid w:val="00BF10A9"/>
    <w:rsid w:val="00BF18AC"/>
    <w:rsid w:val="00BF1A27"/>
    <w:rsid w:val="00BF1C61"/>
    <w:rsid w:val="00BF1EAD"/>
    <w:rsid w:val="00BF1F9C"/>
    <w:rsid w:val="00BF1FE0"/>
    <w:rsid w:val="00BF220E"/>
    <w:rsid w:val="00BF233B"/>
    <w:rsid w:val="00BF2403"/>
    <w:rsid w:val="00BF2535"/>
    <w:rsid w:val="00BF261F"/>
    <w:rsid w:val="00BF29D2"/>
    <w:rsid w:val="00BF2A8D"/>
    <w:rsid w:val="00BF2C16"/>
    <w:rsid w:val="00BF2D61"/>
    <w:rsid w:val="00BF2D72"/>
    <w:rsid w:val="00BF2DE6"/>
    <w:rsid w:val="00BF2EB8"/>
    <w:rsid w:val="00BF32A7"/>
    <w:rsid w:val="00BF3538"/>
    <w:rsid w:val="00BF39EC"/>
    <w:rsid w:val="00BF3AEF"/>
    <w:rsid w:val="00BF3F1E"/>
    <w:rsid w:val="00BF3F29"/>
    <w:rsid w:val="00BF4298"/>
    <w:rsid w:val="00BF4358"/>
    <w:rsid w:val="00BF44AB"/>
    <w:rsid w:val="00BF456A"/>
    <w:rsid w:val="00BF4632"/>
    <w:rsid w:val="00BF4686"/>
    <w:rsid w:val="00BF4850"/>
    <w:rsid w:val="00BF48DF"/>
    <w:rsid w:val="00BF4AC1"/>
    <w:rsid w:val="00BF4D8F"/>
    <w:rsid w:val="00BF4F4A"/>
    <w:rsid w:val="00BF50B1"/>
    <w:rsid w:val="00BF539D"/>
    <w:rsid w:val="00BF5BDA"/>
    <w:rsid w:val="00BF5D50"/>
    <w:rsid w:val="00BF609E"/>
    <w:rsid w:val="00BF6193"/>
    <w:rsid w:val="00BF6245"/>
    <w:rsid w:val="00BF655C"/>
    <w:rsid w:val="00BF66B6"/>
    <w:rsid w:val="00BF679E"/>
    <w:rsid w:val="00BF67AA"/>
    <w:rsid w:val="00BF680A"/>
    <w:rsid w:val="00BF6C9A"/>
    <w:rsid w:val="00BF6CD6"/>
    <w:rsid w:val="00BF6E68"/>
    <w:rsid w:val="00BF6F96"/>
    <w:rsid w:val="00BF70D4"/>
    <w:rsid w:val="00BF72FB"/>
    <w:rsid w:val="00BF73BC"/>
    <w:rsid w:val="00BF7457"/>
    <w:rsid w:val="00BF7479"/>
    <w:rsid w:val="00BF7767"/>
    <w:rsid w:val="00BF7784"/>
    <w:rsid w:val="00C00095"/>
    <w:rsid w:val="00C0086C"/>
    <w:rsid w:val="00C01040"/>
    <w:rsid w:val="00C01095"/>
    <w:rsid w:val="00C01114"/>
    <w:rsid w:val="00C0115B"/>
    <w:rsid w:val="00C012A6"/>
    <w:rsid w:val="00C016FF"/>
    <w:rsid w:val="00C01766"/>
    <w:rsid w:val="00C01D03"/>
    <w:rsid w:val="00C01F1A"/>
    <w:rsid w:val="00C01F4B"/>
    <w:rsid w:val="00C01F91"/>
    <w:rsid w:val="00C022AF"/>
    <w:rsid w:val="00C02304"/>
    <w:rsid w:val="00C02355"/>
    <w:rsid w:val="00C02717"/>
    <w:rsid w:val="00C0277D"/>
    <w:rsid w:val="00C027CE"/>
    <w:rsid w:val="00C0299B"/>
    <w:rsid w:val="00C029F4"/>
    <w:rsid w:val="00C02AEB"/>
    <w:rsid w:val="00C03080"/>
    <w:rsid w:val="00C03ADF"/>
    <w:rsid w:val="00C03AF7"/>
    <w:rsid w:val="00C03E62"/>
    <w:rsid w:val="00C03EB0"/>
    <w:rsid w:val="00C041D5"/>
    <w:rsid w:val="00C041F7"/>
    <w:rsid w:val="00C045DB"/>
    <w:rsid w:val="00C046F5"/>
    <w:rsid w:val="00C04903"/>
    <w:rsid w:val="00C04995"/>
    <w:rsid w:val="00C04AC9"/>
    <w:rsid w:val="00C0514C"/>
    <w:rsid w:val="00C053CA"/>
    <w:rsid w:val="00C05426"/>
    <w:rsid w:val="00C05571"/>
    <w:rsid w:val="00C0570B"/>
    <w:rsid w:val="00C05961"/>
    <w:rsid w:val="00C05B71"/>
    <w:rsid w:val="00C05E53"/>
    <w:rsid w:val="00C06007"/>
    <w:rsid w:val="00C0618D"/>
    <w:rsid w:val="00C063D1"/>
    <w:rsid w:val="00C06625"/>
    <w:rsid w:val="00C06701"/>
    <w:rsid w:val="00C0684F"/>
    <w:rsid w:val="00C06925"/>
    <w:rsid w:val="00C06A84"/>
    <w:rsid w:val="00C07064"/>
    <w:rsid w:val="00C07079"/>
    <w:rsid w:val="00C0717F"/>
    <w:rsid w:val="00C072FE"/>
    <w:rsid w:val="00C0787E"/>
    <w:rsid w:val="00C07E7F"/>
    <w:rsid w:val="00C100DD"/>
    <w:rsid w:val="00C10148"/>
    <w:rsid w:val="00C10280"/>
    <w:rsid w:val="00C1051B"/>
    <w:rsid w:val="00C10912"/>
    <w:rsid w:val="00C10980"/>
    <w:rsid w:val="00C10A16"/>
    <w:rsid w:val="00C10AD8"/>
    <w:rsid w:val="00C10B81"/>
    <w:rsid w:val="00C10D47"/>
    <w:rsid w:val="00C10D6C"/>
    <w:rsid w:val="00C10D96"/>
    <w:rsid w:val="00C10F63"/>
    <w:rsid w:val="00C110E4"/>
    <w:rsid w:val="00C1116C"/>
    <w:rsid w:val="00C11399"/>
    <w:rsid w:val="00C114C7"/>
    <w:rsid w:val="00C1165A"/>
    <w:rsid w:val="00C12054"/>
    <w:rsid w:val="00C125B2"/>
    <w:rsid w:val="00C12935"/>
    <w:rsid w:val="00C12AD7"/>
    <w:rsid w:val="00C12B5B"/>
    <w:rsid w:val="00C12BE2"/>
    <w:rsid w:val="00C133C4"/>
    <w:rsid w:val="00C13427"/>
    <w:rsid w:val="00C13552"/>
    <w:rsid w:val="00C13986"/>
    <w:rsid w:val="00C13C20"/>
    <w:rsid w:val="00C13F87"/>
    <w:rsid w:val="00C1410C"/>
    <w:rsid w:val="00C1431B"/>
    <w:rsid w:val="00C14674"/>
    <w:rsid w:val="00C1468A"/>
    <w:rsid w:val="00C14F42"/>
    <w:rsid w:val="00C14FA5"/>
    <w:rsid w:val="00C15005"/>
    <w:rsid w:val="00C15049"/>
    <w:rsid w:val="00C151A5"/>
    <w:rsid w:val="00C15374"/>
    <w:rsid w:val="00C15546"/>
    <w:rsid w:val="00C1577E"/>
    <w:rsid w:val="00C157F9"/>
    <w:rsid w:val="00C15AF4"/>
    <w:rsid w:val="00C16447"/>
    <w:rsid w:val="00C165CF"/>
    <w:rsid w:val="00C169C2"/>
    <w:rsid w:val="00C16B41"/>
    <w:rsid w:val="00C16ED6"/>
    <w:rsid w:val="00C17232"/>
    <w:rsid w:val="00C174F5"/>
    <w:rsid w:val="00C17515"/>
    <w:rsid w:val="00C17B92"/>
    <w:rsid w:val="00C17EA7"/>
    <w:rsid w:val="00C207A3"/>
    <w:rsid w:val="00C20863"/>
    <w:rsid w:val="00C20A40"/>
    <w:rsid w:val="00C20B4B"/>
    <w:rsid w:val="00C20D10"/>
    <w:rsid w:val="00C20D1F"/>
    <w:rsid w:val="00C20F37"/>
    <w:rsid w:val="00C20F8E"/>
    <w:rsid w:val="00C21034"/>
    <w:rsid w:val="00C213B6"/>
    <w:rsid w:val="00C213F0"/>
    <w:rsid w:val="00C2149C"/>
    <w:rsid w:val="00C216EF"/>
    <w:rsid w:val="00C2186E"/>
    <w:rsid w:val="00C218A6"/>
    <w:rsid w:val="00C21933"/>
    <w:rsid w:val="00C21C37"/>
    <w:rsid w:val="00C21CF9"/>
    <w:rsid w:val="00C21FE1"/>
    <w:rsid w:val="00C22100"/>
    <w:rsid w:val="00C22297"/>
    <w:rsid w:val="00C223E3"/>
    <w:rsid w:val="00C2299E"/>
    <w:rsid w:val="00C22A79"/>
    <w:rsid w:val="00C22A8E"/>
    <w:rsid w:val="00C22B43"/>
    <w:rsid w:val="00C22E9D"/>
    <w:rsid w:val="00C230F1"/>
    <w:rsid w:val="00C23364"/>
    <w:rsid w:val="00C23407"/>
    <w:rsid w:val="00C23632"/>
    <w:rsid w:val="00C23676"/>
    <w:rsid w:val="00C23803"/>
    <w:rsid w:val="00C2390A"/>
    <w:rsid w:val="00C23921"/>
    <w:rsid w:val="00C23A81"/>
    <w:rsid w:val="00C23B7F"/>
    <w:rsid w:val="00C23E62"/>
    <w:rsid w:val="00C24216"/>
    <w:rsid w:val="00C24241"/>
    <w:rsid w:val="00C245A2"/>
    <w:rsid w:val="00C246C1"/>
    <w:rsid w:val="00C2473D"/>
    <w:rsid w:val="00C2473E"/>
    <w:rsid w:val="00C2494A"/>
    <w:rsid w:val="00C24E4D"/>
    <w:rsid w:val="00C24F65"/>
    <w:rsid w:val="00C254BC"/>
    <w:rsid w:val="00C25A55"/>
    <w:rsid w:val="00C25C8B"/>
    <w:rsid w:val="00C25D15"/>
    <w:rsid w:val="00C25DC3"/>
    <w:rsid w:val="00C25DFC"/>
    <w:rsid w:val="00C25F51"/>
    <w:rsid w:val="00C2633F"/>
    <w:rsid w:val="00C26611"/>
    <w:rsid w:val="00C26673"/>
    <w:rsid w:val="00C26768"/>
    <w:rsid w:val="00C268AD"/>
    <w:rsid w:val="00C26B8E"/>
    <w:rsid w:val="00C26BBE"/>
    <w:rsid w:val="00C26BD6"/>
    <w:rsid w:val="00C26D31"/>
    <w:rsid w:val="00C26DBC"/>
    <w:rsid w:val="00C26F27"/>
    <w:rsid w:val="00C27060"/>
    <w:rsid w:val="00C272C0"/>
    <w:rsid w:val="00C27324"/>
    <w:rsid w:val="00C2732F"/>
    <w:rsid w:val="00C2742B"/>
    <w:rsid w:val="00C2756C"/>
    <w:rsid w:val="00C279AF"/>
    <w:rsid w:val="00C27A7E"/>
    <w:rsid w:val="00C27CEB"/>
    <w:rsid w:val="00C27E20"/>
    <w:rsid w:val="00C27E75"/>
    <w:rsid w:val="00C301FC"/>
    <w:rsid w:val="00C303DC"/>
    <w:rsid w:val="00C3052A"/>
    <w:rsid w:val="00C30575"/>
    <w:rsid w:val="00C305DF"/>
    <w:rsid w:val="00C306EC"/>
    <w:rsid w:val="00C30767"/>
    <w:rsid w:val="00C30782"/>
    <w:rsid w:val="00C30788"/>
    <w:rsid w:val="00C308E4"/>
    <w:rsid w:val="00C3094C"/>
    <w:rsid w:val="00C30AE4"/>
    <w:rsid w:val="00C30D10"/>
    <w:rsid w:val="00C30D80"/>
    <w:rsid w:val="00C30D84"/>
    <w:rsid w:val="00C30F8A"/>
    <w:rsid w:val="00C31302"/>
    <w:rsid w:val="00C3132B"/>
    <w:rsid w:val="00C31483"/>
    <w:rsid w:val="00C315B8"/>
    <w:rsid w:val="00C3188D"/>
    <w:rsid w:val="00C3192B"/>
    <w:rsid w:val="00C31C08"/>
    <w:rsid w:val="00C32059"/>
    <w:rsid w:val="00C322E6"/>
    <w:rsid w:val="00C323B7"/>
    <w:rsid w:val="00C325A5"/>
    <w:rsid w:val="00C3264B"/>
    <w:rsid w:val="00C32664"/>
    <w:rsid w:val="00C32974"/>
    <w:rsid w:val="00C32ACC"/>
    <w:rsid w:val="00C32DAC"/>
    <w:rsid w:val="00C330C7"/>
    <w:rsid w:val="00C33126"/>
    <w:rsid w:val="00C33181"/>
    <w:rsid w:val="00C33186"/>
    <w:rsid w:val="00C33356"/>
    <w:rsid w:val="00C336CA"/>
    <w:rsid w:val="00C337AB"/>
    <w:rsid w:val="00C33884"/>
    <w:rsid w:val="00C34037"/>
    <w:rsid w:val="00C340E7"/>
    <w:rsid w:val="00C344D7"/>
    <w:rsid w:val="00C34608"/>
    <w:rsid w:val="00C34C3C"/>
    <w:rsid w:val="00C34F99"/>
    <w:rsid w:val="00C34FCC"/>
    <w:rsid w:val="00C3533E"/>
    <w:rsid w:val="00C3563E"/>
    <w:rsid w:val="00C3568D"/>
    <w:rsid w:val="00C356EC"/>
    <w:rsid w:val="00C358A3"/>
    <w:rsid w:val="00C3625A"/>
    <w:rsid w:val="00C364C9"/>
    <w:rsid w:val="00C36C78"/>
    <w:rsid w:val="00C371BC"/>
    <w:rsid w:val="00C371CC"/>
    <w:rsid w:val="00C374D3"/>
    <w:rsid w:val="00C3756A"/>
    <w:rsid w:val="00C375E3"/>
    <w:rsid w:val="00C37B7B"/>
    <w:rsid w:val="00C37EAE"/>
    <w:rsid w:val="00C37F39"/>
    <w:rsid w:val="00C40502"/>
    <w:rsid w:val="00C4054F"/>
    <w:rsid w:val="00C405AF"/>
    <w:rsid w:val="00C405F0"/>
    <w:rsid w:val="00C40973"/>
    <w:rsid w:val="00C40B48"/>
    <w:rsid w:val="00C40D8C"/>
    <w:rsid w:val="00C40ED0"/>
    <w:rsid w:val="00C41021"/>
    <w:rsid w:val="00C41083"/>
    <w:rsid w:val="00C41126"/>
    <w:rsid w:val="00C415FB"/>
    <w:rsid w:val="00C41735"/>
    <w:rsid w:val="00C41864"/>
    <w:rsid w:val="00C41E53"/>
    <w:rsid w:val="00C4204E"/>
    <w:rsid w:val="00C42146"/>
    <w:rsid w:val="00C42158"/>
    <w:rsid w:val="00C423FC"/>
    <w:rsid w:val="00C425C2"/>
    <w:rsid w:val="00C42CEC"/>
    <w:rsid w:val="00C43066"/>
    <w:rsid w:val="00C43091"/>
    <w:rsid w:val="00C43B16"/>
    <w:rsid w:val="00C43DE2"/>
    <w:rsid w:val="00C44034"/>
    <w:rsid w:val="00C44485"/>
    <w:rsid w:val="00C44494"/>
    <w:rsid w:val="00C446B2"/>
    <w:rsid w:val="00C44857"/>
    <w:rsid w:val="00C4488E"/>
    <w:rsid w:val="00C44A8B"/>
    <w:rsid w:val="00C44BF7"/>
    <w:rsid w:val="00C44C01"/>
    <w:rsid w:val="00C44E34"/>
    <w:rsid w:val="00C44F31"/>
    <w:rsid w:val="00C45067"/>
    <w:rsid w:val="00C45548"/>
    <w:rsid w:val="00C45870"/>
    <w:rsid w:val="00C45876"/>
    <w:rsid w:val="00C45C5E"/>
    <w:rsid w:val="00C45F64"/>
    <w:rsid w:val="00C4654E"/>
    <w:rsid w:val="00C46D2D"/>
    <w:rsid w:val="00C46ED6"/>
    <w:rsid w:val="00C47205"/>
    <w:rsid w:val="00C473CA"/>
    <w:rsid w:val="00C47786"/>
    <w:rsid w:val="00C47825"/>
    <w:rsid w:val="00C47B4E"/>
    <w:rsid w:val="00C47FD3"/>
    <w:rsid w:val="00C500F0"/>
    <w:rsid w:val="00C50145"/>
    <w:rsid w:val="00C5025B"/>
    <w:rsid w:val="00C5030B"/>
    <w:rsid w:val="00C503C0"/>
    <w:rsid w:val="00C50427"/>
    <w:rsid w:val="00C5044D"/>
    <w:rsid w:val="00C504BC"/>
    <w:rsid w:val="00C50532"/>
    <w:rsid w:val="00C5068D"/>
    <w:rsid w:val="00C50DBD"/>
    <w:rsid w:val="00C50E0E"/>
    <w:rsid w:val="00C51027"/>
    <w:rsid w:val="00C51045"/>
    <w:rsid w:val="00C51334"/>
    <w:rsid w:val="00C51724"/>
    <w:rsid w:val="00C51D07"/>
    <w:rsid w:val="00C51DF5"/>
    <w:rsid w:val="00C51E3D"/>
    <w:rsid w:val="00C5206C"/>
    <w:rsid w:val="00C524E9"/>
    <w:rsid w:val="00C527AF"/>
    <w:rsid w:val="00C52B6D"/>
    <w:rsid w:val="00C52C30"/>
    <w:rsid w:val="00C52E40"/>
    <w:rsid w:val="00C52E77"/>
    <w:rsid w:val="00C5304D"/>
    <w:rsid w:val="00C531F4"/>
    <w:rsid w:val="00C533D9"/>
    <w:rsid w:val="00C533E0"/>
    <w:rsid w:val="00C535E5"/>
    <w:rsid w:val="00C5376A"/>
    <w:rsid w:val="00C53939"/>
    <w:rsid w:val="00C539CA"/>
    <w:rsid w:val="00C53A6B"/>
    <w:rsid w:val="00C53B0F"/>
    <w:rsid w:val="00C5409F"/>
    <w:rsid w:val="00C5449F"/>
    <w:rsid w:val="00C544E6"/>
    <w:rsid w:val="00C54684"/>
    <w:rsid w:val="00C546D3"/>
    <w:rsid w:val="00C54DDB"/>
    <w:rsid w:val="00C551A4"/>
    <w:rsid w:val="00C55442"/>
    <w:rsid w:val="00C5575F"/>
    <w:rsid w:val="00C558AA"/>
    <w:rsid w:val="00C55914"/>
    <w:rsid w:val="00C55960"/>
    <w:rsid w:val="00C55A3A"/>
    <w:rsid w:val="00C55BCB"/>
    <w:rsid w:val="00C55D4D"/>
    <w:rsid w:val="00C55D5E"/>
    <w:rsid w:val="00C55E64"/>
    <w:rsid w:val="00C56145"/>
    <w:rsid w:val="00C561ED"/>
    <w:rsid w:val="00C56541"/>
    <w:rsid w:val="00C56AA2"/>
    <w:rsid w:val="00C56BB3"/>
    <w:rsid w:val="00C56CA9"/>
    <w:rsid w:val="00C57072"/>
    <w:rsid w:val="00C574B4"/>
    <w:rsid w:val="00C57854"/>
    <w:rsid w:val="00C57B7C"/>
    <w:rsid w:val="00C57EF6"/>
    <w:rsid w:val="00C57FE4"/>
    <w:rsid w:val="00C6019A"/>
    <w:rsid w:val="00C602BD"/>
    <w:rsid w:val="00C6034C"/>
    <w:rsid w:val="00C6044D"/>
    <w:rsid w:val="00C60756"/>
    <w:rsid w:val="00C609BA"/>
    <w:rsid w:val="00C60C9F"/>
    <w:rsid w:val="00C60D9D"/>
    <w:rsid w:val="00C60DB5"/>
    <w:rsid w:val="00C60E2C"/>
    <w:rsid w:val="00C60EB9"/>
    <w:rsid w:val="00C60F8F"/>
    <w:rsid w:val="00C60FB1"/>
    <w:rsid w:val="00C611F3"/>
    <w:rsid w:val="00C6134C"/>
    <w:rsid w:val="00C614A7"/>
    <w:rsid w:val="00C617EB"/>
    <w:rsid w:val="00C61955"/>
    <w:rsid w:val="00C61AEF"/>
    <w:rsid w:val="00C61CD2"/>
    <w:rsid w:val="00C61DD5"/>
    <w:rsid w:val="00C621F6"/>
    <w:rsid w:val="00C622DC"/>
    <w:rsid w:val="00C62334"/>
    <w:rsid w:val="00C623B7"/>
    <w:rsid w:val="00C625B6"/>
    <w:rsid w:val="00C6292E"/>
    <w:rsid w:val="00C630A1"/>
    <w:rsid w:val="00C6324C"/>
    <w:rsid w:val="00C63687"/>
    <w:rsid w:val="00C637B6"/>
    <w:rsid w:val="00C6392C"/>
    <w:rsid w:val="00C63EE4"/>
    <w:rsid w:val="00C6445E"/>
    <w:rsid w:val="00C644C6"/>
    <w:rsid w:val="00C6462D"/>
    <w:rsid w:val="00C648CA"/>
    <w:rsid w:val="00C64A9F"/>
    <w:rsid w:val="00C64AA5"/>
    <w:rsid w:val="00C64D50"/>
    <w:rsid w:val="00C65089"/>
    <w:rsid w:val="00C6514B"/>
    <w:rsid w:val="00C652E0"/>
    <w:rsid w:val="00C65A3E"/>
    <w:rsid w:val="00C65D3C"/>
    <w:rsid w:val="00C65E1D"/>
    <w:rsid w:val="00C65E3B"/>
    <w:rsid w:val="00C65F30"/>
    <w:rsid w:val="00C66123"/>
    <w:rsid w:val="00C6614C"/>
    <w:rsid w:val="00C6618F"/>
    <w:rsid w:val="00C6647C"/>
    <w:rsid w:val="00C6683D"/>
    <w:rsid w:val="00C66B70"/>
    <w:rsid w:val="00C66E06"/>
    <w:rsid w:val="00C67004"/>
    <w:rsid w:val="00C672E5"/>
    <w:rsid w:val="00C673AE"/>
    <w:rsid w:val="00C6750D"/>
    <w:rsid w:val="00C67648"/>
    <w:rsid w:val="00C67B6D"/>
    <w:rsid w:val="00C67C6E"/>
    <w:rsid w:val="00C67C7A"/>
    <w:rsid w:val="00C67CEF"/>
    <w:rsid w:val="00C67EB3"/>
    <w:rsid w:val="00C700E6"/>
    <w:rsid w:val="00C70665"/>
    <w:rsid w:val="00C706F1"/>
    <w:rsid w:val="00C708B9"/>
    <w:rsid w:val="00C70990"/>
    <w:rsid w:val="00C70B66"/>
    <w:rsid w:val="00C70D3C"/>
    <w:rsid w:val="00C70EFE"/>
    <w:rsid w:val="00C710D0"/>
    <w:rsid w:val="00C711EF"/>
    <w:rsid w:val="00C71460"/>
    <w:rsid w:val="00C71971"/>
    <w:rsid w:val="00C71984"/>
    <w:rsid w:val="00C71ABB"/>
    <w:rsid w:val="00C71D11"/>
    <w:rsid w:val="00C72035"/>
    <w:rsid w:val="00C72170"/>
    <w:rsid w:val="00C723BA"/>
    <w:rsid w:val="00C7260D"/>
    <w:rsid w:val="00C72746"/>
    <w:rsid w:val="00C7292F"/>
    <w:rsid w:val="00C72967"/>
    <w:rsid w:val="00C72A05"/>
    <w:rsid w:val="00C72B25"/>
    <w:rsid w:val="00C72D6C"/>
    <w:rsid w:val="00C72F92"/>
    <w:rsid w:val="00C7301C"/>
    <w:rsid w:val="00C73180"/>
    <w:rsid w:val="00C73226"/>
    <w:rsid w:val="00C736CB"/>
    <w:rsid w:val="00C73733"/>
    <w:rsid w:val="00C73A00"/>
    <w:rsid w:val="00C73AA6"/>
    <w:rsid w:val="00C73ACE"/>
    <w:rsid w:val="00C73C4F"/>
    <w:rsid w:val="00C73CB8"/>
    <w:rsid w:val="00C73E8A"/>
    <w:rsid w:val="00C74117"/>
    <w:rsid w:val="00C74290"/>
    <w:rsid w:val="00C743BD"/>
    <w:rsid w:val="00C7484C"/>
    <w:rsid w:val="00C74B99"/>
    <w:rsid w:val="00C74C95"/>
    <w:rsid w:val="00C74DD3"/>
    <w:rsid w:val="00C7543D"/>
    <w:rsid w:val="00C75801"/>
    <w:rsid w:val="00C7590E"/>
    <w:rsid w:val="00C75B2D"/>
    <w:rsid w:val="00C75D0C"/>
    <w:rsid w:val="00C75F61"/>
    <w:rsid w:val="00C76077"/>
    <w:rsid w:val="00C760BD"/>
    <w:rsid w:val="00C76508"/>
    <w:rsid w:val="00C767CE"/>
    <w:rsid w:val="00C76A61"/>
    <w:rsid w:val="00C76AFF"/>
    <w:rsid w:val="00C76CA2"/>
    <w:rsid w:val="00C76D14"/>
    <w:rsid w:val="00C76D59"/>
    <w:rsid w:val="00C76E66"/>
    <w:rsid w:val="00C77056"/>
    <w:rsid w:val="00C771CF"/>
    <w:rsid w:val="00C77649"/>
    <w:rsid w:val="00C776D4"/>
    <w:rsid w:val="00C778E5"/>
    <w:rsid w:val="00C779CE"/>
    <w:rsid w:val="00C77AD8"/>
    <w:rsid w:val="00C77C28"/>
    <w:rsid w:val="00C77F6E"/>
    <w:rsid w:val="00C80040"/>
    <w:rsid w:val="00C801C7"/>
    <w:rsid w:val="00C802CC"/>
    <w:rsid w:val="00C806A1"/>
    <w:rsid w:val="00C80A0B"/>
    <w:rsid w:val="00C80AAD"/>
    <w:rsid w:val="00C80C26"/>
    <w:rsid w:val="00C80E83"/>
    <w:rsid w:val="00C8110C"/>
    <w:rsid w:val="00C812A2"/>
    <w:rsid w:val="00C814B5"/>
    <w:rsid w:val="00C81506"/>
    <w:rsid w:val="00C81692"/>
    <w:rsid w:val="00C81BB2"/>
    <w:rsid w:val="00C81C2D"/>
    <w:rsid w:val="00C81C34"/>
    <w:rsid w:val="00C81E3C"/>
    <w:rsid w:val="00C81E67"/>
    <w:rsid w:val="00C81FA8"/>
    <w:rsid w:val="00C82051"/>
    <w:rsid w:val="00C821EE"/>
    <w:rsid w:val="00C82986"/>
    <w:rsid w:val="00C82A00"/>
    <w:rsid w:val="00C82CD7"/>
    <w:rsid w:val="00C82E18"/>
    <w:rsid w:val="00C82E4E"/>
    <w:rsid w:val="00C8311B"/>
    <w:rsid w:val="00C83263"/>
    <w:rsid w:val="00C83663"/>
    <w:rsid w:val="00C838A0"/>
    <w:rsid w:val="00C83A04"/>
    <w:rsid w:val="00C83A77"/>
    <w:rsid w:val="00C83C90"/>
    <w:rsid w:val="00C83C91"/>
    <w:rsid w:val="00C8496E"/>
    <w:rsid w:val="00C84C30"/>
    <w:rsid w:val="00C84CB5"/>
    <w:rsid w:val="00C84F32"/>
    <w:rsid w:val="00C853D1"/>
    <w:rsid w:val="00C85460"/>
    <w:rsid w:val="00C85945"/>
    <w:rsid w:val="00C85A43"/>
    <w:rsid w:val="00C85B95"/>
    <w:rsid w:val="00C85BAA"/>
    <w:rsid w:val="00C85C30"/>
    <w:rsid w:val="00C85C77"/>
    <w:rsid w:val="00C85E06"/>
    <w:rsid w:val="00C863C4"/>
    <w:rsid w:val="00C86477"/>
    <w:rsid w:val="00C869AE"/>
    <w:rsid w:val="00C869E3"/>
    <w:rsid w:val="00C86A40"/>
    <w:rsid w:val="00C86B1D"/>
    <w:rsid w:val="00C87156"/>
    <w:rsid w:val="00C873B4"/>
    <w:rsid w:val="00C8751F"/>
    <w:rsid w:val="00C87BB8"/>
    <w:rsid w:val="00C87C60"/>
    <w:rsid w:val="00C87F37"/>
    <w:rsid w:val="00C9000A"/>
    <w:rsid w:val="00C9030C"/>
    <w:rsid w:val="00C9081F"/>
    <w:rsid w:val="00C90885"/>
    <w:rsid w:val="00C90F16"/>
    <w:rsid w:val="00C91022"/>
    <w:rsid w:val="00C91250"/>
    <w:rsid w:val="00C91972"/>
    <w:rsid w:val="00C91AA4"/>
    <w:rsid w:val="00C91ADF"/>
    <w:rsid w:val="00C92524"/>
    <w:rsid w:val="00C9252D"/>
    <w:rsid w:val="00C925BC"/>
    <w:rsid w:val="00C92635"/>
    <w:rsid w:val="00C927BC"/>
    <w:rsid w:val="00C92874"/>
    <w:rsid w:val="00C929EF"/>
    <w:rsid w:val="00C9303D"/>
    <w:rsid w:val="00C930C9"/>
    <w:rsid w:val="00C9316D"/>
    <w:rsid w:val="00C93224"/>
    <w:rsid w:val="00C93451"/>
    <w:rsid w:val="00C9373C"/>
    <w:rsid w:val="00C938B2"/>
    <w:rsid w:val="00C939E9"/>
    <w:rsid w:val="00C9432F"/>
    <w:rsid w:val="00C945FB"/>
    <w:rsid w:val="00C94ADB"/>
    <w:rsid w:val="00C94C38"/>
    <w:rsid w:val="00C94D10"/>
    <w:rsid w:val="00C94E13"/>
    <w:rsid w:val="00C94EDC"/>
    <w:rsid w:val="00C95037"/>
    <w:rsid w:val="00C9514D"/>
    <w:rsid w:val="00C95258"/>
    <w:rsid w:val="00C95347"/>
    <w:rsid w:val="00C95593"/>
    <w:rsid w:val="00C95911"/>
    <w:rsid w:val="00C95CDB"/>
    <w:rsid w:val="00C95E2B"/>
    <w:rsid w:val="00C96141"/>
    <w:rsid w:val="00C9616A"/>
    <w:rsid w:val="00C964E8"/>
    <w:rsid w:val="00C96817"/>
    <w:rsid w:val="00C96E25"/>
    <w:rsid w:val="00C96ED2"/>
    <w:rsid w:val="00C97020"/>
    <w:rsid w:val="00C97124"/>
    <w:rsid w:val="00C97186"/>
    <w:rsid w:val="00C972CA"/>
    <w:rsid w:val="00C9750D"/>
    <w:rsid w:val="00C97535"/>
    <w:rsid w:val="00C976FE"/>
    <w:rsid w:val="00C97765"/>
    <w:rsid w:val="00C97859"/>
    <w:rsid w:val="00C97B99"/>
    <w:rsid w:val="00C97E97"/>
    <w:rsid w:val="00C97F38"/>
    <w:rsid w:val="00CA06C3"/>
    <w:rsid w:val="00CA0D5B"/>
    <w:rsid w:val="00CA0F53"/>
    <w:rsid w:val="00CA0F5D"/>
    <w:rsid w:val="00CA0F8B"/>
    <w:rsid w:val="00CA102E"/>
    <w:rsid w:val="00CA10BE"/>
    <w:rsid w:val="00CA1202"/>
    <w:rsid w:val="00CA155C"/>
    <w:rsid w:val="00CA165D"/>
    <w:rsid w:val="00CA1A83"/>
    <w:rsid w:val="00CA1BC7"/>
    <w:rsid w:val="00CA1C14"/>
    <w:rsid w:val="00CA1C8D"/>
    <w:rsid w:val="00CA25A7"/>
    <w:rsid w:val="00CA290F"/>
    <w:rsid w:val="00CA2C15"/>
    <w:rsid w:val="00CA2FA7"/>
    <w:rsid w:val="00CA326F"/>
    <w:rsid w:val="00CA3295"/>
    <w:rsid w:val="00CA35F6"/>
    <w:rsid w:val="00CA36BB"/>
    <w:rsid w:val="00CA3906"/>
    <w:rsid w:val="00CA3978"/>
    <w:rsid w:val="00CA3AF8"/>
    <w:rsid w:val="00CA3C33"/>
    <w:rsid w:val="00CA3E13"/>
    <w:rsid w:val="00CA4001"/>
    <w:rsid w:val="00CA42CF"/>
    <w:rsid w:val="00CA456F"/>
    <w:rsid w:val="00CA4743"/>
    <w:rsid w:val="00CA4748"/>
    <w:rsid w:val="00CA477E"/>
    <w:rsid w:val="00CA4837"/>
    <w:rsid w:val="00CA48BB"/>
    <w:rsid w:val="00CA4A99"/>
    <w:rsid w:val="00CA4BB7"/>
    <w:rsid w:val="00CA4CB3"/>
    <w:rsid w:val="00CA4D6B"/>
    <w:rsid w:val="00CA51C1"/>
    <w:rsid w:val="00CA5469"/>
    <w:rsid w:val="00CA55EA"/>
    <w:rsid w:val="00CA59B7"/>
    <w:rsid w:val="00CA59E1"/>
    <w:rsid w:val="00CA5F50"/>
    <w:rsid w:val="00CA5FAF"/>
    <w:rsid w:val="00CA63A1"/>
    <w:rsid w:val="00CA6456"/>
    <w:rsid w:val="00CA655D"/>
    <w:rsid w:val="00CA6873"/>
    <w:rsid w:val="00CA68E1"/>
    <w:rsid w:val="00CA69C0"/>
    <w:rsid w:val="00CA6C6D"/>
    <w:rsid w:val="00CA73C7"/>
    <w:rsid w:val="00CA7489"/>
    <w:rsid w:val="00CA76C4"/>
    <w:rsid w:val="00CA7709"/>
    <w:rsid w:val="00CA7773"/>
    <w:rsid w:val="00CA7DB9"/>
    <w:rsid w:val="00CB01E1"/>
    <w:rsid w:val="00CB03AB"/>
    <w:rsid w:val="00CB0963"/>
    <w:rsid w:val="00CB0D6E"/>
    <w:rsid w:val="00CB103B"/>
    <w:rsid w:val="00CB10C3"/>
    <w:rsid w:val="00CB14DC"/>
    <w:rsid w:val="00CB15D2"/>
    <w:rsid w:val="00CB1730"/>
    <w:rsid w:val="00CB178C"/>
    <w:rsid w:val="00CB18E5"/>
    <w:rsid w:val="00CB1B35"/>
    <w:rsid w:val="00CB1C7A"/>
    <w:rsid w:val="00CB1DA4"/>
    <w:rsid w:val="00CB1ED6"/>
    <w:rsid w:val="00CB2105"/>
    <w:rsid w:val="00CB230F"/>
    <w:rsid w:val="00CB23E7"/>
    <w:rsid w:val="00CB2602"/>
    <w:rsid w:val="00CB2ACF"/>
    <w:rsid w:val="00CB2B66"/>
    <w:rsid w:val="00CB2FAE"/>
    <w:rsid w:val="00CB3128"/>
    <w:rsid w:val="00CB3629"/>
    <w:rsid w:val="00CB3654"/>
    <w:rsid w:val="00CB366E"/>
    <w:rsid w:val="00CB3A5A"/>
    <w:rsid w:val="00CB3B67"/>
    <w:rsid w:val="00CB3BC5"/>
    <w:rsid w:val="00CB4074"/>
    <w:rsid w:val="00CB41B6"/>
    <w:rsid w:val="00CB42AB"/>
    <w:rsid w:val="00CB499C"/>
    <w:rsid w:val="00CB5026"/>
    <w:rsid w:val="00CB52E6"/>
    <w:rsid w:val="00CB5B24"/>
    <w:rsid w:val="00CB5CCD"/>
    <w:rsid w:val="00CB5DC6"/>
    <w:rsid w:val="00CB5E58"/>
    <w:rsid w:val="00CB5EA7"/>
    <w:rsid w:val="00CB63C1"/>
    <w:rsid w:val="00CB6868"/>
    <w:rsid w:val="00CB686F"/>
    <w:rsid w:val="00CB691E"/>
    <w:rsid w:val="00CB6A5A"/>
    <w:rsid w:val="00CB7303"/>
    <w:rsid w:val="00CB73AD"/>
    <w:rsid w:val="00CB73D9"/>
    <w:rsid w:val="00CB74FE"/>
    <w:rsid w:val="00CB751D"/>
    <w:rsid w:val="00CB786C"/>
    <w:rsid w:val="00CC03D6"/>
    <w:rsid w:val="00CC040B"/>
    <w:rsid w:val="00CC04FA"/>
    <w:rsid w:val="00CC057F"/>
    <w:rsid w:val="00CC077F"/>
    <w:rsid w:val="00CC0AF4"/>
    <w:rsid w:val="00CC0D08"/>
    <w:rsid w:val="00CC0E86"/>
    <w:rsid w:val="00CC0E89"/>
    <w:rsid w:val="00CC0FEE"/>
    <w:rsid w:val="00CC1137"/>
    <w:rsid w:val="00CC135B"/>
    <w:rsid w:val="00CC14E2"/>
    <w:rsid w:val="00CC1955"/>
    <w:rsid w:val="00CC1974"/>
    <w:rsid w:val="00CC1ABB"/>
    <w:rsid w:val="00CC1F12"/>
    <w:rsid w:val="00CC1FD0"/>
    <w:rsid w:val="00CC2154"/>
    <w:rsid w:val="00CC2199"/>
    <w:rsid w:val="00CC21F5"/>
    <w:rsid w:val="00CC254B"/>
    <w:rsid w:val="00CC26AE"/>
    <w:rsid w:val="00CC2AB1"/>
    <w:rsid w:val="00CC2BA6"/>
    <w:rsid w:val="00CC2E1F"/>
    <w:rsid w:val="00CC2E5D"/>
    <w:rsid w:val="00CC2F56"/>
    <w:rsid w:val="00CC309B"/>
    <w:rsid w:val="00CC33C5"/>
    <w:rsid w:val="00CC3465"/>
    <w:rsid w:val="00CC34C6"/>
    <w:rsid w:val="00CC3695"/>
    <w:rsid w:val="00CC45D8"/>
    <w:rsid w:val="00CC4625"/>
    <w:rsid w:val="00CC4751"/>
    <w:rsid w:val="00CC47ED"/>
    <w:rsid w:val="00CC49A7"/>
    <w:rsid w:val="00CC4B6F"/>
    <w:rsid w:val="00CC4CE5"/>
    <w:rsid w:val="00CC4E9C"/>
    <w:rsid w:val="00CC5088"/>
    <w:rsid w:val="00CC5359"/>
    <w:rsid w:val="00CC604B"/>
    <w:rsid w:val="00CC643D"/>
    <w:rsid w:val="00CC6B4D"/>
    <w:rsid w:val="00CC6CC6"/>
    <w:rsid w:val="00CC6F5B"/>
    <w:rsid w:val="00CC72B4"/>
    <w:rsid w:val="00CC751C"/>
    <w:rsid w:val="00CC7EB6"/>
    <w:rsid w:val="00CC7FCB"/>
    <w:rsid w:val="00CC7FE4"/>
    <w:rsid w:val="00CD00A7"/>
    <w:rsid w:val="00CD02EE"/>
    <w:rsid w:val="00CD06A4"/>
    <w:rsid w:val="00CD089F"/>
    <w:rsid w:val="00CD0D18"/>
    <w:rsid w:val="00CD0FAF"/>
    <w:rsid w:val="00CD133B"/>
    <w:rsid w:val="00CD16B0"/>
    <w:rsid w:val="00CD16D8"/>
    <w:rsid w:val="00CD1700"/>
    <w:rsid w:val="00CD1BF8"/>
    <w:rsid w:val="00CD1C4F"/>
    <w:rsid w:val="00CD1C8E"/>
    <w:rsid w:val="00CD1CA2"/>
    <w:rsid w:val="00CD2420"/>
    <w:rsid w:val="00CD2531"/>
    <w:rsid w:val="00CD2731"/>
    <w:rsid w:val="00CD286D"/>
    <w:rsid w:val="00CD2B65"/>
    <w:rsid w:val="00CD2C9A"/>
    <w:rsid w:val="00CD2DB6"/>
    <w:rsid w:val="00CD2FAC"/>
    <w:rsid w:val="00CD2FCA"/>
    <w:rsid w:val="00CD315C"/>
    <w:rsid w:val="00CD3351"/>
    <w:rsid w:val="00CD3643"/>
    <w:rsid w:val="00CD425C"/>
    <w:rsid w:val="00CD4321"/>
    <w:rsid w:val="00CD46B6"/>
    <w:rsid w:val="00CD49BE"/>
    <w:rsid w:val="00CD4C02"/>
    <w:rsid w:val="00CD4D5B"/>
    <w:rsid w:val="00CD4EDD"/>
    <w:rsid w:val="00CD55BD"/>
    <w:rsid w:val="00CD562A"/>
    <w:rsid w:val="00CD58CE"/>
    <w:rsid w:val="00CD5B2C"/>
    <w:rsid w:val="00CD5BCC"/>
    <w:rsid w:val="00CD5BE7"/>
    <w:rsid w:val="00CD5CFB"/>
    <w:rsid w:val="00CD5DEF"/>
    <w:rsid w:val="00CD6096"/>
    <w:rsid w:val="00CD60E5"/>
    <w:rsid w:val="00CD6100"/>
    <w:rsid w:val="00CD62AF"/>
    <w:rsid w:val="00CD6434"/>
    <w:rsid w:val="00CD6879"/>
    <w:rsid w:val="00CD6B00"/>
    <w:rsid w:val="00CD755D"/>
    <w:rsid w:val="00CD76EA"/>
    <w:rsid w:val="00CD7AF9"/>
    <w:rsid w:val="00CE042D"/>
    <w:rsid w:val="00CE0DE6"/>
    <w:rsid w:val="00CE0EE5"/>
    <w:rsid w:val="00CE0FE6"/>
    <w:rsid w:val="00CE1518"/>
    <w:rsid w:val="00CE1529"/>
    <w:rsid w:val="00CE1813"/>
    <w:rsid w:val="00CE19C9"/>
    <w:rsid w:val="00CE1B4B"/>
    <w:rsid w:val="00CE1D20"/>
    <w:rsid w:val="00CE21FA"/>
    <w:rsid w:val="00CE24C6"/>
    <w:rsid w:val="00CE28F9"/>
    <w:rsid w:val="00CE2957"/>
    <w:rsid w:val="00CE29A1"/>
    <w:rsid w:val="00CE2A2D"/>
    <w:rsid w:val="00CE2A87"/>
    <w:rsid w:val="00CE2A89"/>
    <w:rsid w:val="00CE2D55"/>
    <w:rsid w:val="00CE2E6D"/>
    <w:rsid w:val="00CE3029"/>
    <w:rsid w:val="00CE34A6"/>
    <w:rsid w:val="00CE3571"/>
    <w:rsid w:val="00CE3DFE"/>
    <w:rsid w:val="00CE3FB2"/>
    <w:rsid w:val="00CE4133"/>
    <w:rsid w:val="00CE44CB"/>
    <w:rsid w:val="00CE4718"/>
    <w:rsid w:val="00CE4774"/>
    <w:rsid w:val="00CE49B2"/>
    <w:rsid w:val="00CE4CAD"/>
    <w:rsid w:val="00CE4D18"/>
    <w:rsid w:val="00CE4D26"/>
    <w:rsid w:val="00CE54F6"/>
    <w:rsid w:val="00CE5887"/>
    <w:rsid w:val="00CE5A67"/>
    <w:rsid w:val="00CE5A79"/>
    <w:rsid w:val="00CE5B66"/>
    <w:rsid w:val="00CE5E0F"/>
    <w:rsid w:val="00CE610A"/>
    <w:rsid w:val="00CE62E3"/>
    <w:rsid w:val="00CE6356"/>
    <w:rsid w:val="00CE64E7"/>
    <w:rsid w:val="00CE6508"/>
    <w:rsid w:val="00CE6D9A"/>
    <w:rsid w:val="00CE7130"/>
    <w:rsid w:val="00CE7564"/>
    <w:rsid w:val="00CE77A5"/>
    <w:rsid w:val="00CE7826"/>
    <w:rsid w:val="00CF046B"/>
    <w:rsid w:val="00CF0879"/>
    <w:rsid w:val="00CF08E1"/>
    <w:rsid w:val="00CF096F"/>
    <w:rsid w:val="00CF09D1"/>
    <w:rsid w:val="00CF0A09"/>
    <w:rsid w:val="00CF0BDD"/>
    <w:rsid w:val="00CF12A4"/>
    <w:rsid w:val="00CF12A5"/>
    <w:rsid w:val="00CF1945"/>
    <w:rsid w:val="00CF1A2B"/>
    <w:rsid w:val="00CF1A6D"/>
    <w:rsid w:val="00CF1CDD"/>
    <w:rsid w:val="00CF1EF6"/>
    <w:rsid w:val="00CF2803"/>
    <w:rsid w:val="00CF2A7C"/>
    <w:rsid w:val="00CF2C87"/>
    <w:rsid w:val="00CF2D28"/>
    <w:rsid w:val="00CF2F63"/>
    <w:rsid w:val="00CF313F"/>
    <w:rsid w:val="00CF34A9"/>
    <w:rsid w:val="00CF35E9"/>
    <w:rsid w:val="00CF3A0F"/>
    <w:rsid w:val="00CF3A61"/>
    <w:rsid w:val="00CF3ABC"/>
    <w:rsid w:val="00CF3FD7"/>
    <w:rsid w:val="00CF43F5"/>
    <w:rsid w:val="00CF446F"/>
    <w:rsid w:val="00CF44F8"/>
    <w:rsid w:val="00CF4525"/>
    <w:rsid w:val="00CF4756"/>
    <w:rsid w:val="00CF484A"/>
    <w:rsid w:val="00CF4E05"/>
    <w:rsid w:val="00CF527D"/>
    <w:rsid w:val="00CF567F"/>
    <w:rsid w:val="00CF589D"/>
    <w:rsid w:val="00CF5A63"/>
    <w:rsid w:val="00CF5B5C"/>
    <w:rsid w:val="00CF5D74"/>
    <w:rsid w:val="00CF5E12"/>
    <w:rsid w:val="00CF6330"/>
    <w:rsid w:val="00CF646A"/>
    <w:rsid w:val="00CF6504"/>
    <w:rsid w:val="00CF65F2"/>
    <w:rsid w:val="00CF6A39"/>
    <w:rsid w:val="00CF6AB3"/>
    <w:rsid w:val="00CF6E47"/>
    <w:rsid w:val="00CF6E80"/>
    <w:rsid w:val="00CF79E6"/>
    <w:rsid w:val="00CF7BF6"/>
    <w:rsid w:val="00CF7CAA"/>
    <w:rsid w:val="00D0045D"/>
    <w:rsid w:val="00D009EE"/>
    <w:rsid w:val="00D00DA7"/>
    <w:rsid w:val="00D00EB7"/>
    <w:rsid w:val="00D00F28"/>
    <w:rsid w:val="00D00F9D"/>
    <w:rsid w:val="00D01143"/>
    <w:rsid w:val="00D01195"/>
    <w:rsid w:val="00D01523"/>
    <w:rsid w:val="00D01703"/>
    <w:rsid w:val="00D01728"/>
    <w:rsid w:val="00D0178D"/>
    <w:rsid w:val="00D01B25"/>
    <w:rsid w:val="00D01C07"/>
    <w:rsid w:val="00D01DFC"/>
    <w:rsid w:val="00D01E8A"/>
    <w:rsid w:val="00D01F4A"/>
    <w:rsid w:val="00D0228F"/>
    <w:rsid w:val="00D02A70"/>
    <w:rsid w:val="00D02DE6"/>
    <w:rsid w:val="00D0309A"/>
    <w:rsid w:val="00D03254"/>
    <w:rsid w:val="00D033E4"/>
    <w:rsid w:val="00D0349D"/>
    <w:rsid w:val="00D035A3"/>
    <w:rsid w:val="00D0398F"/>
    <w:rsid w:val="00D039E9"/>
    <w:rsid w:val="00D03B23"/>
    <w:rsid w:val="00D03D6F"/>
    <w:rsid w:val="00D03F63"/>
    <w:rsid w:val="00D03FB9"/>
    <w:rsid w:val="00D04148"/>
    <w:rsid w:val="00D0433C"/>
    <w:rsid w:val="00D043CA"/>
    <w:rsid w:val="00D04645"/>
    <w:rsid w:val="00D04725"/>
    <w:rsid w:val="00D04757"/>
    <w:rsid w:val="00D04817"/>
    <w:rsid w:val="00D04827"/>
    <w:rsid w:val="00D04A1E"/>
    <w:rsid w:val="00D04C15"/>
    <w:rsid w:val="00D04E51"/>
    <w:rsid w:val="00D0503C"/>
    <w:rsid w:val="00D053DF"/>
    <w:rsid w:val="00D0540B"/>
    <w:rsid w:val="00D05432"/>
    <w:rsid w:val="00D05439"/>
    <w:rsid w:val="00D0543D"/>
    <w:rsid w:val="00D05499"/>
    <w:rsid w:val="00D05B78"/>
    <w:rsid w:val="00D05E62"/>
    <w:rsid w:val="00D05EFC"/>
    <w:rsid w:val="00D05F1E"/>
    <w:rsid w:val="00D064B6"/>
    <w:rsid w:val="00D064CC"/>
    <w:rsid w:val="00D065EA"/>
    <w:rsid w:val="00D0676D"/>
    <w:rsid w:val="00D068C3"/>
    <w:rsid w:val="00D06A36"/>
    <w:rsid w:val="00D06A57"/>
    <w:rsid w:val="00D06B35"/>
    <w:rsid w:val="00D06DAD"/>
    <w:rsid w:val="00D06EBD"/>
    <w:rsid w:val="00D07286"/>
    <w:rsid w:val="00D074B0"/>
    <w:rsid w:val="00D07623"/>
    <w:rsid w:val="00D07B2B"/>
    <w:rsid w:val="00D07E83"/>
    <w:rsid w:val="00D07FA6"/>
    <w:rsid w:val="00D100A3"/>
    <w:rsid w:val="00D10335"/>
    <w:rsid w:val="00D10386"/>
    <w:rsid w:val="00D103D7"/>
    <w:rsid w:val="00D1040A"/>
    <w:rsid w:val="00D1041C"/>
    <w:rsid w:val="00D10664"/>
    <w:rsid w:val="00D10771"/>
    <w:rsid w:val="00D107CD"/>
    <w:rsid w:val="00D1089A"/>
    <w:rsid w:val="00D1092A"/>
    <w:rsid w:val="00D10A3D"/>
    <w:rsid w:val="00D10BAF"/>
    <w:rsid w:val="00D10C6B"/>
    <w:rsid w:val="00D111B0"/>
    <w:rsid w:val="00D11503"/>
    <w:rsid w:val="00D119B1"/>
    <w:rsid w:val="00D12139"/>
    <w:rsid w:val="00D121EC"/>
    <w:rsid w:val="00D123B3"/>
    <w:rsid w:val="00D127DA"/>
    <w:rsid w:val="00D128D0"/>
    <w:rsid w:val="00D1291F"/>
    <w:rsid w:val="00D12DA0"/>
    <w:rsid w:val="00D13D4D"/>
    <w:rsid w:val="00D13EE9"/>
    <w:rsid w:val="00D145A1"/>
    <w:rsid w:val="00D145ED"/>
    <w:rsid w:val="00D146D6"/>
    <w:rsid w:val="00D146E0"/>
    <w:rsid w:val="00D147EE"/>
    <w:rsid w:val="00D1480B"/>
    <w:rsid w:val="00D1488F"/>
    <w:rsid w:val="00D1504E"/>
    <w:rsid w:val="00D159C9"/>
    <w:rsid w:val="00D15AAD"/>
    <w:rsid w:val="00D15AFB"/>
    <w:rsid w:val="00D15B9B"/>
    <w:rsid w:val="00D15F58"/>
    <w:rsid w:val="00D1602E"/>
    <w:rsid w:val="00D160AE"/>
    <w:rsid w:val="00D16742"/>
    <w:rsid w:val="00D167E4"/>
    <w:rsid w:val="00D16B30"/>
    <w:rsid w:val="00D16C27"/>
    <w:rsid w:val="00D17224"/>
    <w:rsid w:val="00D1724D"/>
    <w:rsid w:val="00D17A66"/>
    <w:rsid w:val="00D17BAF"/>
    <w:rsid w:val="00D17C2D"/>
    <w:rsid w:val="00D17C75"/>
    <w:rsid w:val="00D17CC4"/>
    <w:rsid w:val="00D17DD4"/>
    <w:rsid w:val="00D2023B"/>
    <w:rsid w:val="00D20472"/>
    <w:rsid w:val="00D205DE"/>
    <w:rsid w:val="00D206E6"/>
    <w:rsid w:val="00D207FE"/>
    <w:rsid w:val="00D20B15"/>
    <w:rsid w:val="00D20C66"/>
    <w:rsid w:val="00D20FFC"/>
    <w:rsid w:val="00D21678"/>
    <w:rsid w:val="00D21AE2"/>
    <w:rsid w:val="00D21C83"/>
    <w:rsid w:val="00D21D40"/>
    <w:rsid w:val="00D21D9A"/>
    <w:rsid w:val="00D21ED2"/>
    <w:rsid w:val="00D2214A"/>
    <w:rsid w:val="00D2222F"/>
    <w:rsid w:val="00D22405"/>
    <w:rsid w:val="00D228FE"/>
    <w:rsid w:val="00D22A7F"/>
    <w:rsid w:val="00D22DED"/>
    <w:rsid w:val="00D22E58"/>
    <w:rsid w:val="00D2308D"/>
    <w:rsid w:val="00D2326E"/>
    <w:rsid w:val="00D2358B"/>
    <w:rsid w:val="00D23665"/>
    <w:rsid w:val="00D2366B"/>
    <w:rsid w:val="00D237F8"/>
    <w:rsid w:val="00D23AFD"/>
    <w:rsid w:val="00D23C25"/>
    <w:rsid w:val="00D23CAC"/>
    <w:rsid w:val="00D23E4F"/>
    <w:rsid w:val="00D2471D"/>
    <w:rsid w:val="00D2473B"/>
    <w:rsid w:val="00D2474A"/>
    <w:rsid w:val="00D247B0"/>
    <w:rsid w:val="00D24A7C"/>
    <w:rsid w:val="00D24B0E"/>
    <w:rsid w:val="00D24C97"/>
    <w:rsid w:val="00D24CEB"/>
    <w:rsid w:val="00D24DE5"/>
    <w:rsid w:val="00D24E7A"/>
    <w:rsid w:val="00D251EF"/>
    <w:rsid w:val="00D25696"/>
    <w:rsid w:val="00D2586E"/>
    <w:rsid w:val="00D25926"/>
    <w:rsid w:val="00D25AD1"/>
    <w:rsid w:val="00D25CE7"/>
    <w:rsid w:val="00D260ED"/>
    <w:rsid w:val="00D264B8"/>
    <w:rsid w:val="00D26893"/>
    <w:rsid w:val="00D26AA0"/>
    <w:rsid w:val="00D26CAD"/>
    <w:rsid w:val="00D26CAE"/>
    <w:rsid w:val="00D26D0D"/>
    <w:rsid w:val="00D2707A"/>
    <w:rsid w:val="00D27238"/>
    <w:rsid w:val="00D274B6"/>
    <w:rsid w:val="00D2766D"/>
    <w:rsid w:val="00D27A49"/>
    <w:rsid w:val="00D27ABC"/>
    <w:rsid w:val="00D27CBC"/>
    <w:rsid w:val="00D27DCA"/>
    <w:rsid w:val="00D27FD7"/>
    <w:rsid w:val="00D302E1"/>
    <w:rsid w:val="00D30901"/>
    <w:rsid w:val="00D31021"/>
    <w:rsid w:val="00D310B5"/>
    <w:rsid w:val="00D310F8"/>
    <w:rsid w:val="00D311CC"/>
    <w:rsid w:val="00D31357"/>
    <w:rsid w:val="00D316A1"/>
    <w:rsid w:val="00D31773"/>
    <w:rsid w:val="00D31793"/>
    <w:rsid w:val="00D317F7"/>
    <w:rsid w:val="00D318B0"/>
    <w:rsid w:val="00D31A64"/>
    <w:rsid w:val="00D31A8B"/>
    <w:rsid w:val="00D31E58"/>
    <w:rsid w:val="00D31F62"/>
    <w:rsid w:val="00D32393"/>
    <w:rsid w:val="00D326B7"/>
    <w:rsid w:val="00D3271A"/>
    <w:rsid w:val="00D327AC"/>
    <w:rsid w:val="00D32804"/>
    <w:rsid w:val="00D32C36"/>
    <w:rsid w:val="00D32CEF"/>
    <w:rsid w:val="00D32D0C"/>
    <w:rsid w:val="00D32DDA"/>
    <w:rsid w:val="00D32E63"/>
    <w:rsid w:val="00D32F68"/>
    <w:rsid w:val="00D3347B"/>
    <w:rsid w:val="00D334E9"/>
    <w:rsid w:val="00D33A64"/>
    <w:rsid w:val="00D33B14"/>
    <w:rsid w:val="00D33CCA"/>
    <w:rsid w:val="00D33E15"/>
    <w:rsid w:val="00D33E9F"/>
    <w:rsid w:val="00D33FBB"/>
    <w:rsid w:val="00D34123"/>
    <w:rsid w:val="00D34171"/>
    <w:rsid w:val="00D34177"/>
    <w:rsid w:val="00D342E0"/>
    <w:rsid w:val="00D34372"/>
    <w:rsid w:val="00D3498F"/>
    <w:rsid w:val="00D349DB"/>
    <w:rsid w:val="00D34A90"/>
    <w:rsid w:val="00D34A97"/>
    <w:rsid w:val="00D34B4C"/>
    <w:rsid w:val="00D34BB7"/>
    <w:rsid w:val="00D34F49"/>
    <w:rsid w:val="00D35006"/>
    <w:rsid w:val="00D35487"/>
    <w:rsid w:val="00D35616"/>
    <w:rsid w:val="00D35933"/>
    <w:rsid w:val="00D35EA3"/>
    <w:rsid w:val="00D35F0D"/>
    <w:rsid w:val="00D35FFB"/>
    <w:rsid w:val="00D36108"/>
    <w:rsid w:val="00D361C3"/>
    <w:rsid w:val="00D363E0"/>
    <w:rsid w:val="00D36833"/>
    <w:rsid w:val="00D3691B"/>
    <w:rsid w:val="00D36FBB"/>
    <w:rsid w:val="00D3709B"/>
    <w:rsid w:val="00D3712D"/>
    <w:rsid w:val="00D372FF"/>
    <w:rsid w:val="00D373FD"/>
    <w:rsid w:val="00D3781D"/>
    <w:rsid w:val="00D3795F"/>
    <w:rsid w:val="00D379E0"/>
    <w:rsid w:val="00D4024A"/>
    <w:rsid w:val="00D4043F"/>
    <w:rsid w:val="00D407B3"/>
    <w:rsid w:val="00D40A23"/>
    <w:rsid w:val="00D40ADA"/>
    <w:rsid w:val="00D413B5"/>
    <w:rsid w:val="00D41797"/>
    <w:rsid w:val="00D4184D"/>
    <w:rsid w:val="00D41A46"/>
    <w:rsid w:val="00D41BAC"/>
    <w:rsid w:val="00D41CF9"/>
    <w:rsid w:val="00D421C9"/>
    <w:rsid w:val="00D422B3"/>
    <w:rsid w:val="00D4251F"/>
    <w:rsid w:val="00D426F1"/>
    <w:rsid w:val="00D428E3"/>
    <w:rsid w:val="00D430C9"/>
    <w:rsid w:val="00D430DA"/>
    <w:rsid w:val="00D4312E"/>
    <w:rsid w:val="00D432A7"/>
    <w:rsid w:val="00D437D0"/>
    <w:rsid w:val="00D43898"/>
    <w:rsid w:val="00D43A94"/>
    <w:rsid w:val="00D43B00"/>
    <w:rsid w:val="00D43D29"/>
    <w:rsid w:val="00D43ED6"/>
    <w:rsid w:val="00D43F4D"/>
    <w:rsid w:val="00D44070"/>
    <w:rsid w:val="00D44086"/>
    <w:rsid w:val="00D44103"/>
    <w:rsid w:val="00D441EE"/>
    <w:rsid w:val="00D44370"/>
    <w:rsid w:val="00D44506"/>
    <w:rsid w:val="00D44683"/>
    <w:rsid w:val="00D44747"/>
    <w:rsid w:val="00D44B85"/>
    <w:rsid w:val="00D451D3"/>
    <w:rsid w:val="00D451D9"/>
    <w:rsid w:val="00D455BE"/>
    <w:rsid w:val="00D459D7"/>
    <w:rsid w:val="00D459D9"/>
    <w:rsid w:val="00D45A8E"/>
    <w:rsid w:val="00D45B32"/>
    <w:rsid w:val="00D45C75"/>
    <w:rsid w:val="00D45ECA"/>
    <w:rsid w:val="00D45F8F"/>
    <w:rsid w:val="00D45FBA"/>
    <w:rsid w:val="00D4602B"/>
    <w:rsid w:val="00D46264"/>
    <w:rsid w:val="00D4629C"/>
    <w:rsid w:val="00D462CE"/>
    <w:rsid w:val="00D46302"/>
    <w:rsid w:val="00D46AF4"/>
    <w:rsid w:val="00D4707F"/>
    <w:rsid w:val="00D47101"/>
    <w:rsid w:val="00D47446"/>
    <w:rsid w:val="00D47509"/>
    <w:rsid w:val="00D477C5"/>
    <w:rsid w:val="00D478F3"/>
    <w:rsid w:val="00D47C03"/>
    <w:rsid w:val="00D47DB4"/>
    <w:rsid w:val="00D50016"/>
    <w:rsid w:val="00D501C4"/>
    <w:rsid w:val="00D50788"/>
    <w:rsid w:val="00D509B1"/>
    <w:rsid w:val="00D51234"/>
    <w:rsid w:val="00D513D2"/>
    <w:rsid w:val="00D51683"/>
    <w:rsid w:val="00D51993"/>
    <w:rsid w:val="00D521BA"/>
    <w:rsid w:val="00D52207"/>
    <w:rsid w:val="00D52270"/>
    <w:rsid w:val="00D5227B"/>
    <w:rsid w:val="00D52408"/>
    <w:rsid w:val="00D5269C"/>
    <w:rsid w:val="00D52759"/>
    <w:rsid w:val="00D52858"/>
    <w:rsid w:val="00D52AB8"/>
    <w:rsid w:val="00D52C08"/>
    <w:rsid w:val="00D52D47"/>
    <w:rsid w:val="00D52DCE"/>
    <w:rsid w:val="00D52E8D"/>
    <w:rsid w:val="00D52EDC"/>
    <w:rsid w:val="00D52FFA"/>
    <w:rsid w:val="00D53395"/>
    <w:rsid w:val="00D5353C"/>
    <w:rsid w:val="00D53677"/>
    <w:rsid w:val="00D53689"/>
    <w:rsid w:val="00D5378A"/>
    <w:rsid w:val="00D53830"/>
    <w:rsid w:val="00D539BE"/>
    <w:rsid w:val="00D53A11"/>
    <w:rsid w:val="00D53AD9"/>
    <w:rsid w:val="00D53C56"/>
    <w:rsid w:val="00D54142"/>
    <w:rsid w:val="00D543D3"/>
    <w:rsid w:val="00D5448F"/>
    <w:rsid w:val="00D54555"/>
    <w:rsid w:val="00D54556"/>
    <w:rsid w:val="00D54E15"/>
    <w:rsid w:val="00D551FC"/>
    <w:rsid w:val="00D552DA"/>
    <w:rsid w:val="00D553C1"/>
    <w:rsid w:val="00D5543F"/>
    <w:rsid w:val="00D555DF"/>
    <w:rsid w:val="00D557D7"/>
    <w:rsid w:val="00D55814"/>
    <w:rsid w:val="00D5593F"/>
    <w:rsid w:val="00D5595E"/>
    <w:rsid w:val="00D55B64"/>
    <w:rsid w:val="00D5628F"/>
    <w:rsid w:val="00D56433"/>
    <w:rsid w:val="00D56567"/>
    <w:rsid w:val="00D565B7"/>
    <w:rsid w:val="00D56751"/>
    <w:rsid w:val="00D56858"/>
    <w:rsid w:val="00D56A66"/>
    <w:rsid w:val="00D56A9D"/>
    <w:rsid w:val="00D56BE7"/>
    <w:rsid w:val="00D570CF"/>
    <w:rsid w:val="00D5741A"/>
    <w:rsid w:val="00D57B74"/>
    <w:rsid w:val="00D60037"/>
    <w:rsid w:val="00D601A0"/>
    <w:rsid w:val="00D601A7"/>
    <w:rsid w:val="00D60380"/>
    <w:rsid w:val="00D60A1A"/>
    <w:rsid w:val="00D60B92"/>
    <w:rsid w:val="00D614BF"/>
    <w:rsid w:val="00D61580"/>
    <w:rsid w:val="00D617A0"/>
    <w:rsid w:val="00D61848"/>
    <w:rsid w:val="00D61D10"/>
    <w:rsid w:val="00D622C8"/>
    <w:rsid w:val="00D6242A"/>
    <w:rsid w:val="00D6291F"/>
    <w:rsid w:val="00D62A4A"/>
    <w:rsid w:val="00D62D21"/>
    <w:rsid w:val="00D62DB5"/>
    <w:rsid w:val="00D63919"/>
    <w:rsid w:val="00D63961"/>
    <w:rsid w:val="00D6425D"/>
    <w:rsid w:val="00D64358"/>
    <w:rsid w:val="00D643EA"/>
    <w:rsid w:val="00D64E3B"/>
    <w:rsid w:val="00D64F22"/>
    <w:rsid w:val="00D651E1"/>
    <w:rsid w:val="00D656CA"/>
    <w:rsid w:val="00D6592B"/>
    <w:rsid w:val="00D65DC1"/>
    <w:rsid w:val="00D664F9"/>
    <w:rsid w:val="00D66713"/>
    <w:rsid w:val="00D66844"/>
    <w:rsid w:val="00D6686B"/>
    <w:rsid w:val="00D670B9"/>
    <w:rsid w:val="00D673F7"/>
    <w:rsid w:val="00D6746E"/>
    <w:rsid w:val="00D67BE7"/>
    <w:rsid w:val="00D67C0E"/>
    <w:rsid w:val="00D67DD3"/>
    <w:rsid w:val="00D70112"/>
    <w:rsid w:val="00D703F1"/>
    <w:rsid w:val="00D706F5"/>
    <w:rsid w:val="00D70833"/>
    <w:rsid w:val="00D708B8"/>
    <w:rsid w:val="00D70A10"/>
    <w:rsid w:val="00D70CB6"/>
    <w:rsid w:val="00D710AC"/>
    <w:rsid w:val="00D7115C"/>
    <w:rsid w:val="00D7115F"/>
    <w:rsid w:val="00D713F1"/>
    <w:rsid w:val="00D71620"/>
    <w:rsid w:val="00D71CE2"/>
    <w:rsid w:val="00D71E43"/>
    <w:rsid w:val="00D71FC6"/>
    <w:rsid w:val="00D7200D"/>
    <w:rsid w:val="00D72167"/>
    <w:rsid w:val="00D7249D"/>
    <w:rsid w:val="00D72626"/>
    <w:rsid w:val="00D7273B"/>
    <w:rsid w:val="00D72879"/>
    <w:rsid w:val="00D72B2A"/>
    <w:rsid w:val="00D72C8F"/>
    <w:rsid w:val="00D73713"/>
    <w:rsid w:val="00D73927"/>
    <w:rsid w:val="00D73966"/>
    <w:rsid w:val="00D73BD0"/>
    <w:rsid w:val="00D73E09"/>
    <w:rsid w:val="00D73E63"/>
    <w:rsid w:val="00D740D2"/>
    <w:rsid w:val="00D74414"/>
    <w:rsid w:val="00D74543"/>
    <w:rsid w:val="00D7468A"/>
    <w:rsid w:val="00D74786"/>
    <w:rsid w:val="00D747DC"/>
    <w:rsid w:val="00D74880"/>
    <w:rsid w:val="00D7497E"/>
    <w:rsid w:val="00D74D30"/>
    <w:rsid w:val="00D74F2A"/>
    <w:rsid w:val="00D75247"/>
    <w:rsid w:val="00D755E8"/>
    <w:rsid w:val="00D75852"/>
    <w:rsid w:val="00D75A72"/>
    <w:rsid w:val="00D75C4E"/>
    <w:rsid w:val="00D75CF8"/>
    <w:rsid w:val="00D75E32"/>
    <w:rsid w:val="00D76147"/>
    <w:rsid w:val="00D7648B"/>
    <w:rsid w:val="00D765EE"/>
    <w:rsid w:val="00D77028"/>
    <w:rsid w:val="00D770F4"/>
    <w:rsid w:val="00D773DD"/>
    <w:rsid w:val="00D77438"/>
    <w:rsid w:val="00D77441"/>
    <w:rsid w:val="00D77474"/>
    <w:rsid w:val="00D77641"/>
    <w:rsid w:val="00D776A1"/>
    <w:rsid w:val="00D777B1"/>
    <w:rsid w:val="00D7781D"/>
    <w:rsid w:val="00D77A32"/>
    <w:rsid w:val="00D77E17"/>
    <w:rsid w:val="00D77E2C"/>
    <w:rsid w:val="00D77E49"/>
    <w:rsid w:val="00D77E90"/>
    <w:rsid w:val="00D77F6E"/>
    <w:rsid w:val="00D80023"/>
    <w:rsid w:val="00D8026C"/>
    <w:rsid w:val="00D804A1"/>
    <w:rsid w:val="00D80618"/>
    <w:rsid w:val="00D80870"/>
    <w:rsid w:val="00D8099C"/>
    <w:rsid w:val="00D80A7E"/>
    <w:rsid w:val="00D80E71"/>
    <w:rsid w:val="00D80F4D"/>
    <w:rsid w:val="00D80FD2"/>
    <w:rsid w:val="00D80FFA"/>
    <w:rsid w:val="00D812C1"/>
    <w:rsid w:val="00D812E1"/>
    <w:rsid w:val="00D81314"/>
    <w:rsid w:val="00D817EB"/>
    <w:rsid w:val="00D817EC"/>
    <w:rsid w:val="00D81C62"/>
    <w:rsid w:val="00D81E28"/>
    <w:rsid w:val="00D81F95"/>
    <w:rsid w:val="00D82065"/>
    <w:rsid w:val="00D82640"/>
    <w:rsid w:val="00D826CE"/>
    <w:rsid w:val="00D82803"/>
    <w:rsid w:val="00D82B97"/>
    <w:rsid w:val="00D82D4D"/>
    <w:rsid w:val="00D82DDB"/>
    <w:rsid w:val="00D82F30"/>
    <w:rsid w:val="00D83082"/>
    <w:rsid w:val="00D83108"/>
    <w:rsid w:val="00D83263"/>
    <w:rsid w:val="00D83AB2"/>
    <w:rsid w:val="00D83B91"/>
    <w:rsid w:val="00D83F87"/>
    <w:rsid w:val="00D842CB"/>
    <w:rsid w:val="00D84302"/>
    <w:rsid w:val="00D84704"/>
    <w:rsid w:val="00D8508D"/>
    <w:rsid w:val="00D85133"/>
    <w:rsid w:val="00D85265"/>
    <w:rsid w:val="00D853AA"/>
    <w:rsid w:val="00D85550"/>
    <w:rsid w:val="00D8577D"/>
    <w:rsid w:val="00D85B1F"/>
    <w:rsid w:val="00D85DF9"/>
    <w:rsid w:val="00D85FBE"/>
    <w:rsid w:val="00D862D1"/>
    <w:rsid w:val="00D863FE"/>
    <w:rsid w:val="00D8699F"/>
    <w:rsid w:val="00D86B1A"/>
    <w:rsid w:val="00D86BF2"/>
    <w:rsid w:val="00D86D89"/>
    <w:rsid w:val="00D872B6"/>
    <w:rsid w:val="00D872E5"/>
    <w:rsid w:val="00D875A4"/>
    <w:rsid w:val="00D87A8E"/>
    <w:rsid w:val="00D87B07"/>
    <w:rsid w:val="00D87B1E"/>
    <w:rsid w:val="00D87F5A"/>
    <w:rsid w:val="00D87F5F"/>
    <w:rsid w:val="00D90262"/>
    <w:rsid w:val="00D906B1"/>
    <w:rsid w:val="00D90733"/>
    <w:rsid w:val="00D90BAF"/>
    <w:rsid w:val="00D90E0F"/>
    <w:rsid w:val="00D911A9"/>
    <w:rsid w:val="00D9126B"/>
    <w:rsid w:val="00D91616"/>
    <w:rsid w:val="00D91801"/>
    <w:rsid w:val="00D9195D"/>
    <w:rsid w:val="00D91CFE"/>
    <w:rsid w:val="00D91E09"/>
    <w:rsid w:val="00D91F6D"/>
    <w:rsid w:val="00D92053"/>
    <w:rsid w:val="00D92094"/>
    <w:rsid w:val="00D92277"/>
    <w:rsid w:val="00D922F0"/>
    <w:rsid w:val="00D928ED"/>
    <w:rsid w:val="00D9293E"/>
    <w:rsid w:val="00D92AA9"/>
    <w:rsid w:val="00D92E57"/>
    <w:rsid w:val="00D93453"/>
    <w:rsid w:val="00D9366E"/>
    <w:rsid w:val="00D938F7"/>
    <w:rsid w:val="00D93BF7"/>
    <w:rsid w:val="00D93D8C"/>
    <w:rsid w:val="00D93D9F"/>
    <w:rsid w:val="00D944AE"/>
    <w:rsid w:val="00D945B8"/>
    <w:rsid w:val="00D945DF"/>
    <w:rsid w:val="00D94835"/>
    <w:rsid w:val="00D94A48"/>
    <w:rsid w:val="00D94A50"/>
    <w:rsid w:val="00D94C03"/>
    <w:rsid w:val="00D94F2C"/>
    <w:rsid w:val="00D94FE5"/>
    <w:rsid w:val="00D950E7"/>
    <w:rsid w:val="00D95337"/>
    <w:rsid w:val="00D95692"/>
    <w:rsid w:val="00D95891"/>
    <w:rsid w:val="00D95D43"/>
    <w:rsid w:val="00D95E1A"/>
    <w:rsid w:val="00D95EFC"/>
    <w:rsid w:val="00D95F23"/>
    <w:rsid w:val="00D95F3B"/>
    <w:rsid w:val="00D9605A"/>
    <w:rsid w:val="00D96451"/>
    <w:rsid w:val="00D964D9"/>
    <w:rsid w:val="00D965F8"/>
    <w:rsid w:val="00D9661E"/>
    <w:rsid w:val="00D9674C"/>
    <w:rsid w:val="00D96909"/>
    <w:rsid w:val="00D96E5C"/>
    <w:rsid w:val="00D9710B"/>
    <w:rsid w:val="00D9711C"/>
    <w:rsid w:val="00D9711E"/>
    <w:rsid w:val="00D97281"/>
    <w:rsid w:val="00D972C6"/>
    <w:rsid w:val="00D975AD"/>
    <w:rsid w:val="00D97663"/>
    <w:rsid w:val="00D9786F"/>
    <w:rsid w:val="00D97FD2"/>
    <w:rsid w:val="00DA020C"/>
    <w:rsid w:val="00DA02DD"/>
    <w:rsid w:val="00DA05F6"/>
    <w:rsid w:val="00DA0B21"/>
    <w:rsid w:val="00DA0B45"/>
    <w:rsid w:val="00DA0B47"/>
    <w:rsid w:val="00DA0B5F"/>
    <w:rsid w:val="00DA0B7B"/>
    <w:rsid w:val="00DA0C17"/>
    <w:rsid w:val="00DA0C30"/>
    <w:rsid w:val="00DA11BD"/>
    <w:rsid w:val="00DA12F1"/>
    <w:rsid w:val="00DA149A"/>
    <w:rsid w:val="00DA14E6"/>
    <w:rsid w:val="00DA18C2"/>
    <w:rsid w:val="00DA1B52"/>
    <w:rsid w:val="00DA1B77"/>
    <w:rsid w:val="00DA1C93"/>
    <w:rsid w:val="00DA1E8E"/>
    <w:rsid w:val="00DA1F0E"/>
    <w:rsid w:val="00DA2064"/>
    <w:rsid w:val="00DA2165"/>
    <w:rsid w:val="00DA2514"/>
    <w:rsid w:val="00DA2569"/>
    <w:rsid w:val="00DA2706"/>
    <w:rsid w:val="00DA28F4"/>
    <w:rsid w:val="00DA2C4D"/>
    <w:rsid w:val="00DA3535"/>
    <w:rsid w:val="00DA3650"/>
    <w:rsid w:val="00DA3CCC"/>
    <w:rsid w:val="00DA4394"/>
    <w:rsid w:val="00DA446B"/>
    <w:rsid w:val="00DA46D7"/>
    <w:rsid w:val="00DA486A"/>
    <w:rsid w:val="00DA48A2"/>
    <w:rsid w:val="00DA48B4"/>
    <w:rsid w:val="00DA49B2"/>
    <w:rsid w:val="00DA4CF5"/>
    <w:rsid w:val="00DA514C"/>
    <w:rsid w:val="00DA52E6"/>
    <w:rsid w:val="00DA5395"/>
    <w:rsid w:val="00DA55C9"/>
    <w:rsid w:val="00DA5860"/>
    <w:rsid w:val="00DA5884"/>
    <w:rsid w:val="00DA5955"/>
    <w:rsid w:val="00DA59F7"/>
    <w:rsid w:val="00DA5B16"/>
    <w:rsid w:val="00DA5F63"/>
    <w:rsid w:val="00DA6023"/>
    <w:rsid w:val="00DA60DD"/>
    <w:rsid w:val="00DA6196"/>
    <w:rsid w:val="00DA63BA"/>
    <w:rsid w:val="00DA6ABA"/>
    <w:rsid w:val="00DA6D4D"/>
    <w:rsid w:val="00DA6D5B"/>
    <w:rsid w:val="00DA703D"/>
    <w:rsid w:val="00DA707A"/>
    <w:rsid w:val="00DA70EA"/>
    <w:rsid w:val="00DA710D"/>
    <w:rsid w:val="00DA713C"/>
    <w:rsid w:val="00DA7B6A"/>
    <w:rsid w:val="00DA7D47"/>
    <w:rsid w:val="00DB00B7"/>
    <w:rsid w:val="00DB010C"/>
    <w:rsid w:val="00DB01F5"/>
    <w:rsid w:val="00DB03EA"/>
    <w:rsid w:val="00DB087B"/>
    <w:rsid w:val="00DB0999"/>
    <w:rsid w:val="00DB0B0A"/>
    <w:rsid w:val="00DB0C76"/>
    <w:rsid w:val="00DB0CBC"/>
    <w:rsid w:val="00DB0CCF"/>
    <w:rsid w:val="00DB0DB7"/>
    <w:rsid w:val="00DB1042"/>
    <w:rsid w:val="00DB1319"/>
    <w:rsid w:val="00DB13D4"/>
    <w:rsid w:val="00DB13D8"/>
    <w:rsid w:val="00DB1417"/>
    <w:rsid w:val="00DB1538"/>
    <w:rsid w:val="00DB1642"/>
    <w:rsid w:val="00DB169D"/>
    <w:rsid w:val="00DB17E5"/>
    <w:rsid w:val="00DB17EE"/>
    <w:rsid w:val="00DB1845"/>
    <w:rsid w:val="00DB18BD"/>
    <w:rsid w:val="00DB1D83"/>
    <w:rsid w:val="00DB1F99"/>
    <w:rsid w:val="00DB20BC"/>
    <w:rsid w:val="00DB2293"/>
    <w:rsid w:val="00DB23B8"/>
    <w:rsid w:val="00DB241D"/>
    <w:rsid w:val="00DB26EE"/>
    <w:rsid w:val="00DB273E"/>
    <w:rsid w:val="00DB276F"/>
    <w:rsid w:val="00DB27F5"/>
    <w:rsid w:val="00DB2944"/>
    <w:rsid w:val="00DB2A3C"/>
    <w:rsid w:val="00DB2A8B"/>
    <w:rsid w:val="00DB2AE3"/>
    <w:rsid w:val="00DB2BA1"/>
    <w:rsid w:val="00DB2F84"/>
    <w:rsid w:val="00DB3099"/>
    <w:rsid w:val="00DB3230"/>
    <w:rsid w:val="00DB3351"/>
    <w:rsid w:val="00DB3518"/>
    <w:rsid w:val="00DB37E7"/>
    <w:rsid w:val="00DB3837"/>
    <w:rsid w:val="00DB3937"/>
    <w:rsid w:val="00DB3D20"/>
    <w:rsid w:val="00DB3EFC"/>
    <w:rsid w:val="00DB4241"/>
    <w:rsid w:val="00DB43EF"/>
    <w:rsid w:val="00DB4713"/>
    <w:rsid w:val="00DB48BA"/>
    <w:rsid w:val="00DB4E0E"/>
    <w:rsid w:val="00DB549C"/>
    <w:rsid w:val="00DB55E4"/>
    <w:rsid w:val="00DB5776"/>
    <w:rsid w:val="00DB584A"/>
    <w:rsid w:val="00DB5882"/>
    <w:rsid w:val="00DB59AB"/>
    <w:rsid w:val="00DB5D8F"/>
    <w:rsid w:val="00DB5E9F"/>
    <w:rsid w:val="00DB6235"/>
    <w:rsid w:val="00DB6390"/>
    <w:rsid w:val="00DB6D35"/>
    <w:rsid w:val="00DB707B"/>
    <w:rsid w:val="00DB70FB"/>
    <w:rsid w:val="00DB7777"/>
    <w:rsid w:val="00DB782D"/>
    <w:rsid w:val="00DB7A72"/>
    <w:rsid w:val="00DB7AAE"/>
    <w:rsid w:val="00DB7DF4"/>
    <w:rsid w:val="00DB7F9C"/>
    <w:rsid w:val="00DB7FE0"/>
    <w:rsid w:val="00DC0209"/>
    <w:rsid w:val="00DC03DF"/>
    <w:rsid w:val="00DC046A"/>
    <w:rsid w:val="00DC0712"/>
    <w:rsid w:val="00DC0969"/>
    <w:rsid w:val="00DC0A57"/>
    <w:rsid w:val="00DC0C81"/>
    <w:rsid w:val="00DC0D4E"/>
    <w:rsid w:val="00DC0EBC"/>
    <w:rsid w:val="00DC0F8D"/>
    <w:rsid w:val="00DC10A6"/>
    <w:rsid w:val="00DC10D2"/>
    <w:rsid w:val="00DC1257"/>
    <w:rsid w:val="00DC1536"/>
    <w:rsid w:val="00DC1784"/>
    <w:rsid w:val="00DC1789"/>
    <w:rsid w:val="00DC1A2E"/>
    <w:rsid w:val="00DC1BED"/>
    <w:rsid w:val="00DC1C0A"/>
    <w:rsid w:val="00DC1F9D"/>
    <w:rsid w:val="00DC2017"/>
    <w:rsid w:val="00DC22A4"/>
    <w:rsid w:val="00DC2776"/>
    <w:rsid w:val="00DC28A0"/>
    <w:rsid w:val="00DC28EF"/>
    <w:rsid w:val="00DC28FD"/>
    <w:rsid w:val="00DC2AC9"/>
    <w:rsid w:val="00DC2ACB"/>
    <w:rsid w:val="00DC2C3A"/>
    <w:rsid w:val="00DC3177"/>
    <w:rsid w:val="00DC331E"/>
    <w:rsid w:val="00DC33A6"/>
    <w:rsid w:val="00DC359A"/>
    <w:rsid w:val="00DC38DA"/>
    <w:rsid w:val="00DC391E"/>
    <w:rsid w:val="00DC3A37"/>
    <w:rsid w:val="00DC3AE1"/>
    <w:rsid w:val="00DC3D11"/>
    <w:rsid w:val="00DC3EC1"/>
    <w:rsid w:val="00DC401F"/>
    <w:rsid w:val="00DC4242"/>
    <w:rsid w:val="00DC4249"/>
    <w:rsid w:val="00DC45AA"/>
    <w:rsid w:val="00DC4775"/>
    <w:rsid w:val="00DC47D1"/>
    <w:rsid w:val="00DC49A1"/>
    <w:rsid w:val="00DC4AA3"/>
    <w:rsid w:val="00DC4DB0"/>
    <w:rsid w:val="00DC4FCA"/>
    <w:rsid w:val="00DC50B4"/>
    <w:rsid w:val="00DC5AC6"/>
    <w:rsid w:val="00DC6259"/>
    <w:rsid w:val="00DC62DE"/>
    <w:rsid w:val="00DC638E"/>
    <w:rsid w:val="00DC673D"/>
    <w:rsid w:val="00DC67C6"/>
    <w:rsid w:val="00DC6A5A"/>
    <w:rsid w:val="00DC6C43"/>
    <w:rsid w:val="00DC6CB8"/>
    <w:rsid w:val="00DC6E61"/>
    <w:rsid w:val="00DC6F57"/>
    <w:rsid w:val="00DC71A1"/>
    <w:rsid w:val="00DC7692"/>
    <w:rsid w:val="00DC7740"/>
    <w:rsid w:val="00DC7811"/>
    <w:rsid w:val="00DC783E"/>
    <w:rsid w:val="00DC7A71"/>
    <w:rsid w:val="00DC7D07"/>
    <w:rsid w:val="00DC7F12"/>
    <w:rsid w:val="00DD0013"/>
    <w:rsid w:val="00DD00E8"/>
    <w:rsid w:val="00DD00ED"/>
    <w:rsid w:val="00DD0141"/>
    <w:rsid w:val="00DD037F"/>
    <w:rsid w:val="00DD04BC"/>
    <w:rsid w:val="00DD0C12"/>
    <w:rsid w:val="00DD0E2B"/>
    <w:rsid w:val="00DD18AD"/>
    <w:rsid w:val="00DD19B5"/>
    <w:rsid w:val="00DD19C5"/>
    <w:rsid w:val="00DD1F12"/>
    <w:rsid w:val="00DD228F"/>
    <w:rsid w:val="00DD22AA"/>
    <w:rsid w:val="00DD23AB"/>
    <w:rsid w:val="00DD24E7"/>
    <w:rsid w:val="00DD256C"/>
    <w:rsid w:val="00DD26C4"/>
    <w:rsid w:val="00DD27D7"/>
    <w:rsid w:val="00DD2A97"/>
    <w:rsid w:val="00DD2D75"/>
    <w:rsid w:val="00DD2DAE"/>
    <w:rsid w:val="00DD2DBF"/>
    <w:rsid w:val="00DD2DE9"/>
    <w:rsid w:val="00DD2DFC"/>
    <w:rsid w:val="00DD2ED4"/>
    <w:rsid w:val="00DD332D"/>
    <w:rsid w:val="00DD3348"/>
    <w:rsid w:val="00DD3406"/>
    <w:rsid w:val="00DD371D"/>
    <w:rsid w:val="00DD3CDD"/>
    <w:rsid w:val="00DD3D39"/>
    <w:rsid w:val="00DD3E5B"/>
    <w:rsid w:val="00DD3FD4"/>
    <w:rsid w:val="00DD40B7"/>
    <w:rsid w:val="00DD411C"/>
    <w:rsid w:val="00DD43F0"/>
    <w:rsid w:val="00DD4630"/>
    <w:rsid w:val="00DD4890"/>
    <w:rsid w:val="00DD4A7E"/>
    <w:rsid w:val="00DD4AA5"/>
    <w:rsid w:val="00DD4BB4"/>
    <w:rsid w:val="00DD52C5"/>
    <w:rsid w:val="00DD52F2"/>
    <w:rsid w:val="00DD58AC"/>
    <w:rsid w:val="00DD5C50"/>
    <w:rsid w:val="00DD5D1B"/>
    <w:rsid w:val="00DD63AF"/>
    <w:rsid w:val="00DD6437"/>
    <w:rsid w:val="00DD65B4"/>
    <w:rsid w:val="00DD68DE"/>
    <w:rsid w:val="00DD6B9F"/>
    <w:rsid w:val="00DD6BA1"/>
    <w:rsid w:val="00DD6C2D"/>
    <w:rsid w:val="00DD6E0D"/>
    <w:rsid w:val="00DD6EBA"/>
    <w:rsid w:val="00DD7142"/>
    <w:rsid w:val="00DD729D"/>
    <w:rsid w:val="00DD7474"/>
    <w:rsid w:val="00DD7496"/>
    <w:rsid w:val="00DD7C68"/>
    <w:rsid w:val="00DD7C88"/>
    <w:rsid w:val="00DD7E05"/>
    <w:rsid w:val="00DE017C"/>
    <w:rsid w:val="00DE01A4"/>
    <w:rsid w:val="00DE0460"/>
    <w:rsid w:val="00DE0715"/>
    <w:rsid w:val="00DE0826"/>
    <w:rsid w:val="00DE0A49"/>
    <w:rsid w:val="00DE0A86"/>
    <w:rsid w:val="00DE0A9C"/>
    <w:rsid w:val="00DE0C07"/>
    <w:rsid w:val="00DE0C36"/>
    <w:rsid w:val="00DE1631"/>
    <w:rsid w:val="00DE17A0"/>
    <w:rsid w:val="00DE18EF"/>
    <w:rsid w:val="00DE1970"/>
    <w:rsid w:val="00DE1B98"/>
    <w:rsid w:val="00DE1CCF"/>
    <w:rsid w:val="00DE1CFD"/>
    <w:rsid w:val="00DE1EAD"/>
    <w:rsid w:val="00DE1F52"/>
    <w:rsid w:val="00DE2820"/>
    <w:rsid w:val="00DE2979"/>
    <w:rsid w:val="00DE298F"/>
    <w:rsid w:val="00DE2CCE"/>
    <w:rsid w:val="00DE2DFD"/>
    <w:rsid w:val="00DE32C7"/>
    <w:rsid w:val="00DE3431"/>
    <w:rsid w:val="00DE3569"/>
    <w:rsid w:val="00DE3674"/>
    <w:rsid w:val="00DE39B8"/>
    <w:rsid w:val="00DE3A96"/>
    <w:rsid w:val="00DE3D46"/>
    <w:rsid w:val="00DE3D73"/>
    <w:rsid w:val="00DE43AA"/>
    <w:rsid w:val="00DE457D"/>
    <w:rsid w:val="00DE49A9"/>
    <w:rsid w:val="00DE49EE"/>
    <w:rsid w:val="00DE4A4E"/>
    <w:rsid w:val="00DE4A6D"/>
    <w:rsid w:val="00DE4C6F"/>
    <w:rsid w:val="00DE4EC6"/>
    <w:rsid w:val="00DE5012"/>
    <w:rsid w:val="00DE51F5"/>
    <w:rsid w:val="00DE5232"/>
    <w:rsid w:val="00DE5533"/>
    <w:rsid w:val="00DE5644"/>
    <w:rsid w:val="00DE5729"/>
    <w:rsid w:val="00DE5A89"/>
    <w:rsid w:val="00DE5B00"/>
    <w:rsid w:val="00DE5CF9"/>
    <w:rsid w:val="00DE5F5D"/>
    <w:rsid w:val="00DE636E"/>
    <w:rsid w:val="00DE667B"/>
    <w:rsid w:val="00DE69DF"/>
    <w:rsid w:val="00DE6B22"/>
    <w:rsid w:val="00DE6C05"/>
    <w:rsid w:val="00DE723A"/>
    <w:rsid w:val="00DE73FF"/>
    <w:rsid w:val="00DE7439"/>
    <w:rsid w:val="00DE7457"/>
    <w:rsid w:val="00DE75FC"/>
    <w:rsid w:val="00DE7D29"/>
    <w:rsid w:val="00DE7D3F"/>
    <w:rsid w:val="00DE7FAF"/>
    <w:rsid w:val="00DF07A5"/>
    <w:rsid w:val="00DF0AAF"/>
    <w:rsid w:val="00DF0F96"/>
    <w:rsid w:val="00DF11A5"/>
    <w:rsid w:val="00DF11C0"/>
    <w:rsid w:val="00DF1467"/>
    <w:rsid w:val="00DF14A9"/>
    <w:rsid w:val="00DF168C"/>
    <w:rsid w:val="00DF1860"/>
    <w:rsid w:val="00DF18CB"/>
    <w:rsid w:val="00DF1A50"/>
    <w:rsid w:val="00DF1B44"/>
    <w:rsid w:val="00DF1B67"/>
    <w:rsid w:val="00DF1C5D"/>
    <w:rsid w:val="00DF1E0A"/>
    <w:rsid w:val="00DF1F15"/>
    <w:rsid w:val="00DF21BA"/>
    <w:rsid w:val="00DF21BC"/>
    <w:rsid w:val="00DF21BE"/>
    <w:rsid w:val="00DF21DB"/>
    <w:rsid w:val="00DF22EB"/>
    <w:rsid w:val="00DF2324"/>
    <w:rsid w:val="00DF2A0C"/>
    <w:rsid w:val="00DF2D09"/>
    <w:rsid w:val="00DF3575"/>
    <w:rsid w:val="00DF36D0"/>
    <w:rsid w:val="00DF3948"/>
    <w:rsid w:val="00DF3DC2"/>
    <w:rsid w:val="00DF3E53"/>
    <w:rsid w:val="00DF3F56"/>
    <w:rsid w:val="00DF4080"/>
    <w:rsid w:val="00DF433F"/>
    <w:rsid w:val="00DF44DE"/>
    <w:rsid w:val="00DF4985"/>
    <w:rsid w:val="00DF4B32"/>
    <w:rsid w:val="00DF4BFC"/>
    <w:rsid w:val="00DF4F61"/>
    <w:rsid w:val="00DF55A5"/>
    <w:rsid w:val="00DF5637"/>
    <w:rsid w:val="00DF5C06"/>
    <w:rsid w:val="00DF5CF6"/>
    <w:rsid w:val="00DF605C"/>
    <w:rsid w:val="00DF62E2"/>
    <w:rsid w:val="00DF6486"/>
    <w:rsid w:val="00DF65E1"/>
    <w:rsid w:val="00DF666A"/>
    <w:rsid w:val="00DF684B"/>
    <w:rsid w:val="00DF6FDB"/>
    <w:rsid w:val="00DF73F5"/>
    <w:rsid w:val="00DF7547"/>
    <w:rsid w:val="00DF7560"/>
    <w:rsid w:val="00DF78C2"/>
    <w:rsid w:val="00DF7CA9"/>
    <w:rsid w:val="00DF7F1A"/>
    <w:rsid w:val="00E00177"/>
    <w:rsid w:val="00E004ED"/>
    <w:rsid w:val="00E0086D"/>
    <w:rsid w:val="00E00A6D"/>
    <w:rsid w:val="00E00BF7"/>
    <w:rsid w:val="00E00F20"/>
    <w:rsid w:val="00E01059"/>
    <w:rsid w:val="00E0125E"/>
    <w:rsid w:val="00E0137E"/>
    <w:rsid w:val="00E01514"/>
    <w:rsid w:val="00E01632"/>
    <w:rsid w:val="00E0173B"/>
    <w:rsid w:val="00E01C98"/>
    <w:rsid w:val="00E02001"/>
    <w:rsid w:val="00E0219D"/>
    <w:rsid w:val="00E02640"/>
    <w:rsid w:val="00E026AA"/>
    <w:rsid w:val="00E02780"/>
    <w:rsid w:val="00E0287E"/>
    <w:rsid w:val="00E028D4"/>
    <w:rsid w:val="00E02958"/>
    <w:rsid w:val="00E029AC"/>
    <w:rsid w:val="00E029EB"/>
    <w:rsid w:val="00E02C38"/>
    <w:rsid w:val="00E0328C"/>
    <w:rsid w:val="00E03D03"/>
    <w:rsid w:val="00E03DE8"/>
    <w:rsid w:val="00E03F53"/>
    <w:rsid w:val="00E03FEB"/>
    <w:rsid w:val="00E0410D"/>
    <w:rsid w:val="00E043C1"/>
    <w:rsid w:val="00E044DE"/>
    <w:rsid w:val="00E04688"/>
    <w:rsid w:val="00E0469A"/>
    <w:rsid w:val="00E049DF"/>
    <w:rsid w:val="00E04A2A"/>
    <w:rsid w:val="00E04B0D"/>
    <w:rsid w:val="00E04F9D"/>
    <w:rsid w:val="00E0530F"/>
    <w:rsid w:val="00E0584B"/>
    <w:rsid w:val="00E05B20"/>
    <w:rsid w:val="00E05DEE"/>
    <w:rsid w:val="00E05DF6"/>
    <w:rsid w:val="00E05E0E"/>
    <w:rsid w:val="00E05E8D"/>
    <w:rsid w:val="00E06051"/>
    <w:rsid w:val="00E062BC"/>
    <w:rsid w:val="00E069DF"/>
    <w:rsid w:val="00E06A41"/>
    <w:rsid w:val="00E06B9B"/>
    <w:rsid w:val="00E06DBA"/>
    <w:rsid w:val="00E07354"/>
    <w:rsid w:val="00E07820"/>
    <w:rsid w:val="00E07843"/>
    <w:rsid w:val="00E079DA"/>
    <w:rsid w:val="00E102B1"/>
    <w:rsid w:val="00E10365"/>
    <w:rsid w:val="00E10EE1"/>
    <w:rsid w:val="00E11025"/>
    <w:rsid w:val="00E114E4"/>
    <w:rsid w:val="00E11989"/>
    <w:rsid w:val="00E11CBB"/>
    <w:rsid w:val="00E11D4F"/>
    <w:rsid w:val="00E11D84"/>
    <w:rsid w:val="00E11F5A"/>
    <w:rsid w:val="00E11FCE"/>
    <w:rsid w:val="00E12074"/>
    <w:rsid w:val="00E12211"/>
    <w:rsid w:val="00E12850"/>
    <w:rsid w:val="00E128A5"/>
    <w:rsid w:val="00E129AB"/>
    <w:rsid w:val="00E129B1"/>
    <w:rsid w:val="00E12B1E"/>
    <w:rsid w:val="00E12CC7"/>
    <w:rsid w:val="00E12EF6"/>
    <w:rsid w:val="00E131BD"/>
    <w:rsid w:val="00E131DA"/>
    <w:rsid w:val="00E133B6"/>
    <w:rsid w:val="00E133CB"/>
    <w:rsid w:val="00E13404"/>
    <w:rsid w:val="00E137C2"/>
    <w:rsid w:val="00E1394A"/>
    <w:rsid w:val="00E1398C"/>
    <w:rsid w:val="00E13ACB"/>
    <w:rsid w:val="00E13B5C"/>
    <w:rsid w:val="00E13FDE"/>
    <w:rsid w:val="00E140A7"/>
    <w:rsid w:val="00E142FA"/>
    <w:rsid w:val="00E144AF"/>
    <w:rsid w:val="00E14750"/>
    <w:rsid w:val="00E14C06"/>
    <w:rsid w:val="00E14F4E"/>
    <w:rsid w:val="00E1508E"/>
    <w:rsid w:val="00E15200"/>
    <w:rsid w:val="00E1556B"/>
    <w:rsid w:val="00E155B9"/>
    <w:rsid w:val="00E1575B"/>
    <w:rsid w:val="00E1593D"/>
    <w:rsid w:val="00E15999"/>
    <w:rsid w:val="00E15A23"/>
    <w:rsid w:val="00E15DD7"/>
    <w:rsid w:val="00E15EC9"/>
    <w:rsid w:val="00E162FD"/>
    <w:rsid w:val="00E164C6"/>
    <w:rsid w:val="00E1698E"/>
    <w:rsid w:val="00E170F8"/>
    <w:rsid w:val="00E1721F"/>
    <w:rsid w:val="00E17277"/>
    <w:rsid w:val="00E1745B"/>
    <w:rsid w:val="00E177C8"/>
    <w:rsid w:val="00E1791F"/>
    <w:rsid w:val="00E179F3"/>
    <w:rsid w:val="00E17A45"/>
    <w:rsid w:val="00E17A54"/>
    <w:rsid w:val="00E17B91"/>
    <w:rsid w:val="00E17C99"/>
    <w:rsid w:val="00E17EB6"/>
    <w:rsid w:val="00E17F0A"/>
    <w:rsid w:val="00E17FA2"/>
    <w:rsid w:val="00E204C5"/>
    <w:rsid w:val="00E20B4D"/>
    <w:rsid w:val="00E20C9E"/>
    <w:rsid w:val="00E20DCC"/>
    <w:rsid w:val="00E20FB8"/>
    <w:rsid w:val="00E2101B"/>
    <w:rsid w:val="00E21690"/>
    <w:rsid w:val="00E216C1"/>
    <w:rsid w:val="00E21701"/>
    <w:rsid w:val="00E218E5"/>
    <w:rsid w:val="00E21FD2"/>
    <w:rsid w:val="00E221EA"/>
    <w:rsid w:val="00E2225B"/>
    <w:rsid w:val="00E222E5"/>
    <w:rsid w:val="00E227BC"/>
    <w:rsid w:val="00E2284D"/>
    <w:rsid w:val="00E22861"/>
    <w:rsid w:val="00E22A0C"/>
    <w:rsid w:val="00E22B53"/>
    <w:rsid w:val="00E22C6E"/>
    <w:rsid w:val="00E22CA1"/>
    <w:rsid w:val="00E22D51"/>
    <w:rsid w:val="00E22E23"/>
    <w:rsid w:val="00E22F4C"/>
    <w:rsid w:val="00E2315B"/>
    <w:rsid w:val="00E2318E"/>
    <w:rsid w:val="00E23330"/>
    <w:rsid w:val="00E237A3"/>
    <w:rsid w:val="00E238CB"/>
    <w:rsid w:val="00E238F9"/>
    <w:rsid w:val="00E23961"/>
    <w:rsid w:val="00E23E53"/>
    <w:rsid w:val="00E23ED9"/>
    <w:rsid w:val="00E2400C"/>
    <w:rsid w:val="00E242FE"/>
    <w:rsid w:val="00E24595"/>
    <w:rsid w:val="00E2465B"/>
    <w:rsid w:val="00E24ABF"/>
    <w:rsid w:val="00E24B55"/>
    <w:rsid w:val="00E2507D"/>
    <w:rsid w:val="00E251C8"/>
    <w:rsid w:val="00E252A8"/>
    <w:rsid w:val="00E2545A"/>
    <w:rsid w:val="00E25665"/>
    <w:rsid w:val="00E2598F"/>
    <w:rsid w:val="00E25B14"/>
    <w:rsid w:val="00E25CC8"/>
    <w:rsid w:val="00E25D5F"/>
    <w:rsid w:val="00E25DDB"/>
    <w:rsid w:val="00E25E04"/>
    <w:rsid w:val="00E25EFC"/>
    <w:rsid w:val="00E2610A"/>
    <w:rsid w:val="00E26463"/>
    <w:rsid w:val="00E26C3A"/>
    <w:rsid w:val="00E26C74"/>
    <w:rsid w:val="00E26F77"/>
    <w:rsid w:val="00E27121"/>
    <w:rsid w:val="00E2730C"/>
    <w:rsid w:val="00E273EB"/>
    <w:rsid w:val="00E2743E"/>
    <w:rsid w:val="00E274C6"/>
    <w:rsid w:val="00E27CC5"/>
    <w:rsid w:val="00E27F28"/>
    <w:rsid w:val="00E27F42"/>
    <w:rsid w:val="00E30152"/>
    <w:rsid w:val="00E3067C"/>
    <w:rsid w:val="00E3072F"/>
    <w:rsid w:val="00E30A34"/>
    <w:rsid w:val="00E30B64"/>
    <w:rsid w:val="00E30CB8"/>
    <w:rsid w:val="00E30D9A"/>
    <w:rsid w:val="00E310FF"/>
    <w:rsid w:val="00E3152A"/>
    <w:rsid w:val="00E319CE"/>
    <w:rsid w:val="00E31FF1"/>
    <w:rsid w:val="00E320A0"/>
    <w:rsid w:val="00E32B43"/>
    <w:rsid w:val="00E32B48"/>
    <w:rsid w:val="00E32E80"/>
    <w:rsid w:val="00E33470"/>
    <w:rsid w:val="00E337AA"/>
    <w:rsid w:val="00E338ED"/>
    <w:rsid w:val="00E33AF2"/>
    <w:rsid w:val="00E33B77"/>
    <w:rsid w:val="00E33CCF"/>
    <w:rsid w:val="00E33F02"/>
    <w:rsid w:val="00E3430D"/>
    <w:rsid w:val="00E344FE"/>
    <w:rsid w:val="00E34A9E"/>
    <w:rsid w:val="00E34AC1"/>
    <w:rsid w:val="00E34D13"/>
    <w:rsid w:val="00E353E6"/>
    <w:rsid w:val="00E35513"/>
    <w:rsid w:val="00E355D4"/>
    <w:rsid w:val="00E359C8"/>
    <w:rsid w:val="00E35A8D"/>
    <w:rsid w:val="00E35AA1"/>
    <w:rsid w:val="00E35E31"/>
    <w:rsid w:val="00E35ECD"/>
    <w:rsid w:val="00E36134"/>
    <w:rsid w:val="00E36619"/>
    <w:rsid w:val="00E36620"/>
    <w:rsid w:val="00E36815"/>
    <w:rsid w:val="00E36BEB"/>
    <w:rsid w:val="00E36CF5"/>
    <w:rsid w:val="00E37388"/>
    <w:rsid w:val="00E37519"/>
    <w:rsid w:val="00E37561"/>
    <w:rsid w:val="00E377B1"/>
    <w:rsid w:val="00E379A4"/>
    <w:rsid w:val="00E37AE5"/>
    <w:rsid w:val="00E37CAF"/>
    <w:rsid w:val="00E37F1A"/>
    <w:rsid w:val="00E37F67"/>
    <w:rsid w:val="00E401C9"/>
    <w:rsid w:val="00E403C2"/>
    <w:rsid w:val="00E40561"/>
    <w:rsid w:val="00E406CA"/>
    <w:rsid w:val="00E40AA8"/>
    <w:rsid w:val="00E4112A"/>
    <w:rsid w:val="00E41486"/>
    <w:rsid w:val="00E415E4"/>
    <w:rsid w:val="00E42360"/>
    <w:rsid w:val="00E4241B"/>
    <w:rsid w:val="00E427F4"/>
    <w:rsid w:val="00E42B08"/>
    <w:rsid w:val="00E42B9D"/>
    <w:rsid w:val="00E42D68"/>
    <w:rsid w:val="00E42F19"/>
    <w:rsid w:val="00E437EE"/>
    <w:rsid w:val="00E43AF9"/>
    <w:rsid w:val="00E43C00"/>
    <w:rsid w:val="00E440AC"/>
    <w:rsid w:val="00E4435C"/>
    <w:rsid w:val="00E44718"/>
    <w:rsid w:val="00E44778"/>
    <w:rsid w:val="00E44A29"/>
    <w:rsid w:val="00E44EEC"/>
    <w:rsid w:val="00E45122"/>
    <w:rsid w:val="00E451D5"/>
    <w:rsid w:val="00E451E7"/>
    <w:rsid w:val="00E45B81"/>
    <w:rsid w:val="00E460C6"/>
    <w:rsid w:val="00E4650F"/>
    <w:rsid w:val="00E46B51"/>
    <w:rsid w:val="00E46EA3"/>
    <w:rsid w:val="00E46EDB"/>
    <w:rsid w:val="00E46F8E"/>
    <w:rsid w:val="00E47253"/>
    <w:rsid w:val="00E472BF"/>
    <w:rsid w:val="00E47978"/>
    <w:rsid w:val="00E47E65"/>
    <w:rsid w:val="00E5043C"/>
    <w:rsid w:val="00E5056B"/>
    <w:rsid w:val="00E50654"/>
    <w:rsid w:val="00E508D6"/>
    <w:rsid w:val="00E50936"/>
    <w:rsid w:val="00E509F7"/>
    <w:rsid w:val="00E50C1F"/>
    <w:rsid w:val="00E50DE5"/>
    <w:rsid w:val="00E51049"/>
    <w:rsid w:val="00E512B0"/>
    <w:rsid w:val="00E512C0"/>
    <w:rsid w:val="00E51394"/>
    <w:rsid w:val="00E51458"/>
    <w:rsid w:val="00E514B9"/>
    <w:rsid w:val="00E51567"/>
    <w:rsid w:val="00E5168E"/>
    <w:rsid w:val="00E516CB"/>
    <w:rsid w:val="00E51C4B"/>
    <w:rsid w:val="00E51CA0"/>
    <w:rsid w:val="00E51D1F"/>
    <w:rsid w:val="00E51EC7"/>
    <w:rsid w:val="00E52201"/>
    <w:rsid w:val="00E52386"/>
    <w:rsid w:val="00E5260D"/>
    <w:rsid w:val="00E52A2B"/>
    <w:rsid w:val="00E52DC7"/>
    <w:rsid w:val="00E533BA"/>
    <w:rsid w:val="00E5346D"/>
    <w:rsid w:val="00E53499"/>
    <w:rsid w:val="00E534A3"/>
    <w:rsid w:val="00E537F4"/>
    <w:rsid w:val="00E538BF"/>
    <w:rsid w:val="00E538DF"/>
    <w:rsid w:val="00E53A5B"/>
    <w:rsid w:val="00E53AC3"/>
    <w:rsid w:val="00E53C6A"/>
    <w:rsid w:val="00E53D27"/>
    <w:rsid w:val="00E5404A"/>
    <w:rsid w:val="00E546F2"/>
    <w:rsid w:val="00E5473E"/>
    <w:rsid w:val="00E549FF"/>
    <w:rsid w:val="00E54AFF"/>
    <w:rsid w:val="00E54B6E"/>
    <w:rsid w:val="00E54C70"/>
    <w:rsid w:val="00E54F60"/>
    <w:rsid w:val="00E55173"/>
    <w:rsid w:val="00E55430"/>
    <w:rsid w:val="00E5546D"/>
    <w:rsid w:val="00E554A8"/>
    <w:rsid w:val="00E5583F"/>
    <w:rsid w:val="00E55F6F"/>
    <w:rsid w:val="00E562C4"/>
    <w:rsid w:val="00E56413"/>
    <w:rsid w:val="00E5644A"/>
    <w:rsid w:val="00E564A3"/>
    <w:rsid w:val="00E56529"/>
    <w:rsid w:val="00E5661F"/>
    <w:rsid w:val="00E56866"/>
    <w:rsid w:val="00E568DE"/>
    <w:rsid w:val="00E56DD9"/>
    <w:rsid w:val="00E56FB9"/>
    <w:rsid w:val="00E56FF6"/>
    <w:rsid w:val="00E5718A"/>
    <w:rsid w:val="00E574F0"/>
    <w:rsid w:val="00E57516"/>
    <w:rsid w:val="00E57790"/>
    <w:rsid w:val="00E5785D"/>
    <w:rsid w:val="00E579D1"/>
    <w:rsid w:val="00E57C2F"/>
    <w:rsid w:val="00E600D0"/>
    <w:rsid w:val="00E601A2"/>
    <w:rsid w:val="00E604C9"/>
    <w:rsid w:val="00E604E8"/>
    <w:rsid w:val="00E6056F"/>
    <w:rsid w:val="00E606DC"/>
    <w:rsid w:val="00E609D3"/>
    <w:rsid w:val="00E60B47"/>
    <w:rsid w:val="00E61015"/>
    <w:rsid w:val="00E61033"/>
    <w:rsid w:val="00E6117A"/>
    <w:rsid w:val="00E61759"/>
    <w:rsid w:val="00E619D7"/>
    <w:rsid w:val="00E61C47"/>
    <w:rsid w:val="00E622D9"/>
    <w:rsid w:val="00E6251A"/>
    <w:rsid w:val="00E628CC"/>
    <w:rsid w:val="00E62C58"/>
    <w:rsid w:val="00E62D9B"/>
    <w:rsid w:val="00E63067"/>
    <w:rsid w:val="00E6320A"/>
    <w:rsid w:val="00E63BA3"/>
    <w:rsid w:val="00E64540"/>
    <w:rsid w:val="00E6490D"/>
    <w:rsid w:val="00E649AF"/>
    <w:rsid w:val="00E64ABF"/>
    <w:rsid w:val="00E64BA2"/>
    <w:rsid w:val="00E64BCB"/>
    <w:rsid w:val="00E650DD"/>
    <w:rsid w:val="00E653EB"/>
    <w:rsid w:val="00E6557D"/>
    <w:rsid w:val="00E65638"/>
    <w:rsid w:val="00E6583F"/>
    <w:rsid w:val="00E6589C"/>
    <w:rsid w:val="00E65BD6"/>
    <w:rsid w:val="00E65C4D"/>
    <w:rsid w:val="00E65C58"/>
    <w:rsid w:val="00E65D71"/>
    <w:rsid w:val="00E65F20"/>
    <w:rsid w:val="00E65F8D"/>
    <w:rsid w:val="00E661E2"/>
    <w:rsid w:val="00E66342"/>
    <w:rsid w:val="00E66521"/>
    <w:rsid w:val="00E6653E"/>
    <w:rsid w:val="00E66A8F"/>
    <w:rsid w:val="00E66BBC"/>
    <w:rsid w:val="00E66E7C"/>
    <w:rsid w:val="00E67206"/>
    <w:rsid w:val="00E673D5"/>
    <w:rsid w:val="00E67497"/>
    <w:rsid w:val="00E679CD"/>
    <w:rsid w:val="00E67C3F"/>
    <w:rsid w:val="00E67CF7"/>
    <w:rsid w:val="00E67FCF"/>
    <w:rsid w:val="00E70191"/>
    <w:rsid w:val="00E70CA7"/>
    <w:rsid w:val="00E70D38"/>
    <w:rsid w:val="00E71174"/>
    <w:rsid w:val="00E71298"/>
    <w:rsid w:val="00E71325"/>
    <w:rsid w:val="00E71467"/>
    <w:rsid w:val="00E7152A"/>
    <w:rsid w:val="00E71531"/>
    <w:rsid w:val="00E718C9"/>
    <w:rsid w:val="00E71BBE"/>
    <w:rsid w:val="00E71E54"/>
    <w:rsid w:val="00E71EFC"/>
    <w:rsid w:val="00E72384"/>
    <w:rsid w:val="00E7239E"/>
    <w:rsid w:val="00E724F6"/>
    <w:rsid w:val="00E7272D"/>
    <w:rsid w:val="00E7276E"/>
    <w:rsid w:val="00E727F4"/>
    <w:rsid w:val="00E72D1B"/>
    <w:rsid w:val="00E72E3B"/>
    <w:rsid w:val="00E72EC4"/>
    <w:rsid w:val="00E73654"/>
    <w:rsid w:val="00E737C3"/>
    <w:rsid w:val="00E737D0"/>
    <w:rsid w:val="00E73FB7"/>
    <w:rsid w:val="00E74170"/>
    <w:rsid w:val="00E743C5"/>
    <w:rsid w:val="00E7489B"/>
    <w:rsid w:val="00E74A1F"/>
    <w:rsid w:val="00E75ADC"/>
    <w:rsid w:val="00E75BB2"/>
    <w:rsid w:val="00E75E6F"/>
    <w:rsid w:val="00E76338"/>
    <w:rsid w:val="00E76566"/>
    <w:rsid w:val="00E76732"/>
    <w:rsid w:val="00E7678E"/>
    <w:rsid w:val="00E767C3"/>
    <w:rsid w:val="00E76872"/>
    <w:rsid w:val="00E769C8"/>
    <w:rsid w:val="00E769DD"/>
    <w:rsid w:val="00E76A02"/>
    <w:rsid w:val="00E76A91"/>
    <w:rsid w:val="00E76AF4"/>
    <w:rsid w:val="00E76DC2"/>
    <w:rsid w:val="00E77142"/>
    <w:rsid w:val="00E7722A"/>
    <w:rsid w:val="00E772C7"/>
    <w:rsid w:val="00E773B6"/>
    <w:rsid w:val="00E776B6"/>
    <w:rsid w:val="00E77854"/>
    <w:rsid w:val="00E77971"/>
    <w:rsid w:val="00E77D1A"/>
    <w:rsid w:val="00E8009B"/>
    <w:rsid w:val="00E801E1"/>
    <w:rsid w:val="00E804D3"/>
    <w:rsid w:val="00E80633"/>
    <w:rsid w:val="00E80DEC"/>
    <w:rsid w:val="00E80F65"/>
    <w:rsid w:val="00E80F80"/>
    <w:rsid w:val="00E8105E"/>
    <w:rsid w:val="00E813A4"/>
    <w:rsid w:val="00E8162B"/>
    <w:rsid w:val="00E817E1"/>
    <w:rsid w:val="00E81F5C"/>
    <w:rsid w:val="00E81FE0"/>
    <w:rsid w:val="00E82004"/>
    <w:rsid w:val="00E8221A"/>
    <w:rsid w:val="00E82279"/>
    <w:rsid w:val="00E822DD"/>
    <w:rsid w:val="00E825E0"/>
    <w:rsid w:val="00E82944"/>
    <w:rsid w:val="00E829C6"/>
    <w:rsid w:val="00E82BE9"/>
    <w:rsid w:val="00E82DEB"/>
    <w:rsid w:val="00E82EE0"/>
    <w:rsid w:val="00E830F7"/>
    <w:rsid w:val="00E8310C"/>
    <w:rsid w:val="00E83139"/>
    <w:rsid w:val="00E832B1"/>
    <w:rsid w:val="00E832DA"/>
    <w:rsid w:val="00E83618"/>
    <w:rsid w:val="00E83809"/>
    <w:rsid w:val="00E8398E"/>
    <w:rsid w:val="00E83FBD"/>
    <w:rsid w:val="00E8406C"/>
    <w:rsid w:val="00E841C0"/>
    <w:rsid w:val="00E842E2"/>
    <w:rsid w:val="00E84563"/>
    <w:rsid w:val="00E8458A"/>
    <w:rsid w:val="00E8462C"/>
    <w:rsid w:val="00E8474A"/>
    <w:rsid w:val="00E849A3"/>
    <w:rsid w:val="00E84BD2"/>
    <w:rsid w:val="00E84E02"/>
    <w:rsid w:val="00E84E1F"/>
    <w:rsid w:val="00E851B8"/>
    <w:rsid w:val="00E8529D"/>
    <w:rsid w:val="00E854F2"/>
    <w:rsid w:val="00E855C3"/>
    <w:rsid w:val="00E857D6"/>
    <w:rsid w:val="00E85F79"/>
    <w:rsid w:val="00E860E8"/>
    <w:rsid w:val="00E86C5F"/>
    <w:rsid w:val="00E86CB8"/>
    <w:rsid w:val="00E86F05"/>
    <w:rsid w:val="00E86F32"/>
    <w:rsid w:val="00E87248"/>
    <w:rsid w:val="00E874C1"/>
    <w:rsid w:val="00E87ADF"/>
    <w:rsid w:val="00E87C8D"/>
    <w:rsid w:val="00E87C91"/>
    <w:rsid w:val="00E87E24"/>
    <w:rsid w:val="00E87E70"/>
    <w:rsid w:val="00E90010"/>
    <w:rsid w:val="00E90521"/>
    <w:rsid w:val="00E90771"/>
    <w:rsid w:val="00E908D3"/>
    <w:rsid w:val="00E90A80"/>
    <w:rsid w:val="00E90B25"/>
    <w:rsid w:val="00E90BA0"/>
    <w:rsid w:val="00E90ECD"/>
    <w:rsid w:val="00E90FB0"/>
    <w:rsid w:val="00E912FB"/>
    <w:rsid w:val="00E91518"/>
    <w:rsid w:val="00E915BB"/>
    <w:rsid w:val="00E9164A"/>
    <w:rsid w:val="00E91BA1"/>
    <w:rsid w:val="00E91D5B"/>
    <w:rsid w:val="00E91DC3"/>
    <w:rsid w:val="00E9203C"/>
    <w:rsid w:val="00E92A77"/>
    <w:rsid w:val="00E92CC5"/>
    <w:rsid w:val="00E92FB8"/>
    <w:rsid w:val="00E93155"/>
    <w:rsid w:val="00E936AA"/>
    <w:rsid w:val="00E93728"/>
    <w:rsid w:val="00E93A9F"/>
    <w:rsid w:val="00E94169"/>
    <w:rsid w:val="00E94187"/>
    <w:rsid w:val="00E94433"/>
    <w:rsid w:val="00E948C1"/>
    <w:rsid w:val="00E94C51"/>
    <w:rsid w:val="00E9551C"/>
    <w:rsid w:val="00E95BEA"/>
    <w:rsid w:val="00E95CEF"/>
    <w:rsid w:val="00E95F32"/>
    <w:rsid w:val="00E960CE"/>
    <w:rsid w:val="00E96204"/>
    <w:rsid w:val="00E962F6"/>
    <w:rsid w:val="00E96434"/>
    <w:rsid w:val="00E964C6"/>
    <w:rsid w:val="00E967FC"/>
    <w:rsid w:val="00E97214"/>
    <w:rsid w:val="00E97240"/>
    <w:rsid w:val="00E9734A"/>
    <w:rsid w:val="00E974BB"/>
    <w:rsid w:val="00E97527"/>
    <w:rsid w:val="00E97538"/>
    <w:rsid w:val="00E97944"/>
    <w:rsid w:val="00E97B1F"/>
    <w:rsid w:val="00E97F00"/>
    <w:rsid w:val="00EA045C"/>
    <w:rsid w:val="00EA09E4"/>
    <w:rsid w:val="00EA1119"/>
    <w:rsid w:val="00EA14F8"/>
    <w:rsid w:val="00EA1CB8"/>
    <w:rsid w:val="00EA1D90"/>
    <w:rsid w:val="00EA2304"/>
    <w:rsid w:val="00EA2325"/>
    <w:rsid w:val="00EA2824"/>
    <w:rsid w:val="00EA29BD"/>
    <w:rsid w:val="00EA3472"/>
    <w:rsid w:val="00EA34CC"/>
    <w:rsid w:val="00EA3691"/>
    <w:rsid w:val="00EA3F3E"/>
    <w:rsid w:val="00EA3F57"/>
    <w:rsid w:val="00EA41A0"/>
    <w:rsid w:val="00EA465A"/>
    <w:rsid w:val="00EA478D"/>
    <w:rsid w:val="00EA5129"/>
    <w:rsid w:val="00EA55F8"/>
    <w:rsid w:val="00EA5789"/>
    <w:rsid w:val="00EA584E"/>
    <w:rsid w:val="00EA5C46"/>
    <w:rsid w:val="00EA5D85"/>
    <w:rsid w:val="00EA5EC8"/>
    <w:rsid w:val="00EA5F21"/>
    <w:rsid w:val="00EA6110"/>
    <w:rsid w:val="00EA62DA"/>
    <w:rsid w:val="00EA650F"/>
    <w:rsid w:val="00EA65A6"/>
    <w:rsid w:val="00EA6716"/>
    <w:rsid w:val="00EA6861"/>
    <w:rsid w:val="00EA6B4B"/>
    <w:rsid w:val="00EA6C98"/>
    <w:rsid w:val="00EA6D64"/>
    <w:rsid w:val="00EA6E44"/>
    <w:rsid w:val="00EA70A1"/>
    <w:rsid w:val="00EA714E"/>
    <w:rsid w:val="00EA77EF"/>
    <w:rsid w:val="00EA7838"/>
    <w:rsid w:val="00EA7EA0"/>
    <w:rsid w:val="00EA7FB6"/>
    <w:rsid w:val="00EB0286"/>
    <w:rsid w:val="00EB0683"/>
    <w:rsid w:val="00EB0989"/>
    <w:rsid w:val="00EB0AD4"/>
    <w:rsid w:val="00EB0E21"/>
    <w:rsid w:val="00EB11BD"/>
    <w:rsid w:val="00EB1219"/>
    <w:rsid w:val="00EB1265"/>
    <w:rsid w:val="00EB1307"/>
    <w:rsid w:val="00EB1311"/>
    <w:rsid w:val="00EB1501"/>
    <w:rsid w:val="00EB1896"/>
    <w:rsid w:val="00EB1C54"/>
    <w:rsid w:val="00EB1C63"/>
    <w:rsid w:val="00EB1F0E"/>
    <w:rsid w:val="00EB24BA"/>
    <w:rsid w:val="00EB2A4C"/>
    <w:rsid w:val="00EB2B78"/>
    <w:rsid w:val="00EB2B8B"/>
    <w:rsid w:val="00EB2C11"/>
    <w:rsid w:val="00EB2C72"/>
    <w:rsid w:val="00EB2D9A"/>
    <w:rsid w:val="00EB2E85"/>
    <w:rsid w:val="00EB2F67"/>
    <w:rsid w:val="00EB3024"/>
    <w:rsid w:val="00EB3209"/>
    <w:rsid w:val="00EB34E6"/>
    <w:rsid w:val="00EB34EB"/>
    <w:rsid w:val="00EB3687"/>
    <w:rsid w:val="00EB3D5F"/>
    <w:rsid w:val="00EB3DFC"/>
    <w:rsid w:val="00EB40FD"/>
    <w:rsid w:val="00EB437F"/>
    <w:rsid w:val="00EB44AA"/>
    <w:rsid w:val="00EB4876"/>
    <w:rsid w:val="00EB4986"/>
    <w:rsid w:val="00EB49DB"/>
    <w:rsid w:val="00EB4A8E"/>
    <w:rsid w:val="00EB4B42"/>
    <w:rsid w:val="00EB531F"/>
    <w:rsid w:val="00EB5586"/>
    <w:rsid w:val="00EB5873"/>
    <w:rsid w:val="00EB59AA"/>
    <w:rsid w:val="00EB5B28"/>
    <w:rsid w:val="00EB5C3F"/>
    <w:rsid w:val="00EB6147"/>
    <w:rsid w:val="00EB6178"/>
    <w:rsid w:val="00EB63C7"/>
    <w:rsid w:val="00EB6950"/>
    <w:rsid w:val="00EB6F64"/>
    <w:rsid w:val="00EB70D1"/>
    <w:rsid w:val="00EB72BB"/>
    <w:rsid w:val="00EB72C4"/>
    <w:rsid w:val="00EB76D4"/>
    <w:rsid w:val="00EB77AC"/>
    <w:rsid w:val="00EB79DA"/>
    <w:rsid w:val="00EB7D97"/>
    <w:rsid w:val="00EB7F9B"/>
    <w:rsid w:val="00EC0111"/>
    <w:rsid w:val="00EC0560"/>
    <w:rsid w:val="00EC070C"/>
    <w:rsid w:val="00EC0AB3"/>
    <w:rsid w:val="00EC0BF1"/>
    <w:rsid w:val="00EC0DD6"/>
    <w:rsid w:val="00EC0E32"/>
    <w:rsid w:val="00EC147A"/>
    <w:rsid w:val="00EC1484"/>
    <w:rsid w:val="00EC1E5A"/>
    <w:rsid w:val="00EC1F6B"/>
    <w:rsid w:val="00EC20F5"/>
    <w:rsid w:val="00EC2164"/>
    <w:rsid w:val="00EC2351"/>
    <w:rsid w:val="00EC23EC"/>
    <w:rsid w:val="00EC29EC"/>
    <w:rsid w:val="00EC2B28"/>
    <w:rsid w:val="00EC2CAD"/>
    <w:rsid w:val="00EC31E6"/>
    <w:rsid w:val="00EC32A4"/>
    <w:rsid w:val="00EC335D"/>
    <w:rsid w:val="00EC3427"/>
    <w:rsid w:val="00EC38AD"/>
    <w:rsid w:val="00EC3CFD"/>
    <w:rsid w:val="00EC3ECF"/>
    <w:rsid w:val="00EC3FE5"/>
    <w:rsid w:val="00EC3FF6"/>
    <w:rsid w:val="00EC40C4"/>
    <w:rsid w:val="00EC429A"/>
    <w:rsid w:val="00EC437B"/>
    <w:rsid w:val="00EC4641"/>
    <w:rsid w:val="00EC4B73"/>
    <w:rsid w:val="00EC4C44"/>
    <w:rsid w:val="00EC4C65"/>
    <w:rsid w:val="00EC4D6B"/>
    <w:rsid w:val="00EC5079"/>
    <w:rsid w:val="00EC50D7"/>
    <w:rsid w:val="00EC5228"/>
    <w:rsid w:val="00EC5331"/>
    <w:rsid w:val="00EC5367"/>
    <w:rsid w:val="00EC5843"/>
    <w:rsid w:val="00EC5BD5"/>
    <w:rsid w:val="00EC5C81"/>
    <w:rsid w:val="00EC5D41"/>
    <w:rsid w:val="00EC5D56"/>
    <w:rsid w:val="00EC5FCD"/>
    <w:rsid w:val="00EC640A"/>
    <w:rsid w:val="00EC64BE"/>
    <w:rsid w:val="00EC6570"/>
    <w:rsid w:val="00EC6603"/>
    <w:rsid w:val="00EC6957"/>
    <w:rsid w:val="00EC6F2F"/>
    <w:rsid w:val="00EC729F"/>
    <w:rsid w:val="00EC7377"/>
    <w:rsid w:val="00EC73AF"/>
    <w:rsid w:val="00EC75A3"/>
    <w:rsid w:val="00EC792C"/>
    <w:rsid w:val="00EC7AC8"/>
    <w:rsid w:val="00EC7AFA"/>
    <w:rsid w:val="00EC7E3E"/>
    <w:rsid w:val="00EC7FD8"/>
    <w:rsid w:val="00ED0AB3"/>
    <w:rsid w:val="00ED0CC2"/>
    <w:rsid w:val="00ED0D23"/>
    <w:rsid w:val="00ED115C"/>
    <w:rsid w:val="00ED123B"/>
    <w:rsid w:val="00ED138A"/>
    <w:rsid w:val="00ED1413"/>
    <w:rsid w:val="00ED150A"/>
    <w:rsid w:val="00ED1564"/>
    <w:rsid w:val="00ED213E"/>
    <w:rsid w:val="00ED2259"/>
    <w:rsid w:val="00ED2273"/>
    <w:rsid w:val="00ED2386"/>
    <w:rsid w:val="00ED2A62"/>
    <w:rsid w:val="00ED2AE2"/>
    <w:rsid w:val="00ED2C32"/>
    <w:rsid w:val="00ED2C6F"/>
    <w:rsid w:val="00ED2FC6"/>
    <w:rsid w:val="00ED2FC8"/>
    <w:rsid w:val="00ED3056"/>
    <w:rsid w:val="00ED323B"/>
    <w:rsid w:val="00ED32A9"/>
    <w:rsid w:val="00ED3366"/>
    <w:rsid w:val="00ED3435"/>
    <w:rsid w:val="00ED3659"/>
    <w:rsid w:val="00ED36B4"/>
    <w:rsid w:val="00ED38F7"/>
    <w:rsid w:val="00ED392C"/>
    <w:rsid w:val="00ED3B7A"/>
    <w:rsid w:val="00ED3BA6"/>
    <w:rsid w:val="00ED3EDB"/>
    <w:rsid w:val="00ED44B7"/>
    <w:rsid w:val="00ED4589"/>
    <w:rsid w:val="00ED45D7"/>
    <w:rsid w:val="00ED49AA"/>
    <w:rsid w:val="00ED4C5D"/>
    <w:rsid w:val="00ED4CBC"/>
    <w:rsid w:val="00ED4E66"/>
    <w:rsid w:val="00ED545C"/>
    <w:rsid w:val="00ED54B9"/>
    <w:rsid w:val="00ED54C4"/>
    <w:rsid w:val="00ED54DC"/>
    <w:rsid w:val="00ED5824"/>
    <w:rsid w:val="00ED5859"/>
    <w:rsid w:val="00ED5D6A"/>
    <w:rsid w:val="00ED61AF"/>
    <w:rsid w:val="00ED6365"/>
    <w:rsid w:val="00ED669D"/>
    <w:rsid w:val="00ED66C9"/>
    <w:rsid w:val="00ED6779"/>
    <w:rsid w:val="00ED67CC"/>
    <w:rsid w:val="00ED6839"/>
    <w:rsid w:val="00ED6994"/>
    <w:rsid w:val="00ED6A5B"/>
    <w:rsid w:val="00ED72BB"/>
    <w:rsid w:val="00ED7910"/>
    <w:rsid w:val="00ED7A26"/>
    <w:rsid w:val="00ED7C4C"/>
    <w:rsid w:val="00ED7ED0"/>
    <w:rsid w:val="00EE0002"/>
    <w:rsid w:val="00EE0166"/>
    <w:rsid w:val="00EE0283"/>
    <w:rsid w:val="00EE07B7"/>
    <w:rsid w:val="00EE07D1"/>
    <w:rsid w:val="00EE0988"/>
    <w:rsid w:val="00EE0A11"/>
    <w:rsid w:val="00EE0A9E"/>
    <w:rsid w:val="00EE0C69"/>
    <w:rsid w:val="00EE14D6"/>
    <w:rsid w:val="00EE16A9"/>
    <w:rsid w:val="00EE17D6"/>
    <w:rsid w:val="00EE17F4"/>
    <w:rsid w:val="00EE18A9"/>
    <w:rsid w:val="00EE19D7"/>
    <w:rsid w:val="00EE1C06"/>
    <w:rsid w:val="00EE1D38"/>
    <w:rsid w:val="00EE1D72"/>
    <w:rsid w:val="00EE2193"/>
    <w:rsid w:val="00EE223C"/>
    <w:rsid w:val="00EE2AAB"/>
    <w:rsid w:val="00EE2C2E"/>
    <w:rsid w:val="00EE2D26"/>
    <w:rsid w:val="00EE3345"/>
    <w:rsid w:val="00EE3429"/>
    <w:rsid w:val="00EE344C"/>
    <w:rsid w:val="00EE36D7"/>
    <w:rsid w:val="00EE3719"/>
    <w:rsid w:val="00EE3F48"/>
    <w:rsid w:val="00EE4283"/>
    <w:rsid w:val="00EE4385"/>
    <w:rsid w:val="00EE4582"/>
    <w:rsid w:val="00EE491D"/>
    <w:rsid w:val="00EE4DFD"/>
    <w:rsid w:val="00EE4E6E"/>
    <w:rsid w:val="00EE50DE"/>
    <w:rsid w:val="00EE5278"/>
    <w:rsid w:val="00EE53A1"/>
    <w:rsid w:val="00EE5501"/>
    <w:rsid w:val="00EE5779"/>
    <w:rsid w:val="00EE5893"/>
    <w:rsid w:val="00EE5970"/>
    <w:rsid w:val="00EE5F22"/>
    <w:rsid w:val="00EE5FBE"/>
    <w:rsid w:val="00EE5FC0"/>
    <w:rsid w:val="00EE613E"/>
    <w:rsid w:val="00EE61B9"/>
    <w:rsid w:val="00EE6364"/>
    <w:rsid w:val="00EE666B"/>
    <w:rsid w:val="00EE6764"/>
    <w:rsid w:val="00EE6DFD"/>
    <w:rsid w:val="00EE71D4"/>
    <w:rsid w:val="00EE72C2"/>
    <w:rsid w:val="00EE74BD"/>
    <w:rsid w:val="00EE74E5"/>
    <w:rsid w:val="00EE7515"/>
    <w:rsid w:val="00EE76BA"/>
    <w:rsid w:val="00EE78B4"/>
    <w:rsid w:val="00EF015A"/>
    <w:rsid w:val="00EF053E"/>
    <w:rsid w:val="00EF06D2"/>
    <w:rsid w:val="00EF0A5E"/>
    <w:rsid w:val="00EF0BB8"/>
    <w:rsid w:val="00EF0D6A"/>
    <w:rsid w:val="00EF0E78"/>
    <w:rsid w:val="00EF104B"/>
    <w:rsid w:val="00EF12AA"/>
    <w:rsid w:val="00EF13F0"/>
    <w:rsid w:val="00EF1859"/>
    <w:rsid w:val="00EF1AA5"/>
    <w:rsid w:val="00EF1CA4"/>
    <w:rsid w:val="00EF1D5B"/>
    <w:rsid w:val="00EF237A"/>
    <w:rsid w:val="00EF245F"/>
    <w:rsid w:val="00EF25A2"/>
    <w:rsid w:val="00EF26AF"/>
    <w:rsid w:val="00EF27AD"/>
    <w:rsid w:val="00EF2A79"/>
    <w:rsid w:val="00EF2C58"/>
    <w:rsid w:val="00EF2E14"/>
    <w:rsid w:val="00EF3562"/>
    <w:rsid w:val="00EF3595"/>
    <w:rsid w:val="00EF3714"/>
    <w:rsid w:val="00EF3AC4"/>
    <w:rsid w:val="00EF3BCB"/>
    <w:rsid w:val="00EF3F93"/>
    <w:rsid w:val="00EF401F"/>
    <w:rsid w:val="00EF4183"/>
    <w:rsid w:val="00EF421A"/>
    <w:rsid w:val="00EF4507"/>
    <w:rsid w:val="00EF4828"/>
    <w:rsid w:val="00EF4983"/>
    <w:rsid w:val="00EF4AFE"/>
    <w:rsid w:val="00EF501F"/>
    <w:rsid w:val="00EF5066"/>
    <w:rsid w:val="00EF5334"/>
    <w:rsid w:val="00EF58FD"/>
    <w:rsid w:val="00EF597F"/>
    <w:rsid w:val="00EF5D1B"/>
    <w:rsid w:val="00EF5FDA"/>
    <w:rsid w:val="00EF675C"/>
    <w:rsid w:val="00EF6961"/>
    <w:rsid w:val="00EF6A8C"/>
    <w:rsid w:val="00EF709C"/>
    <w:rsid w:val="00EF72B8"/>
    <w:rsid w:val="00EF72D4"/>
    <w:rsid w:val="00EF72FE"/>
    <w:rsid w:val="00EF7319"/>
    <w:rsid w:val="00EF73D2"/>
    <w:rsid w:val="00EF7732"/>
    <w:rsid w:val="00EF7826"/>
    <w:rsid w:val="00EF7AC3"/>
    <w:rsid w:val="00EF7EF9"/>
    <w:rsid w:val="00EF7F29"/>
    <w:rsid w:val="00F001F7"/>
    <w:rsid w:val="00F002C8"/>
    <w:rsid w:val="00F002E9"/>
    <w:rsid w:val="00F003A4"/>
    <w:rsid w:val="00F0045C"/>
    <w:rsid w:val="00F0055B"/>
    <w:rsid w:val="00F005AB"/>
    <w:rsid w:val="00F00611"/>
    <w:rsid w:val="00F00643"/>
    <w:rsid w:val="00F00C51"/>
    <w:rsid w:val="00F00C56"/>
    <w:rsid w:val="00F00D4F"/>
    <w:rsid w:val="00F00ECE"/>
    <w:rsid w:val="00F00F29"/>
    <w:rsid w:val="00F00FA1"/>
    <w:rsid w:val="00F012BE"/>
    <w:rsid w:val="00F019BB"/>
    <w:rsid w:val="00F01F64"/>
    <w:rsid w:val="00F023EA"/>
    <w:rsid w:val="00F0292D"/>
    <w:rsid w:val="00F029D5"/>
    <w:rsid w:val="00F03100"/>
    <w:rsid w:val="00F032A7"/>
    <w:rsid w:val="00F03519"/>
    <w:rsid w:val="00F03658"/>
    <w:rsid w:val="00F038DB"/>
    <w:rsid w:val="00F0390F"/>
    <w:rsid w:val="00F03AA8"/>
    <w:rsid w:val="00F03B4B"/>
    <w:rsid w:val="00F03E4B"/>
    <w:rsid w:val="00F042FD"/>
    <w:rsid w:val="00F04303"/>
    <w:rsid w:val="00F04376"/>
    <w:rsid w:val="00F04607"/>
    <w:rsid w:val="00F047D3"/>
    <w:rsid w:val="00F048ED"/>
    <w:rsid w:val="00F04BAB"/>
    <w:rsid w:val="00F04BAF"/>
    <w:rsid w:val="00F04F56"/>
    <w:rsid w:val="00F050BA"/>
    <w:rsid w:val="00F0523B"/>
    <w:rsid w:val="00F0526D"/>
    <w:rsid w:val="00F054DF"/>
    <w:rsid w:val="00F055DD"/>
    <w:rsid w:val="00F056DA"/>
    <w:rsid w:val="00F05760"/>
    <w:rsid w:val="00F0578E"/>
    <w:rsid w:val="00F059B2"/>
    <w:rsid w:val="00F05B57"/>
    <w:rsid w:val="00F05CEF"/>
    <w:rsid w:val="00F06086"/>
    <w:rsid w:val="00F062B7"/>
    <w:rsid w:val="00F0670C"/>
    <w:rsid w:val="00F06A91"/>
    <w:rsid w:val="00F06C57"/>
    <w:rsid w:val="00F06C92"/>
    <w:rsid w:val="00F07297"/>
    <w:rsid w:val="00F072DF"/>
    <w:rsid w:val="00F077F6"/>
    <w:rsid w:val="00F104CF"/>
    <w:rsid w:val="00F10749"/>
    <w:rsid w:val="00F10780"/>
    <w:rsid w:val="00F1083C"/>
    <w:rsid w:val="00F10986"/>
    <w:rsid w:val="00F10FF3"/>
    <w:rsid w:val="00F110A3"/>
    <w:rsid w:val="00F11457"/>
    <w:rsid w:val="00F11510"/>
    <w:rsid w:val="00F1156C"/>
    <w:rsid w:val="00F11919"/>
    <w:rsid w:val="00F11E37"/>
    <w:rsid w:val="00F1214F"/>
    <w:rsid w:val="00F124B7"/>
    <w:rsid w:val="00F12547"/>
    <w:rsid w:val="00F12554"/>
    <w:rsid w:val="00F12BAC"/>
    <w:rsid w:val="00F12BD0"/>
    <w:rsid w:val="00F12CBF"/>
    <w:rsid w:val="00F12ECC"/>
    <w:rsid w:val="00F130C8"/>
    <w:rsid w:val="00F13578"/>
    <w:rsid w:val="00F13670"/>
    <w:rsid w:val="00F138C8"/>
    <w:rsid w:val="00F13C84"/>
    <w:rsid w:val="00F13CD2"/>
    <w:rsid w:val="00F13E85"/>
    <w:rsid w:val="00F13FBA"/>
    <w:rsid w:val="00F1418A"/>
    <w:rsid w:val="00F141ED"/>
    <w:rsid w:val="00F1433B"/>
    <w:rsid w:val="00F143C9"/>
    <w:rsid w:val="00F14435"/>
    <w:rsid w:val="00F14579"/>
    <w:rsid w:val="00F146DA"/>
    <w:rsid w:val="00F14AB5"/>
    <w:rsid w:val="00F14AC5"/>
    <w:rsid w:val="00F14D2B"/>
    <w:rsid w:val="00F14EB8"/>
    <w:rsid w:val="00F1589D"/>
    <w:rsid w:val="00F159A5"/>
    <w:rsid w:val="00F15A6D"/>
    <w:rsid w:val="00F15B9A"/>
    <w:rsid w:val="00F1619B"/>
    <w:rsid w:val="00F162F8"/>
    <w:rsid w:val="00F1631C"/>
    <w:rsid w:val="00F16374"/>
    <w:rsid w:val="00F16440"/>
    <w:rsid w:val="00F16729"/>
    <w:rsid w:val="00F16A2C"/>
    <w:rsid w:val="00F16F43"/>
    <w:rsid w:val="00F17421"/>
    <w:rsid w:val="00F1755B"/>
    <w:rsid w:val="00F1758E"/>
    <w:rsid w:val="00F17595"/>
    <w:rsid w:val="00F17652"/>
    <w:rsid w:val="00F1767D"/>
    <w:rsid w:val="00F17804"/>
    <w:rsid w:val="00F17A83"/>
    <w:rsid w:val="00F17AC1"/>
    <w:rsid w:val="00F17DB0"/>
    <w:rsid w:val="00F17DDB"/>
    <w:rsid w:val="00F20201"/>
    <w:rsid w:val="00F203A8"/>
    <w:rsid w:val="00F203ED"/>
    <w:rsid w:val="00F20597"/>
    <w:rsid w:val="00F20804"/>
    <w:rsid w:val="00F20928"/>
    <w:rsid w:val="00F20943"/>
    <w:rsid w:val="00F20A24"/>
    <w:rsid w:val="00F20A76"/>
    <w:rsid w:val="00F20ABF"/>
    <w:rsid w:val="00F20B6F"/>
    <w:rsid w:val="00F20E66"/>
    <w:rsid w:val="00F21060"/>
    <w:rsid w:val="00F21116"/>
    <w:rsid w:val="00F21192"/>
    <w:rsid w:val="00F21251"/>
    <w:rsid w:val="00F21392"/>
    <w:rsid w:val="00F2142A"/>
    <w:rsid w:val="00F21783"/>
    <w:rsid w:val="00F21D3B"/>
    <w:rsid w:val="00F21D5F"/>
    <w:rsid w:val="00F222A0"/>
    <w:rsid w:val="00F222B3"/>
    <w:rsid w:val="00F223C6"/>
    <w:rsid w:val="00F22637"/>
    <w:rsid w:val="00F2266A"/>
    <w:rsid w:val="00F228AD"/>
    <w:rsid w:val="00F229E5"/>
    <w:rsid w:val="00F2332C"/>
    <w:rsid w:val="00F23446"/>
    <w:rsid w:val="00F234BE"/>
    <w:rsid w:val="00F236E2"/>
    <w:rsid w:val="00F237A4"/>
    <w:rsid w:val="00F23990"/>
    <w:rsid w:val="00F24400"/>
    <w:rsid w:val="00F24706"/>
    <w:rsid w:val="00F24909"/>
    <w:rsid w:val="00F24CC7"/>
    <w:rsid w:val="00F24DCE"/>
    <w:rsid w:val="00F24E5B"/>
    <w:rsid w:val="00F253AF"/>
    <w:rsid w:val="00F254F1"/>
    <w:rsid w:val="00F25B08"/>
    <w:rsid w:val="00F25D7D"/>
    <w:rsid w:val="00F25EE1"/>
    <w:rsid w:val="00F26103"/>
    <w:rsid w:val="00F261DD"/>
    <w:rsid w:val="00F2634D"/>
    <w:rsid w:val="00F2636E"/>
    <w:rsid w:val="00F2638F"/>
    <w:rsid w:val="00F26407"/>
    <w:rsid w:val="00F2646B"/>
    <w:rsid w:val="00F266BD"/>
    <w:rsid w:val="00F268DF"/>
    <w:rsid w:val="00F26ADA"/>
    <w:rsid w:val="00F26F7E"/>
    <w:rsid w:val="00F26FD2"/>
    <w:rsid w:val="00F274CD"/>
    <w:rsid w:val="00F27554"/>
    <w:rsid w:val="00F27966"/>
    <w:rsid w:val="00F27A9A"/>
    <w:rsid w:val="00F27B14"/>
    <w:rsid w:val="00F27BF7"/>
    <w:rsid w:val="00F301BF"/>
    <w:rsid w:val="00F303D5"/>
    <w:rsid w:val="00F30AE6"/>
    <w:rsid w:val="00F30CFB"/>
    <w:rsid w:val="00F30D18"/>
    <w:rsid w:val="00F31111"/>
    <w:rsid w:val="00F31442"/>
    <w:rsid w:val="00F3145B"/>
    <w:rsid w:val="00F315B2"/>
    <w:rsid w:val="00F3175D"/>
    <w:rsid w:val="00F317DB"/>
    <w:rsid w:val="00F31BAF"/>
    <w:rsid w:val="00F31CB6"/>
    <w:rsid w:val="00F32478"/>
    <w:rsid w:val="00F32703"/>
    <w:rsid w:val="00F32734"/>
    <w:rsid w:val="00F32743"/>
    <w:rsid w:val="00F327B6"/>
    <w:rsid w:val="00F32A19"/>
    <w:rsid w:val="00F32ADD"/>
    <w:rsid w:val="00F32FEC"/>
    <w:rsid w:val="00F33055"/>
    <w:rsid w:val="00F33071"/>
    <w:rsid w:val="00F33254"/>
    <w:rsid w:val="00F33525"/>
    <w:rsid w:val="00F336C0"/>
    <w:rsid w:val="00F33813"/>
    <w:rsid w:val="00F33856"/>
    <w:rsid w:val="00F33929"/>
    <w:rsid w:val="00F33B67"/>
    <w:rsid w:val="00F33CF7"/>
    <w:rsid w:val="00F33FD8"/>
    <w:rsid w:val="00F34002"/>
    <w:rsid w:val="00F341A9"/>
    <w:rsid w:val="00F34254"/>
    <w:rsid w:val="00F34813"/>
    <w:rsid w:val="00F34B7A"/>
    <w:rsid w:val="00F34D49"/>
    <w:rsid w:val="00F3502E"/>
    <w:rsid w:val="00F350A3"/>
    <w:rsid w:val="00F354CE"/>
    <w:rsid w:val="00F3592B"/>
    <w:rsid w:val="00F35A14"/>
    <w:rsid w:val="00F35A15"/>
    <w:rsid w:val="00F35B0D"/>
    <w:rsid w:val="00F35B6F"/>
    <w:rsid w:val="00F35D6E"/>
    <w:rsid w:val="00F36122"/>
    <w:rsid w:val="00F36203"/>
    <w:rsid w:val="00F36323"/>
    <w:rsid w:val="00F364E7"/>
    <w:rsid w:val="00F364EF"/>
    <w:rsid w:val="00F368CF"/>
    <w:rsid w:val="00F36A4B"/>
    <w:rsid w:val="00F36A5C"/>
    <w:rsid w:val="00F36AC1"/>
    <w:rsid w:val="00F36CF2"/>
    <w:rsid w:val="00F36F5C"/>
    <w:rsid w:val="00F370EB"/>
    <w:rsid w:val="00F37233"/>
    <w:rsid w:val="00F376BA"/>
    <w:rsid w:val="00F3771D"/>
    <w:rsid w:val="00F37764"/>
    <w:rsid w:val="00F377B0"/>
    <w:rsid w:val="00F378DB"/>
    <w:rsid w:val="00F37F1D"/>
    <w:rsid w:val="00F40029"/>
    <w:rsid w:val="00F400FD"/>
    <w:rsid w:val="00F404BC"/>
    <w:rsid w:val="00F40626"/>
    <w:rsid w:val="00F406F2"/>
    <w:rsid w:val="00F40990"/>
    <w:rsid w:val="00F40A3A"/>
    <w:rsid w:val="00F40BD4"/>
    <w:rsid w:val="00F40DD6"/>
    <w:rsid w:val="00F40DF0"/>
    <w:rsid w:val="00F4106A"/>
    <w:rsid w:val="00F41073"/>
    <w:rsid w:val="00F4116C"/>
    <w:rsid w:val="00F4117A"/>
    <w:rsid w:val="00F412CC"/>
    <w:rsid w:val="00F41402"/>
    <w:rsid w:val="00F41454"/>
    <w:rsid w:val="00F4153E"/>
    <w:rsid w:val="00F41621"/>
    <w:rsid w:val="00F417C0"/>
    <w:rsid w:val="00F41BDE"/>
    <w:rsid w:val="00F41EB3"/>
    <w:rsid w:val="00F41F99"/>
    <w:rsid w:val="00F41F9E"/>
    <w:rsid w:val="00F420C5"/>
    <w:rsid w:val="00F426EA"/>
    <w:rsid w:val="00F42874"/>
    <w:rsid w:val="00F42A42"/>
    <w:rsid w:val="00F42C86"/>
    <w:rsid w:val="00F439A9"/>
    <w:rsid w:val="00F43B06"/>
    <w:rsid w:val="00F43C63"/>
    <w:rsid w:val="00F43F19"/>
    <w:rsid w:val="00F43F2E"/>
    <w:rsid w:val="00F44049"/>
    <w:rsid w:val="00F44229"/>
    <w:rsid w:val="00F44449"/>
    <w:rsid w:val="00F446EE"/>
    <w:rsid w:val="00F44721"/>
    <w:rsid w:val="00F44A57"/>
    <w:rsid w:val="00F44F30"/>
    <w:rsid w:val="00F450F5"/>
    <w:rsid w:val="00F45A5C"/>
    <w:rsid w:val="00F45AAF"/>
    <w:rsid w:val="00F45ADE"/>
    <w:rsid w:val="00F45EE9"/>
    <w:rsid w:val="00F45EFE"/>
    <w:rsid w:val="00F45F19"/>
    <w:rsid w:val="00F45FDF"/>
    <w:rsid w:val="00F4602E"/>
    <w:rsid w:val="00F4631B"/>
    <w:rsid w:val="00F4668A"/>
    <w:rsid w:val="00F467CE"/>
    <w:rsid w:val="00F46F34"/>
    <w:rsid w:val="00F4703D"/>
    <w:rsid w:val="00F4726C"/>
    <w:rsid w:val="00F474AB"/>
    <w:rsid w:val="00F47531"/>
    <w:rsid w:val="00F4760A"/>
    <w:rsid w:val="00F4783B"/>
    <w:rsid w:val="00F47A59"/>
    <w:rsid w:val="00F47F37"/>
    <w:rsid w:val="00F50108"/>
    <w:rsid w:val="00F5013A"/>
    <w:rsid w:val="00F505D5"/>
    <w:rsid w:val="00F50695"/>
    <w:rsid w:val="00F508CC"/>
    <w:rsid w:val="00F50A84"/>
    <w:rsid w:val="00F50AA9"/>
    <w:rsid w:val="00F50AC1"/>
    <w:rsid w:val="00F50BC3"/>
    <w:rsid w:val="00F50DDE"/>
    <w:rsid w:val="00F50EBE"/>
    <w:rsid w:val="00F5109E"/>
    <w:rsid w:val="00F512B9"/>
    <w:rsid w:val="00F51425"/>
    <w:rsid w:val="00F51AB9"/>
    <w:rsid w:val="00F51DC7"/>
    <w:rsid w:val="00F5202B"/>
    <w:rsid w:val="00F52232"/>
    <w:rsid w:val="00F522F2"/>
    <w:rsid w:val="00F525F7"/>
    <w:rsid w:val="00F5274B"/>
    <w:rsid w:val="00F528DA"/>
    <w:rsid w:val="00F528E1"/>
    <w:rsid w:val="00F52972"/>
    <w:rsid w:val="00F52DCD"/>
    <w:rsid w:val="00F52E1F"/>
    <w:rsid w:val="00F52E69"/>
    <w:rsid w:val="00F52E93"/>
    <w:rsid w:val="00F53759"/>
    <w:rsid w:val="00F53EF7"/>
    <w:rsid w:val="00F54100"/>
    <w:rsid w:val="00F5414D"/>
    <w:rsid w:val="00F5427F"/>
    <w:rsid w:val="00F54878"/>
    <w:rsid w:val="00F5497A"/>
    <w:rsid w:val="00F549B5"/>
    <w:rsid w:val="00F54BFE"/>
    <w:rsid w:val="00F54CD6"/>
    <w:rsid w:val="00F54DE0"/>
    <w:rsid w:val="00F553A3"/>
    <w:rsid w:val="00F556E4"/>
    <w:rsid w:val="00F559C8"/>
    <w:rsid w:val="00F55FB6"/>
    <w:rsid w:val="00F55FEF"/>
    <w:rsid w:val="00F5600B"/>
    <w:rsid w:val="00F56060"/>
    <w:rsid w:val="00F562D2"/>
    <w:rsid w:val="00F5649E"/>
    <w:rsid w:val="00F566C3"/>
    <w:rsid w:val="00F567EA"/>
    <w:rsid w:val="00F56893"/>
    <w:rsid w:val="00F569BD"/>
    <w:rsid w:val="00F56AC2"/>
    <w:rsid w:val="00F56B84"/>
    <w:rsid w:val="00F56C74"/>
    <w:rsid w:val="00F5730B"/>
    <w:rsid w:val="00F574E6"/>
    <w:rsid w:val="00F57624"/>
    <w:rsid w:val="00F579B4"/>
    <w:rsid w:val="00F57B13"/>
    <w:rsid w:val="00F57C30"/>
    <w:rsid w:val="00F6046B"/>
    <w:rsid w:val="00F606AD"/>
    <w:rsid w:val="00F606EC"/>
    <w:rsid w:val="00F60C72"/>
    <w:rsid w:val="00F6121F"/>
    <w:rsid w:val="00F61324"/>
    <w:rsid w:val="00F613F6"/>
    <w:rsid w:val="00F614CE"/>
    <w:rsid w:val="00F61804"/>
    <w:rsid w:val="00F61BF4"/>
    <w:rsid w:val="00F61D39"/>
    <w:rsid w:val="00F61ED6"/>
    <w:rsid w:val="00F61F58"/>
    <w:rsid w:val="00F620F5"/>
    <w:rsid w:val="00F62131"/>
    <w:rsid w:val="00F62331"/>
    <w:rsid w:val="00F6240A"/>
    <w:rsid w:val="00F627D4"/>
    <w:rsid w:val="00F62968"/>
    <w:rsid w:val="00F62A05"/>
    <w:rsid w:val="00F62D77"/>
    <w:rsid w:val="00F62DCE"/>
    <w:rsid w:val="00F62F58"/>
    <w:rsid w:val="00F62FC7"/>
    <w:rsid w:val="00F63286"/>
    <w:rsid w:val="00F63646"/>
    <w:rsid w:val="00F63684"/>
    <w:rsid w:val="00F63F1A"/>
    <w:rsid w:val="00F6442A"/>
    <w:rsid w:val="00F64443"/>
    <w:rsid w:val="00F64598"/>
    <w:rsid w:val="00F6465D"/>
    <w:rsid w:val="00F6475F"/>
    <w:rsid w:val="00F6497C"/>
    <w:rsid w:val="00F65031"/>
    <w:rsid w:val="00F65219"/>
    <w:rsid w:val="00F65566"/>
    <w:rsid w:val="00F65917"/>
    <w:rsid w:val="00F65AD4"/>
    <w:rsid w:val="00F65C1E"/>
    <w:rsid w:val="00F65DC0"/>
    <w:rsid w:val="00F65DF8"/>
    <w:rsid w:val="00F65FD4"/>
    <w:rsid w:val="00F66006"/>
    <w:rsid w:val="00F66099"/>
    <w:rsid w:val="00F663EC"/>
    <w:rsid w:val="00F665FB"/>
    <w:rsid w:val="00F66821"/>
    <w:rsid w:val="00F669AE"/>
    <w:rsid w:val="00F669D6"/>
    <w:rsid w:val="00F66B13"/>
    <w:rsid w:val="00F66C0E"/>
    <w:rsid w:val="00F66DF9"/>
    <w:rsid w:val="00F66EAE"/>
    <w:rsid w:val="00F670F0"/>
    <w:rsid w:val="00F670FD"/>
    <w:rsid w:val="00F671E5"/>
    <w:rsid w:val="00F67525"/>
    <w:rsid w:val="00F67676"/>
    <w:rsid w:val="00F67876"/>
    <w:rsid w:val="00F679E8"/>
    <w:rsid w:val="00F67B92"/>
    <w:rsid w:val="00F67E78"/>
    <w:rsid w:val="00F67F37"/>
    <w:rsid w:val="00F67FE7"/>
    <w:rsid w:val="00F707FC"/>
    <w:rsid w:val="00F70869"/>
    <w:rsid w:val="00F708B4"/>
    <w:rsid w:val="00F70A37"/>
    <w:rsid w:val="00F70B49"/>
    <w:rsid w:val="00F70C08"/>
    <w:rsid w:val="00F70C20"/>
    <w:rsid w:val="00F70D6B"/>
    <w:rsid w:val="00F70E05"/>
    <w:rsid w:val="00F71BE8"/>
    <w:rsid w:val="00F71C56"/>
    <w:rsid w:val="00F71CF7"/>
    <w:rsid w:val="00F72049"/>
    <w:rsid w:val="00F721D6"/>
    <w:rsid w:val="00F7235D"/>
    <w:rsid w:val="00F7254B"/>
    <w:rsid w:val="00F72791"/>
    <w:rsid w:val="00F72837"/>
    <w:rsid w:val="00F72953"/>
    <w:rsid w:val="00F72B53"/>
    <w:rsid w:val="00F72B80"/>
    <w:rsid w:val="00F72BAA"/>
    <w:rsid w:val="00F72FE9"/>
    <w:rsid w:val="00F730EC"/>
    <w:rsid w:val="00F7311E"/>
    <w:rsid w:val="00F732AB"/>
    <w:rsid w:val="00F7350A"/>
    <w:rsid w:val="00F739E0"/>
    <w:rsid w:val="00F73A44"/>
    <w:rsid w:val="00F73BC9"/>
    <w:rsid w:val="00F73CAF"/>
    <w:rsid w:val="00F73F13"/>
    <w:rsid w:val="00F73FC7"/>
    <w:rsid w:val="00F7425C"/>
    <w:rsid w:val="00F7435D"/>
    <w:rsid w:val="00F74EF5"/>
    <w:rsid w:val="00F7508B"/>
    <w:rsid w:val="00F750D4"/>
    <w:rsid w:val="00F7510D"/>
    <w:rsid w:val="00F75170"/>
    <w:rsid w:val="00F755D1"/>
    <w:rsid w:val="00F75622"/>
    <w:rsid w:val="00F7562C"/>
    <w:rsid w:val="00F759AE"/>
    <w:rsid w:val="00F75A95"/>
    <w:rsid w:val="00F75E08"/>
    <w:rsid w:val="00F75EF7"/>
    <w:rsid w:val="00F75F4C"/>
    <w:rsid w:val="00F7605D"/>
    <w:rsid w:val="00F764FD"/>
    <w:rsid w:val="00F76820"/>
    <w:rsid w:val="00F769BF"/>
    <w:rsid w:val="00F76B83"/>
    <w:rsid w:val="00F76C26"/>
    <w:rsid w:val="00F76C71"/>
    <w:rsid w:val="00F76EB5"/>
    <w:rsid w:val="00F770F9"/>
    <w:rsid w:val="00F773EA"/>
    <w:rsid w:val="00F77A0B"/>
    <w:rsid w:val="00F800A6"/>
    <w:rsid w:val="00F804B3"/>
    <w:rsid w:val="00F80C29"/>
    <w:rsid w:val="00F80C56"/>
    <w:rsid w:val="00F80D7F"/>
    <w:rsid w:val="00F80D95"/>
    <w:rsid w:val="00F81042"/>
    <w:rsid w:val="00F81098"/>
    <w:rsid w:val="00F81185"/>
    <w:rsid w:val="00F81829"/>
    <w:rsid w:val="00F818C9"/>
    <w:rsid w:val="00F81A0E"/>
    <w:rsid w:val="00F81AD9"/>
    <w:rsid w:val="00F81B77"/>
    <w:rsid w:val="00F82093"/>
    <w:rsid w:val="00F820AC"/>
    <w:rsid w:val="00F82335"/>
    <w:rsid w:val="00F82350"/>
    <w:rsid w:val="00F827BA"/>
    <w:rsid w:val="00F82B93"/>
    <w:rsid w:val="00F82B9D"/>
    <w:rsid w:val="00F82FE6"/>
    <w:rsid w:val="00F83154"/>
    <w:rsid w:val="00F83183"/>
    <w:rsid w:val="00F833ED"/>
    <w:rsid w:val="00F83601"/>
    <w:rsid w:val="00F83802"/>
    <w:rsid w:val="00F83B60"/>
    <w:rsid w:val="00F83C7A"/>
    <w:rsid w:val="00F8406A"/>
    <w:rsid w:val="00F8416B"/>
    <w:rsid w:val="00F84192"/>
    <w:rsid w:val="00F84516"/>
    <w:rsid w:val="00F8467B"/>
    <w:rsid w:val="00F8475C"/>
    <w:rsid w:val="00F84ABA"/>
    <w:rsid w:val="00F84B1A"/>
    <w:rsid w:val="00F84BBC"/>
    <w:rsid w:val="00F84D7A"/>
    <w:rsid w:val="00F84EF2"/>
    <w:rsid w:val="00F8511E"/>
    <w:rsid w:val="00F85525"/>
    <w:rsid w:val="00F85840"/>
    <w:rsid w:val="00F85CA7"/>
    <w:rsid w:val="00F861AB"/>
    <w:rsid w:val="00F86319"/>
    <w:rsid w:val="00F86451"/>
    <w:rsid w:val="00F86A12"/>
    <w:rsid w:val="00F86F43"/>
    <w:rsid w:val="00F871D2"/>
    <w:rsid w:val="00F874F8"/>
    <w:rsid w:val="00F8750A"/>
    <w:rsid w:val="00F87783"/>
    <w:rsid w:val="00F87847"/>
    <w:rsid w:val="00F878DC"/>
    <w:rsid w:val="00F87B48"/>
    <w:rsid w:val="00F90099"/>
    <w:rsid w:val="00F900F6"/>
    <w:rsid w:val="00F90147"/>
    <w:rsid w:val="00F9045E"/>
    <w:rsid w:val="00F9048E"/>
    <w:rsid w:val="00F90587"/>
    <w:rsid w:val="00F908B1"/>
    <w:rsid w:val="00F90943"/>
    <w:rsid w:val="00F90AD3"/>
    <w:rsid w:val="00F90B52"/>
    <w:rsid w:val="00F90E03"/>
    <w:rsid w:val="00F91167"/>
    <w:rsid w:val="00F91387"/>
    <w:rsid w:val="00F91676"/>
    <w:rsid w:val="00F91BF2"/>
    <w:rsid w:val="00F91D43"/>
    <w:rsid w:val="00F91FD4"/>
    <w:rsid w:val="00F9223E"/>
    <w:rsid w:val="00F92275"/>
    <w:rsid w:val="00F92409"/>
    <w:rsid w:val="00F92DAD"/>
    <w:rsid w:val="00F931F4"/>
    <w:rsid w:val="00F934F7"/>
    <w:rsid w:val="00F9366D"/>
    <w:rsid w:val="00F9378E"/>
    <w:rsid w:val="00F939BB"/>
    <w:rsid w:val="00F939C1"/>
    <w:rsid w:val="00F93C0B"/>
    <w:rsid w:val="00F93C23"/>
    <w:rsid w:val="00F93C4C"/>
    <w:rsid w:val="00F93D52"/>
    <w:rsid w:val="00F94026"/>
    <w:rsid w:val="00F94068"/>
    <w:rsid w:val="00F94454"/>
    <w:rsid w:val="00F9468D"/>
    <w:rsid w:val="00F948B4"/>
    <w:rsid w:val="00F94D03"/>
    <w:rsid w:val="00F94D21"/>
    <w:rsid w:val="00F9502F"/>
    <w:rsid w:val="00F95444"/>
    <w:rsid w:val="00F9599C"/>
    <w:rsid w:val="00F95A0E"/>
    <w:rsid w:val="00F95B6A"/>
    <w:rsid w:val="00F95B8B"/>
    <w:rsid w:val="00F95CDB"/>
    <w:rsid w:val="00F95E1D"/>
    <w:rsid w:val="00F95EDC"/>
    <w:rsid w:val="00F964BB"/>
    <w:rsid w:val="00F96AA0"/>
    <w:rsid w:val="00F96BB9"/>
    <w:rsid w:val="00F96C0E"/>
    <w:rsid w:val="00F96DFE"/>
    <w:rsid w:val="00F96F2A"/>
    <w:rsid w:val="00F96FB4"/>
    <w:rsid w:val="00F97202"/>
    <w:rsid w:val="00F972DA"/>
    <w:rsid w:val="00F97350"/>
    <w:rsid w:val="00F9750F"/>
    <w:rsid w:val="00F97A71"/>
    <w:rsid w:val="00FA0207"/>
    <w:rsid w:val="00FA026A"/>
    <w:rsid w:val="00FA03E2"/>
    <w:rsid w:val="00FA0870"/>
    <w:rsid w:val="00FA0923"/>
    <w:rsid w:val="00FA1033"/>
    <w:rsid w:val="00FA10E3"/>
    <w:rsid w:val="00FA11E7"/>
    <w:rsid w:val="00FA124B"/>
    <w:rsid w:val="00FA13E0"/>
    <w:rsid w:val="00FA141D"/>
    <w:rsid w:val="00FA169B"/>
    <w:rsid w:val="00FA170F"/>
    <w:rsid w:val="00FA1A44"/>
    <w:rsid w:val="00FA1B6F"/>
    <w:rsid w:val="00FA1D9A"/>
    <w:rsid w:val="00FA1DC9"/>
    <w:rsid w:val="00FA2308"/>
    <w:rsid w:val="00FA2329"/>
    <w:rsid w:val="00FA251A"/>
    <w:rsid w:val="00FA25D7"/>
    <w:rsid w:val="00FA2863"/>
    <w:rsid w:val="00FA2C0B"/>
    <w:rsid w:val="00FA2DCA"/>
    <w:rsid w:val="00FA2E41"/>
    <w:rsid w:val="00FA2EE3"/>
    <w:rsid w:val="00FA3156"/>
    <w:rsid w:val="00FA3452"/>
    <w:rsid w:val="00FA353D"/>
    <w:rsid w:val="00FA3917"/>
    <w:rsid w:val="00FA3B99"/>
    <w:rsid w:val="00FA3C20"/>
    <w:rsid w:val="00FA430A"/>
    <w:rsid w:val="00FA43B0"/>
    <w:rsid w:val="00FA4614"/>
    <w:rsid w:val="00FA4624"/>
    <w:rsid w:val="00FA47EC"/>
    <w:rsid w:val="00FA4894"/>
    <w:rsid w:val="00FA499A"/>
    <w:rsid w:val="00FA4AF3"/>
    <w:rsid w:val="00FA4D4F"/>
    <w:rsid w:val="00FA4E21"/>
    <w:rsid w:val="00FA4E54"/>
    <w:rsid w:val="00FA5720"/>
    <w:rsid w:val="00FA57C1"/>
    <w:rsid w:val="00FA5A15"/>
    <w:rsid w:val="00FA6046"/>
    <w:rsid w:val="00FA6164"/>
    <w:rsid w:val="00FA6275"/>
    <w:rsid w:val="00FA6400"/>
    <w:rsid w:val="00FA64A1"/>
    <w:rsid w:val="00FA6992"/>
    <w:rsid w:val="00FA69BD"/>
    <w:rsid w:val="00FA6BAE"/>
    <w:rsid w:val="00FA7448"/>
    <w:rsid w:val="00FA74AE"/>
    <w:rsid w:val="00FA7583"/>
    <w:rsid w:val="00FA7799"/>
    <w:rsid w:val="00FA78B5"/>
    <w:rsid w:val="00FA7B41"/>
    <w:rsid w:val="00FB0129"/>
    <w:rsid w:val="00FB033C"/>
    <w:rsid w:val="00FB0AF3"/>
    <w:rsid w:val="00FB0C6B"/>
    <w:rsid w:val="00FB0F80"/>
    <w:rsid w:val="00FB11AD"/>
    <w:rsid w:val="00FB11C1"/>
    <w:rsid w:val="00FB131A"/>
    <w:rsid w:val="00FB1391"/>
    <w:rsid w:val="00FB19FA"/>
    <w:rsid w:val="00FB1BF5"/>
    <w:rsid w:val="00FB2D06"/>
    <w:rsid w:val="00FB30FA"/>
    <w:rsid w:val="00FB3119"/>
    <w:rsid w:val="00FB33A8"/>
    <w:rsid w:val="00FB3400"/>
    <w:rsid w:val="00FB38E4"/>
    <w:rsid w:val="00FB3D8F"/>
    <w:rsid w:val="00FB3E8A"/>
    <w:rsid w:val="00FB3F11"/>
    <w:rsid w:val="00FB45D5"/>
    <w:rsid w:val="00FB4BCC"/>
    <w:rsid w:val="00FB4C07"/>
    <w:rsid w:val="00FB4C2C"/>
    <w:rsid w:val="00FB4D5D"/>
    <w:rsid w:val="00FB5063"/>
    <w:rsid w:val="00FB5121"/>
    <w:rsid w:val="00FB5169"/>
    <w:rsid w:val="00FB5274"/>
    <w:rsid w:val="00FB55B5"/>
    <w:rsid w:val="00FB5661"/>
    <w:rsid w:val="00FB57FD"/>
    <w:rsid w:val="00FB58AE"/>
    <w:rsid w:val="00FB5BEF"/>
    <w:rsid w:val="00FB5E1C"/>
    <w:rsid w:val="00FB629E"/>
    <w:rsid w:val="00FB6471"/>
    <w:rsid w:val="00FB652C"/>
    <w:rsid w:val="00FB6789"/>
    <w:rsid w:val="00FB67EA"/>
    <w:rsid w:val="00FB6B6D"/>
    <w:rsid w:val="00FB6EA3"/>
    <w:rsid w:val="00FB732A"/>
    <w:rsid w:val="00FB7479"/>
    <w:rsid w:val="00FB74A9"/>
    <w:rsid w:val="00FB77B0"/>
    <w:rsid w:val="00FB7B45"/>
    <w:rsid w:val="00FB7B9B"/>
    <w:rsid w:val="00FB7E26"/>
    <w:rsid w:val="00FB7EDE"/>
    <w:rsid w:val="00FC022F"/>
    <w:rsid w:val="00FC0283"/>
    <w:rsid w:val="00FC058F"/>
    <w:rsid w:val="00FC05F4"/>
    <w:rsid w:val="00FC0B1F"/>
    <w:rsid w:val="00FC0BE5"/>
    <w:rsid w:val="00FC0D86"/>
    <w:rsid w:val="00FC0F43"/>
    <w:rsid w:val="00FC1095"/>
    <w:rsid w:val="00FC1425"/>
    <w:rsid w:val="00FC1451"/>
    <w:rsid w:val="00FC1655"/>
    <w:rsid w:val="00FC16BE"/>
    <w:rsid w:val="00FC1851"/>
    <w:rsid w:val="00FC1F4D"/>
    <w:rsid w:val="00FC2288"/>
    <w:rsid w:val="00FC2479"/>
    <w:rsid w:val="00FC2A06"/>
    <w:rsid w:val="00FC2C66"/>
    <w:rsid w:val="00FC2D96"/>
    <w:rsid w:val="00FC2EA5"/>
    <w:rsid w:val="00FC2FA3"/>
    <w:rsid w:val="00FC323A"/>
    <w:rsid w:val="00FC33B8"/>
    <w:rsid w:val="00FC3456"/>
    <w:rsid w:val="00FC36FD"/>
    <w:rsid w:val="00FC3989"/>
    <w:rsid w:val="00FC3990"/>
    <w:rsid w:val="00FC3C05"/>
    <w:rsid w:val="00FC3DDE"/>
    <w:rsid w:val="00FC3FC7"/>
    <w:rsid w:val="00FC4325"/>
    <w:rsid w:val="00FC471D"/>
    <w:rsid w:val="00FC474F"/>
    <w:rsid w:val="00FC48F3"/>
    <w:rsid w:val="00FC4AA6"/>
    <w:rsid w:val="00FC4EA8"/>
    <w:rsid w:val="00FC5600"/>
    <w:rsid w:val="00FC56B0"/>
    <w:rsid w:val="00FC5BD4"/>
    <w:rsid w:val="00FC5F07"/>
    <w:rsid w:val="00FC600B"/>
    <w:rsid w:val="00FC6016"/>
    <w:rsid w:val="00FC61C9"/>
    <w:rsid w:val="00FC636B"/>
    <w:rsid w:val="00FC64FD"/>
    <w:rsid w:val="00FC65DA"/>
    <w:rsid w:val="00FC68DF"/>
    <w:rsid w:val="00FC6CF2"/>
    <w:rsid w:val="00FC6F08"/>
    <w:rsid w:val="00FC7027"/>
    <w:rsid w:val="00FC710A"/>
    <w:rsid w:val="00FC7129"/>
    <w:rsid w:val="00FC7539"/>
    <w:rsid w:val="00FC757E"/>
    <w:rsid w:val="00FC794F"/>
    <w:rsid w:val="00FC79BA"/>
    <w:rsid w:val="00FC7F1D"/>
    <w:rsid w:val="00FD03B2"/>
    <w:rsid w:val="00FD0498"/>
    <w:rsid w:val="00FD07DA"/>
    <w:rsid w:val="00FD09AA"/>
    <w:rsid w:val="00FD0D1A"/>
    <w:rsid w:val="00FD0EDE"/>
    <w:rsid w:val="00FD1013"/>
    <w:rsid w:val="00FD1145"/>
    <w:rsid w:val="00FD14E1"/>
    <w:rsid w:val="00FD15E7"/>
    <w:rsid w:val="00FD1B74"/>
    <w:rsid w:val="00FD1D33"/>
    <w:rsid w:val="00FD2244"/>
    <w:rsid w:val="00FD2451"/>
    <w:rsid w:val="00FD2703"/>
    <w:rsid w:val="00FD28B5"/>
    <w:rsid w:val="00FD29EB"/>
    <w:rsid w:val="00FD2A3F"/>
    <w:rsid w:val="00FD2B34"/>
    <w:rsid w:val="00FD2EC8"/>
    <w:rsid w:val="00FD2F0A"/>
    <w:rsid w:val="00FD3553"/>
    <w:rsid w:val="00FD3882"/>
    <w:rsid w:val="00FD3A51"/>
    <w:rsid w:val="00FD3A80"/>
    <w:rsid w:val="00FD3BB5"/>
    <w:rsid w:val="00FD3C32"/>
    <w:rsid w:val="00FD3CCC"/>
    <w:rsid w:val="00FD3DD1"/>
    <w:rsid w:val="00FD400E"/>
    <w:rsid w:val="00FD4066"/>
    <w:rsid w:val="00FD440C"/>
    <w:rsid w:val="00FD4629"/>
    <w:rsid w:val="00FD46EA"/>
    <w:rsid w:val="00FD4743"/>
    <w:rsid w:val="00FD4873"/>
    <w:rsid w:val="00FD4A4B"/>
    <w:rsid w:val="00FD4CEB"/>
    <w:rsid w:val="00FD4E0A"/>
    <w:rsid w:val="00FD4ED8"/>
    <w:rsid w:val="00FD4F67"/>
    <w:rsid w:val="00FD4FA4"/>
    <w:rsid w:val="00FD5077"/>
    <w:rsid w:val="00FD53A4"/>
    <w:rsid w:val="00FD5638"/>
    <w:rsid w:val="00FD5C42"/>
    <w:rsid w:val="00FD602E"/>
    <w:rsid w:val="00FD6376"/>
    <w:rsid w:val="00FD6CFB"/>
    <w:rsid w:val="00FD702E"/>
    <w:rsid w:val="00FD7050"/>
    <w:rsid w:val="00FD71A8"/>
    <w:rsid w:val="00FD71B7"/>
    <w:rsid w:val="00FD7317"/>
    <w:rsid w:val="00FD76DE"/>
    <w:rsid w:val="00FD7AAE"/>
    <w:rsid w:val="00FD7EC1"/>
    <w:rsid w:val="00FD7F2D"/>
    <w:rsid w:val="00FE008D"/>
    <w:rsid w:val="00FE0478"/>
    <w:rsid w:val="00FE04CC"/>
    <w:rsid w:val="00FE0695"/>
    <w:rsid w:val="00FE07F7"/>
    <w:rsid w:val="00FE08E8"/>
    <w:rsid w:val="00FE0974"/>
    <w:rsid w:val="00FE0CAF"/>
    <w:rsid w:val="00FE0F4D"/>
    <w:rsid w:val="00FE108C"/>
    <w:rsid w:val="00FE1132"/>
    <w:rsid w:val="00FE124D"/>
    <w:rsid w:val="00FE126A"/>
    <w:rsid w:val="00FE135D"/>
    <w:rsid w:val="00FE13D3"/>
    <w:rsid w:val="00FE19B8"/>
    <w:rsid w:val="00FE2100"/>
    <w:rsid w:val="00FE22FA"/>
    <w:rsid w:val="00FE2478"/>
    <w:rsid w:val="00FE24E0"/>
    <w:rsid w:val="00FE273C"/>
    <w:rsid w:val="00FE2B56"/>
    <w:rsid w:val="00FE3093"/>
    <w:rsid w:val="00FE3138"/>
    <w:rsid w:val="00FE3817"/>
    <w:rsid w:val="00FE394D"/>
    <w:rsid w:val="00FE414A"/>
    <w:rsid w:val="00FE435D"/>
    <w:rsid w:val="00FE436A"/>
    <w:rsid w:val="00FE471A"/>
    <w:rsid w:val="00FE48D0"/>
    <w:rsid w:val="00FE4B01"/>
    <w:rsid w:val="00FE4BE3"/>
    <w:rsid w:val="00FE4C24"/>
    <w:rsid w:val="00FE4D3E"/>
    <w:rsid w:val="00FE4D59"/>
    <w:rsid w:val="00FE4D61"/>
    <w:rsid w:val="00FE4D6C"/>
    <w:rsid w:val="00FE4D6F"/>
    <w:rsid w:val="00FE4E8E"/>
    <w:rsid w:val="00FE4F2C"/>
    <w:rsid w:val="00FE4FAC"/>
    <w:rsid w:val="00FE4FEF"/>
    <w:rsid w:val="00FE52A4"/>
    <w:rsid w:val="00FE532D"/>
    <w:rsid w:val="00FE538B"/>
    <w:rsid w:val="00FE5674"/>
    <w:rsid w:val="00FE574A"/>
    <w:rsid w:val="00FE5D2C"/>
    <w:rsid w:val="00FE5DC4"/>
    <w:rsid w:val="00FE5ED4"/>
    <w:rsid w:val="00FE5F65"/>
    <w:rsid w:val="00FE5FFC"/>
    <w:rsid w:val="00FE63E4"/>
    <w:rsid w:val="00FE6B64"/>
    <w:rsid w:val="00FE6B6E"/>
    <w:rsid w:val="00FE6EF9"/>
    <w:rsid w:val="00FE7162"/>
    <w:rsid w:val="00FE71A0"/>
    <w:rsid w:val="00FE71D3"/>
    <w:rsid w:val="00FE72CA"/>
    <w:rsid w:val="00FE78A9"/>
    <w:rsid w:val="00FE7A00"/>
    <w:rsid w:val="00FE7F17"/>
    <w:rsid w:val="00FE7F96"/>
    <w:rsid w:val="00FE7FD8"/>
    <w:rsid w:val="00FF0056"/>
    <w:rsid w:val="00FF00E1"/>
    <w:rsid w:val="00FF0214"/>
    <w:rsid w:val="00FF032B"/>
    <w:rsid w:val="00FF0493"/>
    <w:rsid w:val="00FF04B6"/>
    <w:rsid w:val="00FF0567"/>
    <w:rsid w:val="00FF06DA"/>
    <w:rsid w:val="00FF0952"/>
    <w:rsid w:val="00FF09D5"/>
    <w:rsid w:val="00FF0BC0"/>
    <w:rsid w:val="00FF0C06"/>
    <w:rsid w:val="00FF15A3"/>
    <w:rsid w:val="00FF199D"/>
    <w:rsid w:val="00FF1D2A"/>
    <w:rsid w:val="00FF20CF"/>
    <w:rsid w:val="00FF20DC"/>
    <w:rsid w:val="00FF2195"/>
    <w:rsid w:val="00FF227A"/>
    <w:rsid w:val="00FF2741"/>
    <w:rsid w:val="00FF2805"/>
    <w:rsid w:val="00FF2895"/>
    <w:rsid w:val="00FF2953"/>
    <w:rsid w:val="00FF2E1E"/>
    <w:rsid w:val="00FF2F62"/>
    <w:rsid w:val="00FF32EF"/>
    <w:rsid w:val="00FF3E35"/>
    <w:rsid w:val="00FF40C6"/>
    <w:rsid w:val="00FF42F8"/>
    <w:rsid w:val="00FF43FF"/>
    <w:rsid w:val="00FF461F"/>
    <w:rsid w:val="00FF4674"/>
    <w:rsid w:val="00FF4732"/>
    <w:rsid w:val="00FF4C55"/>
    <w:rsid w:val="00FF4E0C"/>
    <w:rsid w:val="00FF5174"/>
    <w:rsid w:val="00FF543F"/>
    <w:rsid w:val="00FF5483"/>
    <w:rsid w:val="00FF5740"/>
    <w:rsid w:val="00FF5C6C"/>
    <w:rsid w:val="00FF5DBE"/>
    <w:rsid w:val="00FF5EEC"/>
    <w:rsid w:val="00FF6878"/>
    <w:rsid w:val="00FF6948"/>
    <w:rsid w:val="00FF6E19"/>
    <w:rsid w:val="00FF6E9A"/>
    <w:rsid w:val="00FF719F"/>
    <w:rsid w:val="00FF796D"/>
    <w:rsid w:val="00FF7995"/>
    <w:rsid w:val="00FF799A"/>
    <w:rsid w:val="00FF7D37"/>
    <w:rsid w:val="00FF7D40"/>
    <w:rsid w:val="00FF7DB9"/>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D07251"/>
  <w15:docId w15:val="{1C71D0C6-074E-4645-B3C1-E0AA1F861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E1E"/>
  </w:style>
  <w:style w:type="paragraph" w:styleId="Heading1">
    <w:name w:val="heading 1"/>
    <w:basedOn w:val="Normal"/>
    <w:next w:val="Normal"/>
    <w:link w:val="Heading1Char"/>
    <w:autoRedefine/>
    <w:uiPriority w:val="9"/>
    <w:qFormat/>
    <w:rsid w:val="00E534A3"/>
    <w:pPr>
      <w:keepNext/>
      <w:keepLines/>
      <w:spacing w:after="0"/>
      <w:jc w:val="center"/>
      <w:outlineLvl w:val="0"/>
    </w:pPr>
    <w:rPr>
      <w:rFonts w:eastAsiaTheme="majorEastAsia" w:cstheme="majorBidi"/>
      <w:b/>
      <w:kern w:val="2"/>
      <w:sz w:val="24"/>
      <w:szCs w:val="32"/>
      <w14:ligatures w14:val="standardContextual"/>
    </w:rPr>
  </w:style>
  <w:style w:type="paragraph" w:styleId="Heading2">
    <w:name w:val="heading 2"/>
    <w:basedOn w:val="Normal"/>
    <w:next w:val="Normal"/>
    <w:link w:val="Heading2Char"/>
    <w:uiPriority w:val="9"/>
    <w:unhideWhenUsed/>
    <w:qFormat/>
    <w:rsid w:val="00B92A7F"/>
    <w:pPr>
      <w:keepNext/>
      <w:keepLines/>
      <w:spacing w:after="0"/>
      <w:outlineLvl w:val="1"/>
    </w:pPr>
    <w:rPr>
      <w:rFonts w:eastAsiaTheme="majorEastAsia"/>
      <w:b/>
      <w:bCs/>
    </w:rPr>
  </w:style>
  <w:style w:type="paragraph" w:styleId="Heading3">
    <w:name w:val="heading 3"/>
    <w:basedOn w:val="Normal"/>
    <w:next w:val="Normal"/>
    <w:link w:val="Heading3Char"/>
    <w:uiPriority w:val="9"/>
    <w:unhideWhenUsed/>
    <w:qFormat/>
    <w:rsid w:val="00B92A7F"/>
    <w:pPr>
      <w:keepNext/>
      <w:keepLines/>
      <w:spacing w:after="0"/>
      <w:outlineLvl w:val="2"/>
    </w:pPr>
    <w:rPr>
      <w:rFonts w:eastAsiaTheme="majorEastAsia"/>
      <w:b/>
      <w:bCs/>
      <w:i/>
      <w:iCs/>
    </w:rPr>
  </w:style>
  <w:style w:type="paragraph" w:styleId="Heading4">
    <w:name w:val="heading 4"/>
    <w:basedOn w:val="Normal"/>
    <w:next w:val="Normal"/>
    <w:link w:val="Heading4Char"/>
    <w:uiPriority w:val="9"/>
    <w:unhideWhenUsed/>
    <w:qFormat/>
    <w:rsid w:val="00040A9C"/>
    <w:pPr>
      <w:keepNext/>
      <w:keepLines/>
      <w:spacing w:before="40" w:after="0"/>
      <w:outlineLvl w:val="3"/>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4A3"/>
    <w:rPr>
      <w:rFonts w:eastAsiaTheme="majorEastAsia" w:cstheme="majorBidi"/>
      <w:b/>
      <w:kern w:val="2"/>
      <w:sz w:val="24"/>
      <w:szCs w:val="32"/>
      <w14:ligatures w14:val="standardContextual"/>
    </w:rPr>
  </w:style>
  <w:style w:type="paragraph" w:styleId="ListParagraph">
    <w:name w:val="List Paragraph"/>
    <w:basedOn w:val="Normal"/>
    <w:uiPriority w:val="34"/>
    <w:qFormat/>
    <w:rsid w:val="00507274"/>
    <w:pPr>
      <w:ind w:left="720"/>
      <w:contextualSpacing/>
    </w:pPr>
  </w:style>
  <w:style w:type="character" w:styleId="Hyperlink">
    <w:name w:val="Hyperlink"/>
    <w:basedOn w:val="DefaultParagraphFont"/>
    <w:uiPriority w:val="99"/>
    <w:unhideWhenUsed/>
    <w:rsid w:val="00890E7E"/>
    <w:rPr>
      <w:color w:val="0563C1" w:themeColor="hyperlink"/>
      <w:u w:val="single"/>
    </w:rPr>
  </w:style>
  <w:style w:type="character" w:styleId="UnresolvedMention">
    <w:name w:val="Unresolved Mention"/>
    <w:basedOn w:val="DefaultParagraphFont"/>
    <w:uiPriority w:val="99"/>
    <w:semiHidden/>
    <w:unhideWhenUsed/>
    <w:rsid w:val="00890E7E"/>
    <w:rPr>
      <w:color w:val="605E5C"/>
      <w:shd w:val="clear" w:color="auto" w:fill="E1DFDD"/>
    </w:rPr>
  </w:style>
  <w:style w:type="character" w:styleId="FollowedHyperlink">
    <w:name w:val="FollowedHyperlink"/>
    <w:basedOn w:val="DefaultParagraphFont"/>
    <w:uiPriority w:val="99"/>
    <w:semiHidden/>
    <w:unhideWhenUsed/>
    <w:rsid w:val="00DD411C"/>
    <w:rPr>
      <w:color w:val="954F72" w:themeColor="followedHyperlink"/>
      <w:u w:val="single"/>
    </w:rPr>
  </w:style>
  <w:style w:type="paragraph" w:styleId="FootnoteText">
    <w:name w:val="footnote text"/>
    <w:basedOn w:val="Normal"/>
    <w:link w:val="FootnoteTextChar"/>
    <w:uiPriority w:val="99"/>
    <w:unhideWhenUsed/>
    <w:rsid w:val="00DD2DBF"/>
    <w:pPr>
      <w:spacing w:after="0" w:line="240" w:lineRule="auto"/>
    </w:pPr>
    <w:rPr>
      <w:sz w:val="20"/>
      <w:szCs w:val="20"/>
    </w:rPr>
  </w:style>
  <w:style w:type="character" w:customStyle="1" w:styleId="FootnoteTextChar">
    <w:name w:val="Footnote Text Char"/>
    <w:basedOn w:val="DefaultParagraphFont"/>
    <w:link w:val="FootnoteText"/>
    <w:uiPriority w:val="99"/>
    <w:rsid w:val="00DD2DBF"/>
    <w:rPr>
      <w:rFonts w:asciiTheme="minorHAnsi" w:hAnsiTheme="minorHAnsi" w:cstheme="minorBidi"/>
      <w:bCs/>
      <w:kern w:val="0"/>
      <w:sz w:val="20"/>
      <w:szCs w:val="20"/>
      <w:lang w:val="en-US"/>
      <w14:ligatures w14:val="none"/>
    </w:rPr>
  </w:style>
  <w:style w:type="character" w:styleId="FootnoteReference">
    <w:name w:val="footnote reference"/>
    <w:basedOn w:val="DefaultParagraphFont"/>
    <w:uiPriority w:val="99"/>
    <w:semiHidden/>
    <w:unhideWhenUsed/>
    <w:rsid w:val="00DD2DBF"/>
    <w:rPr>
      <w:vertAlign w:val="superscript"/>
    </w:rPr>
  </w:style>
  <w:style w:type="paragraph" w:customStyle="1" w:styleId="Style1">
    <w:name w:val="Style1"/>
    <w:basedOn w:val="Normal"/>
    <w:link w:val="Style1Char"/>
    <w:qFormat/>
    <w:rsid w:val="00594EC9"/>
    <w:pPr>
      <w:tabs>
        <w:tab w:val="right" w:pos="8640"/>
      </w:tabs>
      <w:spacing w:after="0" w:line="240" w:lineRule="auto"/>
      <w:jc w:val="both"/>
    </w:pPr>
    <w:rPr>
      <w:rFonts w:eastAsia="Times New Roman" w:cstheme="minorHAnsi"/>
      <w:bCs/>
      <w:spacing w:val="-2"/>
      <w:lang w:eastAsia="zh-CN"/>
    </w:rPr>
  </w:style>
  <w:style w:type="character" w:customStyle="1" w:styleId="Style1Char">
    <w:name w:val="Style1 Char"/>
    <w:basedOn w:val="DefaultParagraphFont"/>
    <w:link w:val="Style1"/>
    <w:rsid w:val="00594EC9"/>
    <w:rPr>
      <w:rFonts w:asciiTheme="minorHAnsi" w:eastAsia="Times New Roman" w:hAnsiTheme="minorHAnsi" w:cstheme="minorHAnsi"/>
      <w:spacing w:val="-2"/>
      <w:kern w:val="0"/>
      <w:sz w:val="22"/>
      <w:szCs w:val="22"/>
      <w:lang w:eastAsia="zh-CN"/>
      <w14:ligatures w14:val="none"/>
    </w:rPr>
  </w:style>
  <w:style w:type="character" w:customStyle="1" w:styleId="Heading2Char">
    <w:name w:val="Heading 2 Char"/>
    <w:basedOn w:val="DefaultParagraphFont"/>
    <w:link w:val="Heading2"/>
    <w:uiPriority w:val="9"/>
    <w:rsid w:val="00B92A7F"/>
    <w:rPr>
      <w:rFonts w:eastAsiaTheme="majorEastAsia"/>
      <w:b/>
      <w:bCs/>
    </w:rPr>
  </w:style>
  <w:style w:type="character" w:customStyle="1" w:styleId="Heading4Char">
    <w:name w:val="Heading 4 Char"/>
    <w:basedOn w:val="DefaultParagraphFont"/>
    <w:link w:val="Heading4"/>
    <w:uiPriority w:val="9"/>
    <w:rsid w:val="00040A9C"/>
    <w:rPr>
      <w:rFonts w:eastAsiaTheme="majorEastAsia" w:cstheme="majorBidi"/>
      <w:i/>
      <w:iCs/>
      <w:color w:val="000000" w:themeColor="text1"/>
    </w:rPr>
  </w:style>
  <w:style w:type="character" w:customStyle="1" w:styleId="Heading3Char">
    <w:name w:val="Heading 3 Char"/>
    <w:basedOn w:val="DefaultParagraphFont"/>
    <w:link w:val="Heading3"/>
    <w:uiPriority w:val="9"/>
    <w:rsid w:val="00B92A7F"/>
    <w:rPr>
      <w:rFonts w:eastAsiaTheme="majorEastAsia"/>
      <w:b/>
      <w:bCs/>
      <w:i/>
      <w:iCs/>
    </w:rPr>
  </w:style>
  <w:style w:type="paragraph" w:styleId="Header">
    <w:name w:val="header"/>
    <w:basedOn w:val="Normal"/>
    <w:link w:val="HeaderChar"/>
    <w:uiPriority w:val="99"/>
    <w:unhideWhenUsed/>
    <w:rsid w:val="001E4F75"/>
    <w:pPr>
      <w:tabs>
        <w:tab w:val="center" w:pos="4536"/>
        <w:tab w:val="right" w:pos="9072"/>
      </w:tabs>
      <w:spacing w:after="0" w:line="240" w:lineRule="auto"/>
    </w:pPr>
  </w:style>
  <w:style w:type="character" w:customStyle="1" w:styleId="HeaderChar">
    <w:name w:val="Header Char"/>
    <w:basedOn w:val="DefaultParagraphFont"/>
    <w:link w:val="Header"/>
    <w:uiPriority w:val="99"/>
    <w:rsid w:val="001E4F75"/>
  </w:style>
  <w:style w:type="paragraph" w:styleId="Footer">
    <w:name w:val="footer"/>
    <w:basedOn w:val="Normal"/>
    <w:link w:val="FooterChar"/>
    <w:uiPriority w:val="99"/>
    <w:unhideWhenUsed/>
    <w:rsid w:val="001E4F75"/>
    <w:pPr>
      <w:tabs>
        <w:tab w:val="center" w:pos="4536"/>
        <w:tab w:val="right" w:pos="9072"/>
      </w:tabs>
      <w:spacing w:after="0" w:line="240" w:lineRule="auto"/>
    </w:pPr>
  </w:style>
  <w:style w:type="character" w:customStyle="1" w:styleId="FooterChar">
    <w:name w:val="Footer Char"/>
    <w:basedOn w:val="DefaultParagraphFont"/>
    <w:link w:val="Footer"/>
    <w:uiPriority w:val="99"/>
    <w:rsid w:val="001E4F75"/>
  </w:style>
  <w:style w:type="paragraph" w:styleId="TOC1">
    <w:name w:val="toc 1"/>
    <w:basedOn w:val="Normal"/>
    <w:next w:val="Normal"/>
    <w:autoRedefine/>
    <w:uiPriority w:val="39"/>
    <w:unhideWhenUsed/>
    <w:rsid w:val="009F2DC3"/>
    <w:pPr>
      <w:spacing w:after="100"/>
    </w:pPr>
  </w:style>
  <w:style w:type="paragraph" w:styleId="TOC2">
    <w:name w:val="toc 2"/>
    <w:basedOn w:val="Normal"/>
    <w:next w:val="Normal"/>
    <w:autoRedefine/>
    <w:uiPriority w:val="39"/>
    <w:unhideWhenUsed/>
    <w:rsid w:val="001E4FE9"/>
    <w:pPr>
      <w:tabs>
        <w:tab w:val="right" w:leader="dot" w:pos="9350"/>
      </w:tabs>
      <w:spacing w:after="100"/>
      <w:ind w:left="220"/>
    </w:pPr>
    <w:rPr>
      <w:b/>
      <w:bCs/>
      <w:noProof/>
    </w:rPr>
  </w:style>
  <w:style w:type="paragraph" w:styleId="TOCHeading">
    <w:name w:val="TOC Heading"/>
    <w:basedOn w:val="Heading1"/>
    <w:next w:val="Normal"/>
    <w:uiPriority w:val="39"/>
    <w:unhideWhenUsed/>
    <w:qFormat/>
    <w:rsid w:val="009F2DC3"/>
    <w:pPr>
      <w:jc w:val="left"/>
      <w:outlineLvl w:val="9"/>
    </w:pPr>
    <w:rPr>
      <w:rFonts w:asciiTheme="majorHAnsi" w:hAnsiTheme="majorHAnsi"/>
      <w:b w:val="0"/>
      <w:bCs/>
      <w:color w:val="2F5496" w:themeColor="accent1" w:themeShade="BF"/>
      <w:kern w:val="0"/>
      <w:sz w:val="32"/>
      <w:lang w:eastAsia="nl-NL"/>
      <w14:ligatures w14:val="none"/>
    </w:rPr>
  </w:style>
  <w:style w:type="paragraph" w:styleId="TOC3">
    <w:name w:val="toc 3"/>
    <w:basedOn w:val="Normal"/>
    <w:next w:val="Normal"/>
    <w:autoRedefine/>
    <w:uiPriority w:val="39"/>
    <w:unhideWhenUsed/>
    <w:rsid w:val="009F2DC3"/>
    <w:pPr>
      <w:spacing w:after="100"/>
      <w:ind w:left="440"/>
    </w:pPr>
    <w:rPr>
      <w:rFonts w:asciiTheme="minorHAnsi" w:eastAsiaTheme="minorEastAsia" w:hAnsiTheme="minorHAnsi"/>
      <w:lang w:eastAsia="nl-NL"/>
    </w:rPr>
  </w:style>
  <w:style w:type="character" w:styleId="CommentReference">
    <w:name w:val="annotation reference"/>
    <w:basedOn w:val="DefaultParagraphFont"/>
    <w:uiPriority w:val="99"/>
    <w:semiHidden/>
    <w:unhideWhenUsed/>
    <w:rsid w:val="0035482B"/>
    <w:rPr>
      <w:sz w:val="16"/>
      <w:szCs w:val="16"/>
    </w:rPr>
  </w:style>
  <w:style w:type="paragraph" w:styleId="CommentText">
    <w:name w:val="annotation text"/>
    <w:basedOn w:val="Normal"/>
    <w:link w:val="CommentTextChar"/>
    <w:uiPriority w:val="99"/>
    <w:unhideWhenUsed/>
    <w:rsid w:val="0035482B"/>
    <w:pPr>
      <w:spacing w:line="240" w:lineRule="auto"/>
    </w:pPr>
    <w:rPr>
      <w:sz w:val="20"/>
      <w:szCs w:val="20"/>
    </w:rPr>
  </w:style>
  <w:style w:type="character" w:customStyle="1" w:styleId="CommentTextChar">
    <w:name w:val="Comment Text Char"/>
    <w:basedOn w:val="DefaultParagraphFont"/>
    <w:link w:val="CommentText"/>
    <w:uiPriority w:val="99"/>
    <w:rsid w:val="0035482B"/>
    <w:rPr>
      <w:sz w:val="20"/>
      <w:szCs w:val="20"/>
    </w:rPr>
  </w:style>
  <w:style w:type="paragraph" w:styleId="CommentSubject">
    <w:name w:val="annotation subject"/>
    <w:basedOn w:val="CommentText"/>
    <w:next w:val="CommentText"/>
    <w:link w:val="CommentSubjectChar"/>
    <w:uiPriority w:val="99"/>
    <w:semiHidden/>
    <w:unhideWhenUsed/>
    <w:rsid w:val="0035482B"/>
    <w:rPr>
      <w:b/>
      <w:bCs/>
    </w:rPr>
  </w:style>
  <w:style w:type="character" w:customStyle="1" w:styleId="CommentSubjectChar">
    <w:name w:val="Comment Subject Char"/>
    <w:basedOn w:val="CommentTextChar"/>
    <w:link w:val="CommentSubject"/>
    <w:uiPriority w:val="99"/>
    <w:semiHidden/>
    <w:rsid w:val="0035482B"/>
    <w:rPr>
      <w:b/>
      <w:bCs/>
      <w:sz w:val="20"/>
      <w:szCs w:val="20"/>
    </w:rPr>
  </w:style>
  <w:style w:type="paragraph" w:styleId="NoSpacing">
    <w:name w:val="No Spacing"/>
    <w:uiPriority w:val="1"/>
    <w:qFormat/>
    <w:rsid w:val="00B30C2E"/>
    <w:pPr>
      <w:spacing w:after="0" w:line="240" w:lineRule="auto"/>
    </w:pPr>
    <w:rPr>
      <w:rFonts w:asciiTheme="minorHAnsi" w:hAnsiTheme="minorHAnsi" w:cstheme="minorBidi"/>
      <w:sz w:val="24"/>
      <w:szCs w:val="24"/>
    </w:rPr>
  </w:style>
  <w:style w:type="character" w:customStyle="1" w:styleId="cf11">
    <w:name w:val="cf11"/>
    <w:basedOn w:val="DefaultParagraphFont"/>
    <w:rsid w:val="000E7CE3"/>
    <w:rPr>
      <w:rFonts w:ascii="Segoe UI" w:hAnsi="Segoe UI" w:cs="Segoe UI" w:hint="default"/>
      <w:sz w:val="18"/>
      <w:szCs w:val="18"/>
    </w:rPr>
  </w:style>
  <w:style w:type="paragraph" w:styleId="Revision">
    <w:name w:val="Revision"/>
    <w:hidden/>
    <w:uiPriority w:val="99"/>
    <w:semiHidden/>
    <w:rsid w:val="00493E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92634">
      <w:bodyDiv w:val="1"/>
      <w:marLeft w:val="0"/>
      <w:marRight w:val="0"/>
      <w:marTop w:val="0"/>
      <w:marBottom w:val="0"/>
      <w:divBdr>
        <w:top w:val="none" w:sz="0" w:space="0" w:color="auto"/>
        <w:left w:val="none" w:sz="0" w:space="0" w:color="auto"/>
        <w:bottom w:val="none" w:sz="0" w:space="0" w:color="auto"/>
        <w:right w:val="none" w:sz="0" w:space="0" w:color="auto"/>
      </w:divBdr>
    </w:div>
    <w:div w:id="31539180">
      <w:bodyDiv w:val="1"/>
      <w:marLeft w:val="0"/>
      <w:marRight w:val="0"/>
      <w:marTop w:val="0"/>
      <w:marBottom w:val="0"/>
      <w:divBdr>
        <w:top w:val="none" w:sz="0" w:space="0" w:color="auto"/>
        <w:left w:val="none" w:sz="0" w:space="0" w:color="auto"/>
        <w:bottom w:val="none" w:sz="0" w:space="0" w:color="auto"/>
        <w:right w:val="none" w:sz="0" w:space="0" w:color="auto"/>
      </w:divBdr>
    </w:div>
    <w:div w:id="33964934">
      <w:bodyDiv w:val="1"/>
      <w:marLeft w:val="0"/>
      <w:marRight w:val="0"/>
      <w:marTop w:val="0"/>
      <w:marBottom w:val="0"/>
      <w:divBdr>
        <w:top w:val="none" w:sz="0" w:space="0" w:color="auto"/>
        <w:left w:val="none" w:sz="0" w:space="0" w:color="auto"/>
        <w:bottom w:val="none" w:sz="0" w:space="0" w:color="auto"/>
        <w:right w:val="none" w:sz="0" w:space="0" w:color="auto"/>
      </w:divBdr>
    </w:div>
    <w:div w:id="83260676">
      <w:bodyDiv w:val="1"/>
      <w:marLeft w:val="0"/>
      <w:marRight w:val="0"/>
      <w:marTop w:val="0"/>
      <w:marBottom w:val="0"/>
      <w:divBdr>
        <w:top w:val="none" w:sz="0" w:space="0" w:color="auto"/>
        <w:left w:val="none" w:sz="0" w:space="0" w:color="auto"/>
        <w:bottom w:val="none" w:sz="0" w:space="0" w:color="auto"/>
        <w:right w:val="none" w:sz="0" w:space="0" w:color="auto"/>
      </w:divBdr>
    </w:div>
    <w:div w:id="87966765">
      <w:bodyDiv w:val="1"/>
      <w:marLeft w:val="0"/>
      <w:marRight w:val="0"/>
      <w:marTop w:val="0"/>
      <w:marBottom w:val="0"/>
      <w:divBdr>
        <w:top w:val="none" w:sz="0" w:space="0" w:color="auto"/>
        <w:left w:val="none" w:sz="0" w:space="0" w:color="auto"/>
        <w:bottom w:val="none" w:sz="0" w:space="0" w:color="auto"/>
        <w:right w:val="none" w:sz="0" w:space="0" w:color="auto"/>
      </w:divBdr>
    </w:div>
    <w:div w:id="104541136">
      <w:bodyDiv w:val="1"/>
      <w:marLeft w:val="0"/>
      <w:marRight w:val="0"/>
      <w:marTop w:val="0"/>
      <w:marBottom w:val="0"/>
      <w:divBdr>
        <w:top w:val="none" w:sz="0" w:space="0" w:color="auto"/>
        <w:left w:val="none" w:sz="0" w:space="0" w:color="auto"/>
        <w:bottom w:val="none" w:sz="0" w:space="0" w:color="auto"/>
        <w:right w:val="none" w:sz="0" w:space="0" w:color="auto"/>
      </w:divBdr>
    </w:div>
    <w:div w:id="130876060">
      <w:bodyDiv w:val="1"/>
      <w:marLeft w:val="0"/>
      <w:marRight w:val="0"/>
      <w:marTop w:val="0"/>
      <w:marBottom w:val="0"/>
      <w:divBdr>
        <w:top w:val="none" w:sz="0" w:space="0" w:color="auto"/>
        <w:left w:val="none" w:sz="0" w:space="0" w:color="auto"/>
        <w:bottom w:val="none" w:sz="0" w:space="0" w:color="auto"/>
        <w:right w:val="none" w:sz="0" w:space="0" w:color="auto"/>
      </w:divBdr>
    </w:div>
    <w:div w:id="190805543">
      <w:bodyDiv w:val="1"/>
      <w:marLeft w:val="0"/>
      <w:marRight w:val="0"/>
      <w:marTop w:val="0"/>
      <w:marBottom w:val="0"/>
      <w:divBdr>
        <w:top w:val="none" w:sz="0" w:space="0" w:color="auto"/>
        <w:left w:val="none" w:sz="0" w:space="0" w:color="auto"/>
        <w:bottom w:val="none" w:sz="0" w:space="0" w:color="auto"/>
        <w:right w:val="none" w:sz="0" w:space="0" w:color="auto"/>
      </w:divBdr>
    </w:div>
    <w:div w:id="191918210">
      <w:bodyDiv w:val="1"/>
      <w:marLeft w:val="0"/>
      <w:marRight w:val="0"/>
      <w:marTop w:val="0"/>
      <w:marBottom w:val="0"/>
      <w:divBdr>
        <w:top w:val="none" w:sz="0" w:space="0" w:color="auto"/>
        <w:left w:val="none" w:sz="0" w:space="0" w:color="auto"/>
        <w:bottom w:val="none" w:sz="0" w:space="0" w:color="auto"/>
        <w:right w:val="none" w:sz="0" w:space="0" w:color="auto"/>
      </w:divBdr>
      <w:divsChild>
        <w:div w:id="1166552964">
          <w:marLeft w:val="0"/>
          <w:marRight w:val="0"/>
          <w:marTop w:val="0"/>
          <w:marBottom w:val="0"/>
          <w:divBdr>
            <w:top w:val="none" w:sz="0" w:space="0" w:color="auto"/>
            <w:left w:val="none" w:sz="0" w:space="0" w:color="auto"/>
            <w:bottom w:val="none" w:sz="0" w:space="0" w:color="auto"/>
            <w:right w:val="none" w:sz="0" w:space="0" w:color="auto"/>
          </w:divBdr>
          <w:divsChild>
            <w:div w:id="2085057289">
              <w:marLeft w:val="0"/>
              <w:marRight w:val="0"/>
              <w:marTop w:val="0"/>
              <w:marBottom w:val="0"/>
              <w:divBdr>
                <w:top w:val="none" w:sz="0" w:space="0" w:color="auto"/>
                <w:left w:val="none" w:sz="0" w:space="0" w:color="auto"/>
                <w:bottom w:val="none" w:sz="0" w:space="0" w:color="auto"/>
                <w:right w:val="none" w:sz="0" w:space="0" w:color="auto"/>
              </w:divBdr>
              <w:divsChild>
                <w:div w:id="1656957741">
                  <w:marLeft w:val="0"/>
                  <w:marRight w:val="0"/>
                  <w:marTop w:val="0"/>
                  <w:marBottom w:val="0"/>
                  <w:divBdr>
                    <w:top w:val="none" w:sz="0" w:space="0" w:color="auto"/>
                    <w:left w:val="none" w:sz="0" w:space="0" w:color="auto"/>
                    <w:bottom w:val="none" w:sz="0" w:space="0" w:color="auto"/>
                    <w:right w:val="none" w:sz="0" w:space="0" w:color="auto"/>
                  </w:divBdr>
                  <w:divsChild>
                    <w:div w:id="132153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59893">
      <w:bodyDiv w:val="1"/>
      <w:marLeft w:val="0"/>
      <w:marRight w:val="0"/>
      <w:marTop w:val="0"/>
      <w:marBottom w:val="0"/>
      <w:divBdr>
        <w:top w:val="none" w:sz="0" w:space="0" w:color="auto"/>
        <w:left w:val="none" w:sz="0" w:space="0" w:color="auto"/>
        <w:bottom w:val="none" w:sz="0" w:space="0" w:color="auto"/>
        <w:right w:val="none" w:sz="0" w:space="0" w:color="auto"/>
      </w:divBdr>
    </w:div>
    <w:div w:id="200241725">
      <w:bodyDiv w:val="1"/>
      <w:marLeft w:val="0"/>
      <w:marRight w:val="0"/>
      <w:marTop w:val="0"/>
      <w:marBottom w:val="0"/>
      <w:divBdr>
        <w:top w:val="none" w:sz="0" w:space="0" w:color="auto"/>
        <w:left w:val="none" w:sz="0" w:space="0" w:color="auto"/>
        <w:bottom w:val="none" w:sz="0" w:space="0" w:color="auto"/>
        <w:right w:val="none" w:sz="0" w:space="0" w:color="auto"/>
      </w:divBdr>
    </w:div>
    <w:div w:id="214583796">
      <w:bodyDiv w:val="1"/>
      <w:marLeft w:val="0"/>
      <w:marRight w:val="0"/>
      <w:marTop w:val="0"/>
      <w:marBottom w:val="0"/>
      <w:divBdr>
        <w:top w:val="none" w:sz="0" w:space="0" w:color="auto"/>
        <w:left w:val="none" w:sz="0" w:space="0" w:color="auto"/>
        <w:bottom w:val="none" w:sz="0" w:space="0" w:color="auto"/>
        <w:right w:val="none" w:sz="0" w:space="0" w:color="auto"/>
      </w:divBdr>
    </w:div>
    <w:div w:id="229198475">
      <w:bodyDiv w:val="1"/>
      <w:marLeft w:val="0"/>
      <w:marRight w:val="0"/>
      <w:marTop w:val="0"/>
      <w:marBottom w:val="0"/>
      <w:divBdr>
        <w:top w:val="none" w:sz="0" w:space="0" w:color="auto"/>
        <w:left w:val="none" w:sz="0" w:space="0" w:color="auto"/>
        <w:bottom w:val="none" w:sz="0" w:space="0" w:color="auto"/>
        <w:right w:val="none" w:sz="0" w:space="0" w:color="auto"/>
      </w:divBdr>
    </w:div>
    <w:div w:id="241647167">
      <w:bodyDiv w:val="1"/>
      <w:marLeft w:val="0"/>
      <w:marRight w:val="0"/>
      <w:marTop w:val="0"/>
      <w:marBottom w:val="0"/>
      <w:divBdr>
        <w:top w:val="none" w:sz="0" w:space="0" w:color="auto"/>
        <w:left w:val="none" w:sz="0" w:space="0" w:color="auto"/>
        <w:bottom w:val="none" w:sz="0" w:space="0" w:color="auto"/>
        <w:right w:val="none" w:sz="0" w:space="0" w:color="auto"/>
      </w:divBdr>
    </w:div>
    <w:div w:id="253823585">
      <w:bodyDiv w:val="1"/>
      <w:marLeft w:val="0"/>
      <w:marRight w:val="0"/>
      <w:marTop w:val="0"/>
      <w:marBottom w:val="0"/>
      <w:divBdr>
        <w:top w:val="none" w:sz="0" w:space="0" w:color="auto"/>
        <w:left w:val="none" w:sz="0" w:space="0" w:color="auto"/>
        <w:bottom w:val="none" w:sz="0" w:space="0" w:color="auto"/>
        <w:right w:val="none" w:sz="0" w:space="0" w:color="auto"/>
      </w:divBdr>
    </w:div>
    <w:div w:id="258103101">
      <w:bodyDiv w:val="1"/>
      <w:marLeft w:val="0"/>
      <w:marRight w:val="0"/>
      <w:marTop w:val="0"/>
      <w:marBottom w:val="0"/>
      <w:divBdr>
        <w:top w:val="none" w:sz="0" w:space="0" w:color="auto"/>
        <w:left w:val="none" w:sz="0" w:space="0" w:color="auto"/>
        <w:bottom w:val="none" w:sz="0" w:space="0" w:color="auto"/>
        <w:right w:val="none" w:sz="0" w:space="0" w:color="auto"/>
      </w:divBdr>
    </w:div>
    <w:div w:id="259877490">
      <w:bodyDiv w:val="1"/>
      <w:marLeft w:val="0"/>
      <w:marRight w:val="0"/>
      <w:marTop w:val="0"/>
      <w:marBottom w:val="0"/>
      <w:divBdr>
        <w:top w:val="none" w:sz="0" w:space="0" w:color="auto"/>
        <w:left w:val="none" w:sz="0" w:space="0" w:color="auto"/>
        <w:bottom w:val="none" w:sz="0" w:space="0" w:color="auto"/>
        <w:right w:val="none" w:sz="0" w:space="0" w:color="auto"/>
      </w:divBdr>
    </w:div>
    <w:div w:id="259915804">
      <w:bodyDiv w:val="1"/>
      <w:marLeft w:val="0"/>
      <w:marRight w:val="0"/>
      <w:marTop w:val="0"/>
      <w:marBottom w:val="0"/>
      <w:divBdr>
        <w:top w:val="none" w:sz="0" w:space="0" w:color="auto"/>
        <w:left w:val="none" w:sz="0" w:space="0" w:color="auto"/>
        <w:bottom w:val="none" w:sz="0" w:space="0" w:color="auto"/>
        <w:right w:val="none" w:sz="0" w:space="0" w:color="auto"/>
      </w:divBdr>
    </w:div>
    <w:div w:id="312753727">
      <w:bodyDiv w:val="1"/>
      <w:marLeft w:val="0"/>
      <w:marRight w:val="0"/>
      <w:marTop w:val="0"/>
      <w:marBottom w:val="0"/>
      <w:divBdr>
        <w:top w:val="none" w:sz="0" w:space="0" w:color="auto"/>
        <w:left w:val="none" w:sz="0" w:space="0" w:color="auto"/>
        <w:bottom w:val="none" w:sz="0" w:space="0" w:color="auto"/>
        <w:right w:val="none" w:sz="0" w:space="0" w:color="auto"/>
      </w:divBdr>
    </w:div>
    <w:div w:id="365176313">
      <w:bodyDiv w:val="1"/>
      <w:marLeft w:val="0"/>
      <w:marRight w:val="0"/>
      <w:marTop w:val="0"/>
      <w:marBottom w:val="0"/>
      <w:divBdr>
        <w:top w:val="none" w:sz="0" w:space="0" w:color="auto"/>
        <w:left w:val="none" w:sz="0" w:space="0" w:color="auto"/>
        <w:bottom w:val="none" w:sz="0" w:space="0" w:color="auto"/>
        <w:right w:val="none" w:sz="0" w:space="0" w:color="auto"/>
      </w:divBdr>
      <w:divsChild>
        <w:div w:id="668681385">
          <w:marLeft w:val="0"/>
          <w:marRight w:val="0"/>
          <w:marTop w:val="240"/>
          <w:marBottom w:val="0"/>
          <w:divBdr>
            <w:top w:val="none" w:sz="0" w:space="0" w:color="auto"/>
            <w:left w:val="none" w:sz="0" w:space="0" w:color="auto"/>
            <w:bottom w:val="none" w:sz="0" w:space="0" w:color="auto"/>
            <w:right w:val="none" w:sz="0" w:space="0" w:color="auto"/>
          </w:divBdr>
          <w:divsChild>
            <w:div w:id="216013683">
              <w:marLeft w:val="0"/>
              <w:marRight w:val="0"/>
              <w:marTop w:val="0"/>
              <w:marBottom w:val="0"/>
              <w:divBdr>
                <w:top w:val="none" w:sz="0" w:space="0" w:color="auto"/>
                <w:left w:val="none" w:sz="0" w:space="0" w:color="auto"/>
                <w:bottom w:val="none" w:sz="0" w:space="0" w:color="auto"/>
                <w:right w:val="none" w:sz="0" w:space="0" w:color="auto"/>
              </w:divBdr>
              <w:divsChild>
                <w:div w:id="14929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043426">
      <w:bodyDiv w:val="1"/>
      <w:marLeft w:val="0"/>
      <w:marRight w:val="0"/>
      <w:marTop w:val="0"/>
      <w:marBottom w:val="0"/>
      <w:divBdr>
        <w:top w:val="none" w:sz="0" w:space="0" w:color="auto"/>
        <w:left w:val="none" w:sz="0" w:space="0" w:color="auto"/>
        <w:bottom w:val="none" w:sz="0" w:space="0" w:color="auto"/>
        <w:right w:val="none" w:sz="0" w:space="0" w:color="auto"/>
      </w:divBdr>
    </w:div>
    <w:div w:id="430931630">
      <w:bodyDiv w:val="1"/>
      <w:marLeft w:val="0"/>
      <w:marRight w:val="0"/>
      <w:marTop w:val="0"/>
      <w:marBottom w:val="0"/>
      <w:divBdr>
        <w:top w:val="none" w:sz="0" w:space="0" w:color="auto"/>
        <w:left w:val="none" w:sz="0" w:space="0" w:color="auto"/>
        <w:bottom w:val="none" w:sz="0" w:space="0" w:color="auto"/>
        <w:right w:val="none" w:sz="0" w:space="0" w:color="auto"/>
      </w:divBdr>
    </w:div>
    <w:div w:id="451092205">
      <w:bodyDiv w:val="1"/>
      <w:marLeft w:val="0"/>
      <w:marRight w:val="0"/>
      <w:marTop w:val="0"/>
      <w:marBottom w:val="0"/>
      <w:divBdr>
        <w:top w:val="none" w:sz="0" w:space="0" w:color="auto"/>
        <w:left w:val="none" w:sz="0" w:space="0" w:color="auto"/>
        <w:bottom w:val="none" w:sz="0" w:space="0" w:color="auto"/>
        <w:right w:val="none" w:sz="0" w:space="0" w:color="auto"/>
      </w:divBdr>
    </w:div>
    <w:div w:id="463699120">
      <w:bodyDiv w:val="1"/>
      <w:marLeft w:val="0"/>
      <w:marRight w:val="0"/>
      <w:marTop w:val="0"/>
      <w:marBottom w:val="0"/>
      <w:divBdr>
        <w:top w:val="none" w:sz="0" w:space="0" w:color="auto"/>
        <w:left w:val="none" w:sz="0" w:space="0" w:color="auto"/>
        <w:bottom w:val="none" w:sz="0" w:space="0" w:color="auto"/>
        <w:right w:val="none" w:sz="0" w:space="0" w:color="auto"/>
      </w:divBdr>
    </w:div>
    <w:div w:id="488712244">
      <w:bodyDiv w:val="1"/>
      <w:marLeft w:val="0"/>
      <w:marRight w:val="0"/>
      <w:marTop w:val="0"/>
      <w:marBottom w:val="0"/>
      <w:divBdr>
        <w:top w:val="none" w:sz="0" w:space="0" w:color="auto"/>
        <w:left w:val="none" w:sz="0" w:space="0" w:color="auto"/>
        <w:bottom w:val="none" w:sz="0" w:space="0" w:color="auto"/>
        <w:right w:val="none" w:sz="0" w:space="0" w:color="auto"/>
      </w:divBdr>
      <w:divsChild>
        <w:div w:id="468090152">
          <w:marLeft w:val="0"/>
          <w:marRight w:val="0"/>
          <w:marTop w:val="0"/>
          <w:marBottom w:val="0"/>
          <w:divBdr>
            <w:top w:val="none" w:sz="0" w:space="0" w:color="auto"/>
            <w:left w:val="none" w:sz="0" w:space="0" w:color="auto"/>
            <w:bottom w:val="none" w:sz="0" w:space="0" w:color="auto"/>
            <w:right w:val="none" w:sz="0" w:space="0" w:color="auto"/>
          </w:divBdr>
          <w:divsChild>
            <w:div w:id="221064950">
              <w:marLeft w:val="0"/>
              <w:marRight w:val="0"/>
              <w:marTop w:val="0"/>
              <w:marBottom w:val="0"/>
              <w:divBdr>
                <w:top w:val="none" w:sz="0" w:space="0" w:color="auto"/>
                <w:left w:val="none" w:sz="0" w:space="0" w:color="auto"/>
                <w:bottom w:val="none" w:sz="0" w:space="0" w:color="auto"/>
                <w:right w:val="none" w:sz="0" w:space="0" w:color="auto"/>
              </w:divBdr>
              <w:divsChild>
                <w:div w:id="944456385">
                  <w:marLeft w:val="0"/>
                  <w:marRight w:val="0"/>
                  <w:marTop w:val="0"/>
                  <w:marBottom w:val="300"/>
                  <w:divBdr>
                    <w:top w:val="none" w:sz="0" w:space="0" w:color="auto"/>
                    <w:left w:val="none" w:sz="0" w:space="0" w:color="auto"/>
                    <w:bottom w:val="none" w:sz="0" w:space="0" w:color="auto"/>
                    <w:right w:val="none" w:sz="0" w:space="0" w:color="auto"/>
                  </w:divBdr>
                  <w:divsChild>
                    <w:div w:id="1054894846">
                      <w:marLeft w:val="0"/>
                      <w:marRight w:val="0"/>
                      <w:marTop w:val="0"/>
                      <w:marBottom w:val="0"/>
                      <w:divBdr>
                        <w:top w:val="none" w:sz="0" w:space="0" w:color="auto"/>
                        <w:left w:val="none" w:sz="0" w:space="0" w:color="auto"/>
                        <w:bottom w:val="none" w:sz="0" w:space="0" w:color="auto"/>
                        <w:right w:val="none" w:sz="0" w:space="0" w:color="auto"/>
                      </w:divBdr>
                      <w:divsChild>
                        <w:div w:id="921254364">
                          <w:marLeft w:val="0"/>
                          <w:marRight w:val="0"/>
                          <w:marTop w:val="0"/>
                          <w:marBottom w:val="0"/>
                          <w:divBdr>
                            <w:top w:val="none" w:sz="0" w:space="0" w:color="auto"/>
                            <w:left w:val="none" w:sz="0" w:space="0" w:color="auto"/>
                            <w:bottom w:val="none" w:sz="0" w:space="0" w:color="auto"/>
                            <w:right w:val="none" w:sz="0" w:space="0" w:color="auto"/>
                          </w:divBdr>
                          <w:divsChild>
                            <w:div w:id="139369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566824">
          <w:marLeft w:val="0"/>
          <w:marRight w:val="0"/>
          <w:marTop w:val="0"/>
          <w:marBottom w:val="0"/>
          <w:divBdr>
            <w:top w:val="none" w:sz="0" w:space="0" w:color="auto"/>
            <w:left w:val="none" w:sz="0" w:space="0" w:color="auto"/>
            <w:bottom w:val="none" w:sz="0" w:space="0" w:color="auto"/>
            <w:right w:val="none" w:sz="0" w:space="0" w:color="auto"/>
          </w:divBdr>
          <w:divsChild>
            <w:div w:id="143269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801217">
      <w:bodyDiv w:val="1"/>
      <w:marLeft w:val="0"/>
      <w:marRight w:val="0"/>
      <w:marTop w:val="0"/>
      <w:marBottom w:val="0"/>
      <w:divBdr>
        <w:top w:val="none" w:sz="0" w:space="0" w:color="auto"/>
        <w:left w:val="none" w:sz="0" w:space="0" w:color="auto"/>
        <w:bottom w:val="none" w:sz="0" w:space="0" w:color="auto"/>
        <w:right w:val="none" w:sz="0" w:space="0" w:color="auto"/>
      </w:divBdr>
      <w:divsChild>
        <w:div w:id="2092387023">
          <w:marLeft w:val="0"/>
          <w:marRight w:val="0"/>
          <w:marTop w:val="0"/>
          <w:marBottom w:val="0"/>
          <w:divBdr>
            <w:top w:val="none" w:sz="0" w:space="0" w:color="auto"/>
            <w:left w:val="none" w:sz="0" w:space="0" w:color="auto"/>
            <w:bottom w:val="none" w:sz="0" w:space="0" w:color="auto"/>
            <w:right w:val="none" w:sz="0" w:space="0" w:color="auto"/>
          </w:divBdr>
          <w:divsChild>
            <w:div w:id="18632843">
              <w:marLeft w:val="0"/>
              <w:marRight w:val="0"/>
              <w:marTop w:val="0"/>
              <w:marBottom w:val="0"/>
              <w:divBdr>
                <w:top w:val="none" w:sz="0" w:space="0" w:color="auto"/>
                <w:left w:val="none" w:sz="0" w:space="0" w:color="auto"/>
                <w:bottom w:val="none" w:sz="0" w:space="0" w:color="auto"/>
                <w:right w:val="none" w:sz="0" w:space="0" w:color="auto"/>
              </w:divBdr>
              <w:divsChild>
                <w:div w:id="705495614">
                  <w:marLeft w:val="0"/>
                  <w:marRight w:val="0"/>
                  <w:marTop w:val="0"/>
                  <w:marBottom w:val="0"/>
                  <w:divBdr>
                    <w:top w:val="none" w:sz="0" w:space="0" w:color="auto"/>
                    <w:left w:val="none" w:sz="0" w:space="0" w:color="auto"/>
                    <w:bottom w:val="none" w:sz="0" w:space="0" w:color="auto"/>
                    <w:right w:val="none" w:sz="0" w:space="0" w:color="auto"/>
                  </w:divBdr>
                  <w:divsChild>
                    <w:div w:id="60288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295706">
      <w:bodyDiv w:val="1"/>
      <w:marLeft w:val="0"/>
      <w:marRight w:val="0"/>
      <w:marTop w:val="0"/>
      <w:marBottom w:val="0"/>
      <w:divBdr>
        <w:top w:val="none" w:sz="0" w:space="0" w:color="auto"/>
        <w:left w:val="none" w:sz="0" w:space="0" w:color="auto"/>
        <w:bottom w:val="none" w:sz="0" w:space="0" w:color="auto"/>
        <w:right w:val="none" w:sz="0" w:space="0" w:color="auto"/>
      </w:divBdr>
    </w:div>
    <w:div w:id="690028600">
      <w:bodyDiv w:val="1"/>
      <w:marLeft w:val="0"/>
      <w:marRight w:val="0"/>
      <w:marTop w:val="0"/>
      <w:marBottom w:val="0"/>
      <w:divBdr>
        <w:top w:val="none" w:sz="0" w:space="0" w:color="auto"/>
        <w:left w:val="none" w:sz="0" w:space="0" w:color="auto"/>
        <w:bottom w:val="none" w:sz="0" w:space="0" w:color="auto"/>
        <w:right w:val="none" w:sz="0" w:space="0" w:color="auto"/>
      </w:divBdr>
    </w:div>
    <w:div w:id="690493246">
      <w:bodyDiv w:val="1"/>
      <w:marLeft w:val="0"/>
      <w:marRight w:val="0"/>
      <w:marTop w:val="0"/>
      <w:marBottom w:val="0"/>
      <w:divBdr>
        <w:top w:val="none" w:sz="0" w:space="0" w:color="auto"/>
        <w:left w:val="none" w:sz="0" w:space="0" w:color="auto"/>
        <w:bottom w:val="none" w:sz="0" w:space="0" w:color="auto"/>
        <w:right w:val="none" w:sz="0" w:space="0" w:color="auto"/>
      </w:divBdr>
    </w:div>
    <w:div w:id="709375741">
      <w:bodyDiv w:val="1"/>
      <w:marLeft w:val="0"/>
      <w:marRight w:val="0"/>
      <w:marTop w:val="0"/>
      <w:marBottom w:val="0"/>
      <w:divBdr>
        <w:top w:val="none" w:sz="0" w:space="0" w:color="auto"/>
        <w:left w:val="none" w:sz="0" w:space="0" w:color="auto"/>
        <w:bottom w:val="none" w:sz="0" w:space="0" w:color="auto"/>
        <w:right w:val="none" w:sz="0" w:space="0" w:color="auto"/>
      </w:divBdr>
    </w:div>
    <w:div w:id="730884515">
      <w:bodyDiv w:val="1"/>
      <w:marLeft w:val="0"/>
      <w:marRight w:val="0"/>
      <w:marTop w:val="0"/>
      <w:marBottom w:val="0"/>
      <w:divBdr>
        <w:top w:val="none" w:sz="0" w:space="0" w:color="auto"/>
        <w:left w:val="none" w:sz="0" w:space="0" w:color="auto"/>
        <w:bottom w:val="none" w:sz="0" w:space="0" w:color="auto"/>
        <w:right w:val="none" w:sz="0" w:space="0" w:color="auto"/>
      </w:divBdr>
    </w:div>
    <w:div w:id="732893854">
      <w:bodyDiv w:val="1"/>
      <w:marLeft w:val="0"/>
      <w:marRight w:val="0"/>
      <w:marTop w:val="0"/>
      <w:marBottom w:val="0"/>
      <w:divBdr>
        <w:top w:val="none" w:sz="0" w:space="0" w:color="auto"/>
        <w:left w:val="none" w:sz="0" w:space="0" w:color="auto"/>
        <w:bottom w:val="none" w:sz="0" w:space="0" w:color="auto"/>
        <w:right w:val="none" w:sz="0" w:space="0" w:color="auto"/>
      </w:divBdr>
    </w:div>
    <w:div w:id="762260072">
      <w:bodyDiv w:val="1"/>
      <w:marLeft w:val="0"/>
      <w:marRight w:val="0"/>
      <w:marTop w:val="0"/>
      <w:marBottom w:val="0"/>
      <w:divBdr>
        <w:top w:val="none" w:sz="0" w:space="0" w:color="auto"/>
        <w:left w:val="none" w:sz="0" w:space="0" w:color="auto"/>
        <w:bottom w:val="none" w:sz="0" w:space="0" w:color="auto"/>
        <w:right w:val="none" w:sz="0" w:space="0" w:color="auto"/>
      </w:divBdr>
    </w:div>
    <w:div w:id="782847156">
      <w:bodyDiv w:val="1"/>
      <w:marLeft w:val="0"/>
      <w:marRight w:val="0"/>
      <w:marTop w:val="0"/>
      <w:marBottom w:val="0"/>
      <w:divBdr>
        <w:top w:val="none" w:sz="0" w:space="0" w:color="auto"/>
        <w:left w:val="none" w:sz="0" w:space="0" w:color="auto"/>
        <w:bottom w:val="none" w:sz="0" w:space="0" w:color="auto"/>
        <w:right w:val="none" w:sz="0" w:space="0" w:color="auto"/>
      </w:divBdr>
    </w:div>
    <w:div w:id="832186512">
      <w:bodyDiv w:val="1"/>
      <w:marLeft w:val="0"/>
      <w:marRight w:val="0"/>
      <w:marTop w:val="0"/>
      <w:marBottom w:val="0"/>
      <w:divBdr>
        <w:top w:val="none" w:sz="0" w:space="0" w:color="auto"/>
        <w:left w:val="none" w:sz="0" w:space="0" w:color="auto"/>
        <w:bottom w:val="none" w:sz="0" w:space="0" w:color="auto"/>
        <w:right w:val="none" w:sz="0" w:space="0" w:color="auto"/>
      </w:divBdr>
    </w:div>
    <w:div w:id="863252246">
      <w:bodyDiv w:val="1"/>
      <w:marLeft w:val="0"/>
      <w:marRight w:val="0"/>
      <w:marTop w:val="0"/>
      <w:marBottom w:val="0"/>
      <w:divBdr>
        <w:top w:val="none" w:sz="0" w:space="0" w:color="auto"/>
        <w:left w:val="none" w:sz="0" w:space="0" w:color="auto"/>
        <w:bottom w:val="none" w:sz="0" w:space="0" w:color="auto"/>
        <w:right w:val="none" w:sz="0" w:space="0" w:color="auto"/>
      </w:divBdr>
    </w:div>
    <w:div w:id="875973059">
      <w:bodyDiv w:val="1"/>
      <w:marLeft w:val="0"/>
      <w:marRight w:val="0"/>
      <w:marTop w:val="0"/>
      <w:marBottom w:val="0"/>
      <w:divBdr>
        <w:top w:val="none" w:sz="0" w:space="0" w:color="auto"/>
        <w:left w:val="none" w:sz="0" w:space="0" w:color="auto"/>
        <w:bottom w:val="none" w:sz="0" w:space="0" w:color="auto"/>
        <w:right w:val="none" w:sz="0" w:space="0" w:color="auto"/>
      </w:divBdr>
    </w:div>
    <w:div w:id="914557139">
      <w:bodyDiv w:val="1"/>
      <w:marLeft w:val="0"/>
      <w:marRight w:val="0"/>
      <w:marTop w:val="0"/>
      <w:marBottom w:val="0"/>
      <w:divBdr>
        <w:top w:val="none" w:sz="0" w:space="0" w:color="auto"/>
        <w:left w:val="none" w:sz="0" w:space="0" w:color="auto"/>
        <w:bottom w:val="none" w:sz="0" w:space="0" w:color="auto"/>
        <w:right w:val="none" w:sz="0" w:space="0" w:color="auto"/>
      </w:divBdr>
    </w:div>
    <w:div w:id="934899607">
      <w:bodyDiv w:val="1"/>
      <w:marLeft w:val="0"/>
      <w:marRight w:val="0"/>
      <w:marTop w:val="0"/>
      <w:marBottom w:val="0"/>
      <w:divBdr>
        <w:top w:val="none" w:sz="0" w:space="0" w:color="auto"/>
        <w:left w:val="none" w:sz="0" w:space="0" w:color="auto"/>
        <w:bottom w:val="none" w:sz="0" w:space="0" w:color="auto"/>
        <w:right w:val="none" w:sz="0" w:space="0" w:color="auto"/>
      </w:divBdr>
    </w:div>
    <w:div w:id="964582298">
      <w:bodyDiv w:val="1"/>
      <w:marLeft w:val="0"/>
      <w:marRight w:val="0"/>
      <w:marTop w:val="0"/>
      <w:marBottom w:val="0"/>
      <w:divBdr>
        <w:top w:val="none" w:sz="0" w:space="0" w:color="auto"/>
        <w:left w:val="none" w:sz="0" w:space="0" w:color="auto"/>
        <w:bottom w:val="none" w:sz="0" w:space="0" w:color="auto"/>
        <w:right w:val="none" w:sz="0" w:space="0" w:color="auto"/>
      </w:divBdr>
    </w:div>
    <w:div w:id="972058612">
      <w:bodyDiv w:val="1"/>
      <w:marLeft w:val="0"/>
      <w:marRight w:val="0"/>
      <w:marTop w:val="0"/>
      <w:marBottom w:val="0"/>
      <w:divBdr>
        <w:top w:val="none" w:sz="0" w:space="0" w:color="auto"/>
        <w:left w:val="none" w:sz="0" w:space="0" w:color="auto"/>
        <w:bottom w:val="none" w:sz="0" w:space="0" w:color="auto"/>
        <w:right w:val="none" w:sz="0" w:space="0" w:color="auto"/>
      </w:divBdr>
    </w:div>
    <w:div w:id="1022390481">
      <w:bodyDiv w:val="1"/>
      <w:marLeft w:val="0"/>
      <w:marRight w:val="0"/>
      <w:marTop w:val="0"/>
      <w:marBottom w:val="0"/>
      <w:divBdr>
        <w:top w:val="none" w:sz="0" w:space="0" w:color="auto"/>
        <w:left w:val="none" w:sz="0" w:space="0" w:color="auto"/>
        <w:bottom w:val="none" w:sz="0" w:space="0" w:color="auto"/>
        <w:right w:val="none" w:sz="0" w:space="0" w:color="auto"/>
      </w:divBdr>
    </w:div>
    <w:div w:id="1069302725">
      <w:bodyDiv w:val="1"/>
      <w:marLeft w:val="0"/>
      <w:marRight w:val="0"/>
      <w:marTop w:val="0"/>
      <w:marBottom w:val="0"/>
      <w:divBdr>
        <w:top w:val="none" w:sz="0" w:space="0" w:color="auto"/>
        <w:left w:val="none" w:sz="0" w:space="0" w:color="auto"/>
        <w:bottom w:val="none" w:sz="0" w:space="0" w:color="auto"/>
        <w:right w:val="none" w:sz="0" w:space="0" w:color="auto"/>
      </w:divBdr>
    </w:div>
    <w:div w:id="1101268055">
      <w:bodyDiv w:val="1"/>
      <w:marLeft w:val="0"/>
      <w:marRight w:val="0"/>
      <w:marTop w:val="0"/>
      <w:marBottom w:val="0"/>
      <w:divBdr>
        <w:top w:val="none" w:sz="0" w:space="0" w:color="auto"/>
        <w:left w:val="none" w:sz="0" w:space="0" w:color="auto"/>
        <w:bottom w:val="none" w:sz="0" w:space="0" w:color="auto"/>
        <w:right w:val="none" w:sz="0" w:space="0" w:color="auto"/>
      </w:divBdr>
    </w:div>
    <w:div w:id="1135682477">
      <w:bodyDiv w:val="1"/>
      <w:marLeft w:val="0"/>
      <w:marRight w:val="0"/>
      <w:marTop w:val="0"/>
      <w:marBottom w:val="0"/>
      <w:divBdr>
        <w:top w:val="none" w:sz="0" w:space="0" w:color="auto"/>
        <w:left w:val="none" w:sz="0" w:space="0" w:color="auto"/>
        <w:bottom w:val="none" w:sz="0" w:space="0" w:color="auto"/>
        <w:right w:val="none" w:sz="0" w:space="0" w:color="auto"/>
      </w:divBdr>
    </w:div>
    <w:div w:id="1143423629">
      <w:bodyDiv w:val="1"/>
      <w:marLeft w:val="0"/>
      <w:marRight w:val="0"/>
      <w:marTop w:val="0"/>
      <w:marBottom w:val="0"/>
      <w:divBdr>
        <w:top w:val="none" w:sz="0" w:space="0" w:color="auto"/>
        <w:left w:val="none" w:sz="0" w:space="0" w:color="auto"/>
        <w:bottom w:val="none" w:sz="0" w:space="0" w:color="auto"/>
        <w:right w:val="none" w:sz="0" w:space="0" w:color="auto"/>
      </w:divBdr>
      <w:divsChild>
        <w:div w:id="472803">
          <w:marLeft w:val="300"/>
          <w:marRight w:val="0"/>
          <w:marTop w:val="0"/>
          <w:marBottom w:val="0"/>
          <w:divBdr>
            <w:top w:val="none" w:sz="0" w:space="0" w:color="auto"/>
            <w:left w:val="none" w:sz="0" w:space="0" w:color="auto"/>
            <w:bottom w:val="none" w:sz="0" w:space="0" w:color="auto"/>
            <w:right w:val="none" w:sz="0" w:space="0" w:color="auto"/>
          </w:divBdr>
        </w:div>
      </w:divsChild>
    </w:div>
    <w:div w:id="1145970039">
      <w:bodyDiv w:val="1"/>
      <w:marLeft w:val="0"/>
      <w:marRight w:val="0"/>
      <w:marTop w:val="0"/>
      <w:marBottom w:val="0"/>
      <w:divBdr>
        <w:top w:val="none" w:sz="0" w:space="0" w:color="auto"/>
        <w:left w:val="none" w:sz="0" w:space="0" w:color="auto"/>
        <w:bottom w:val="none" w:sz="0" w:space="0" w:color="auto"/>
        <w:right w:val="none" w:sz="0" w:space="0" w:color="auto"/>
      </w:divBdr>
    </w:div>
    <w:div w:id="1156993231">
      <w:bodyDiv w:val="1"/>
      <w:marLeft w:val="0"/>
      <w:marRight w:val="0"/>
      <w:marTop w:val="0"/>
      <w:marBottom w:val="0"/>
      <w:divBdr>
        <w:top w:val="none" w:sz="0" w:space="0" w:color="auto"/>
        <w:left w:val="none" w:sz="0" w:space="0" w:color="auto"/>
        <w:bottom w:val="none" w:sz="0" w:space="0" w:color="auto"/>
        <w:right w:val="none" w:sz="0" w:space="0" w:color="auto"/>
      </w:divBdr>
    </w:div>
    <w:div w:id="1177815178">
      <w:bodyDiv w:val="1"/>
      <w:marLeft w:val="0"/>
      <w:marRight w:val="0"/>
      <w:marTop w:val="0"/>
      <w:marBottom w:val="0"/>
      <w:divBdr>
        <w:top w:val="none" w:sz="0" w:space="0" w:color="auto"/>
        <w:left w:val="none" w:sz="0" w:space="0" w:color="auto"/>
        <w:bottom w:val="none" w:sz="0" w:space="0" w:color="auto"/>
        <w:right w:val="none" w:sz="0" w:space="0" w:color="auto"/>
      </w:divBdr>
    </w:div>
    <w:div w:id="1184397334">
      <w:bodyDiv w:val="1"/>
      <w:marLeft w:val="0"/>
      <w:marRight w:val="0"/>
      <w:marTop w:val="0"/>
      <w:marBottom w:val="0"/>
      <w:divBdr>
        <w:top w:val="none" w:sz="0" w:space="0" w:color="auto"/>
        <w:left w:val="none" w:sz="0" w:space="0" w:color="auto"/>
        <w:bottom w:val="none" w:sz="0" w:space="0" w:color="auto"/>
        <w:right w:val="none" w:sz="0" w:space="0" w:color="auto"/>
      </w:divBdr>
    </w:div>
    <w:div w:id="1218588152">
      <w:bodyDiv w:val="1"/>
      <w:marLeft w:val="0"/>
      <w:marRight w:val="0"/>
      <w:marTop w:val="0"/>
      <w:marBottom w:val="0"/>
      <w:divBdr>
        <w:top w:val="none" w:sz="0" w:space="0" w:color="auto"/>
        <w:left w:val="none" w:sz="0" w:space="0" w:color="auto"/>
        <w:bottom w:val="none" w:sz="0" w:space="0" w:color="auto"/>
        <w:right w:val="none" w:sz="0" w:space="0" w:color="auto"/>
      </w:divBdr>
    </w:div>
    <w:div w:id="1221013896">
      <w:bodyDiv w:val="1"/>
      <w:marLeft w:val="0"/>
      <w:marRight w:val="0"/>
      <w:marTop w:val="0"/>
      <w:marBottom w:val="0"/>
      <w:divBdr>
        <w:top w:val="none" w:sz="0" w:space="0" w:color="auto"/>
        <w:left w:val="none" w:sz="0" w:space="0" w:color="auto"/>
        <w:bottom w:val="none" w:sz="0" w:space="0" w:color="auto"/>
        <w:right w:val="none" w:sz="0" w:space="0" w:color="auto"/>
      </w:divBdr>
    </w:div>
    <w:div w:id="1243221030">
      <w:bodyDiv w:val="1"/>
      <w:marLeft w:val="0"/>
      <w:marRight w:val="0"/>
      <w:marTop w:val="0"/>
      <w:marBottom w:val="0"/>
      <w:divBdr>
        <w:top w:val="none" w:sz="0" w:space="0" w:color="auto"/>
        <w:left w:val="none" w:sz="0" w:space="0" w:color="auto"/>
        <w:bottom w:val="none" w:sz="0" w:space="0" w:color="auto"/>
        <w:right w:val="none" w:sz="0" w:space="0" w:color="auto"/>
      </w:divBdr>
    </w:div>
    <w:div w:id="1266504136">
      <w:bodyDiv w:val="1"/>
      <w:marLeft w:val="0"/>
      <w:marRight w:val="0"/>
      <w:marTop w:val="0"/>
      <w:marBottom w:val="0"/>
      <w:divBdr>
        <w:top w:val="none" w:sz="0" w:space="0" w:color="auto"/>
        <w:left w:val="none" w:sz="0" w:space="0" w:color="auto"/>
        <w:bottom w:val="none" w:sz="0" w:space="0" w:color="auto"/>
        <w:right w:val="none" w:sz="0" w:space="0" w:color="auto"/>
      </w:divBdr>
    </w:div>
    <w:div w:id="1275135498">
      <w:bodyDiv w:val="1"/>
      <w:marLeft w:val="0"/>
      <w:marRight w:val="0"/>
      <w:marTop w:val="0"/>
      <w:marBottom w:val="0"/>
      <w:divBdr>
        <w:top w:val="none" w:sz="0" w:space="0" w:color="auto"/>
        <w:left w:val="none" w:sz="0" w:space="0" w:color="auto"/>
        <w:bottom w:val="none" w:sz="0" w:space="0" w:color="auto"/>
        <w:right w:val="none" w:sz="0" w:space="0" w:color="auto"/>
      </w:divBdr>
    </w:div>
    <w:div w:id="1328512822">
      <w:bodyDiv w:val="1"/>
      <w:marLeft w:val="0"/>
      <w:marRight w:val="0"/>
      <w:marTop w:val="0"/>
      <w:marBottom w:val="0"/>
      <w:divBdr>
        <w:top w:val="none" w:sz="0" w:space="0" w:color="auto"/>
        <w:left w:val="none" w:sz="0" w:space="0" w:color="auto"/>
        <w:bottom w:val="none" w:sz="0" w:space="0" w:color="auto"/>
        <w:right w:val="none" w:sz="0" w:space="0" w:color="auto"/>
      </w:divBdr>
    </w:div>
    <w:div w:id="1359116618">
      <w:bodyDiv w:val="1"/>
      <w:marLeft w:val="0"/>
      <w:marRight w:val="0"/>
      <w:marTop w:val="0"/>
      <w:marBottom w:val="0"/>
      <w:divBdr>
        <w:top w:val="none" w:sz="0" w:space="0" w:color="auto"/>
        <w:left w:val="none" w:sz="0" w:space="0" w:color="auto"/>
        <w:bottom w:val="none" w:sz="0" w:space="0" w:color="auto"/>
        <w:right w:val="none" w:sz="0" w:space="0" w:color="auto"/>
      </w:divBdr>
    </w:div>
    <w:div w:id="1360620053">
      <w:bodyDiv w:val="1"/>
      <w:marLeft w:val="0"/>
      <w:marRight w:val="0"/>
      <w:marTop w:val="0"/>
      <w:marBottom w:val="0"/>
      <w:divBdr>
        <w:top w:val="none" w:sz="0" w:space="0" w:color="auto"/>
        <w:left w:val="none" w:sz="0" w:space="0" w:color="auto"/>
        <w:bottom w:val="none" w:sz="0" w:space="0" w:color="auto"/>
        <w:right w:val="none" w:sz="0" w:space="0" w:color="auto"/>
      </w:divBdr>
    </w:div>
    <w:div w:id="1374427035">
      <w:bodyDiv w:val="1"/>
      <w:marLeft w:val="0"/>
      <w:marRight w:val="0"/>
      <w:marTop w:val="0"/>
      <w:marBottom w:val="0"/>
      <w:divBdr>
        <w:top w:val="none" w:sz="0" w:space="0" w:color="auto"/>
        <w:left w:val="none" w:sz="0" w:space="0" w:color="auto"/>
        <w:bottom w:val="none" w:sz="0" w:space="0" w:color="auto"/>
        <w:right w:val="none" w:sz="0" w:space="0" w:color="auto"/>
      </w:divBdr>
    </w:div>
    <w:div w:id="1406413276">
      <w:bodyDiv w:val="1"/>
      <w:marLeft w:val="0"/>
      <w:marRight w:val="0"/>
      <w:marTop w:val="0"/>
      <w:marBottom w:val="0"/>
      <w:divBdr>
        <w:top w:val="none" w:sz="0" w:space="0" w:color="auto"/>
        <w:left w:val="none" w:sz="0" w:space="0" w:color="auto"/>
        <w:bottom w:val="none" w:sz="0" w:space="0" w:color="auto"/>
        <w:right w:val="none" w:sz="0" w:space="0" w:color="auto"/>
      </w:divBdr>
    </w:div>
    <w:div w:id="1413547153">
      <w:bodyDiv w:val="1"/>
      <w:marLeft w:val="0"/>
      <w:marRight w:val="0"/>
      <w:marTop w:val="0"/>
      <w:marBottom w:val="0"/>
      <w:divBdr>
        <w:top w:val="none" w:sz="0" w:space="0" w:color="auto"/>
        <w:left w:val="none" w:sz="0" w:space="0" w:color="auto"/>
        <w:bottom w:val="none" w:sz="0" w:space="0" w:color="auto"/>
        <w:right w:val="none" w:sz="0" w:space="0" w:color="auto"/>
      </w:divBdr>
      <w:divsChild>
        <w:div w:id="614213153">
          <w:marLeft w:val="0"/>
          <w:marRight w:val="0"/>
          <w:marTop w:val="0"/>
          <w:marBottom w:val="0"/>
          <w:divBdr>
            <w:top w:val="none" w:sz="0" w:space="0" w:color="auto"/>
            <w:left w:val="none" w:sz="0" w:space="0" w:color="auto"/>
            <w:bottom w:val="none" w:sz="0" w:space="0" w:color="auto"/>
            <w:right w:val="none" w:sz="0" w:space="0" w:color="auto"/>
          </w:divBdr>
          <w:divsChild>
            <w:div w:id="27302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063054">
      <w:bodyDiv w:val="1"/>
      <w:marLeft w:val="0"/>
      <w:marRight w:val="0"/>
      <w:marTop w:val="0"/>
      <w:marBottom w:val="0"/>
      <w:divBdr>
        <w:top w:val="none" w:sz="0" w:space="0" w:color="auto"/>
        <w:left w:val="none" w:sz="0" w:space="0" w:color="auto"/>
        <w:bottom w:val="none" w:sz="0" w:space="0" w:color="auto"/>
        <w:right w:val="none" w:sz="0" w:space="0" w:color="auto"/>
      </w:divBdr>
    </w:div>
    <w:div w:id="1464226588">
      <w:bodyDiv w:val="1"/>
      <w:marLeft w:val="0"/>
      <w:marRight w:val="0"/>
      <w:marTop w:val="0"/>
      <w:marBottom w:val="0"/>
      <w:divBdr>
        <w:top w:val="none" w:sz="0" w:space="0" w:color="auto"/>
        <w:left w:val="none" w:sz="0" w:space="0" w:color="auto"/>
        <w:bottom w:val="none" w:sz="0" w:space="0" w:color="auto"/>
        <w:right w:val="none" w:sz="0" w:space="0" w:color="auto"/>
      </w:divBdr>
    </w:div>
    <w:div w:id="1490058756">
      <w:bodyDiv w:val="1"/>
      <w:marLeft w:val="0"/>
      <w:marRight w:val="0"/>
      <w:marTop w:val="0"/>
      <w:marBottom w:val="0"/>
      <w:divBdr>
        <w:top w:val="none" w:sz="0" w:space="0" w:color="auto"/>
        <w:left w:val="none" w:sz="0" w:space="0" w:color="auto"/>
        <w:bottom w:val="none" w:sz="0" w:space="0" w:color="auto"/>
        <w:right w:val="none" w:sz="0" w:space="0" w:color="auto"/>
      </w:divBdr>
    </w:div>
    <w:div w:id="1503930807">
      <w:bodyDiv w:val="1"/>
      <w:marLeft w:val="0"/>
      <w:marRight w:val="0"/>
      <w:marTop w:val="0"/>
      <w:marBottom w:val="0"/>
      <w:divBdr>
        <w:top w:val="none" w:sz="0" w:space="0" w:color="auto"/>
        <w:left w:val="none" w:sz="0" w:space="0" w:color="auto"/>
        <w:bottom w:val="none" w:sz="0" w:space="0" w:color="auto"/>
        <w:right w:val="none" w:sz="0" w:space="0" w:color="auto"/>
      </w:divBdr>
    </w:div>
    <w:div w:id="1529027524">
      <w:bodyDiv w:val="1"/>
      <w:marLeft w:val="0"/>
      <w:marRight w:val="0"/>
      <w:marTop w:val="0"/>
      <w:marBottom w:val="0"/>
      <w:divBdr>
        <w:top w:val="none" w:sz="0" w:space="0" w:color="auto"/>
        <w:left w:val="none" w:sz="0" w:space="0" w:color="auto"/>
        <w:bottom w:val="none" w:sz="0" w:space="0" w:color="auto"/>
        <w:right w:val="none" w:sz="0" w:space="0" w:color="auto"/>
      </w:divBdr>
    </w:div>
    <w:div w:id="1532376413">
      <w:bodyDiv w:val="1"/>
      <w:marLeft w:val="0"/>
      <w:marRight w:val="0"/>
      <w:marTop w:val="0"/>
      <w:marBottom w:val="0"/>
      <w:divBdr>
        <w:top w:val="none" w:sz="0" w:space="0" w:color="auto"/>
        <w:left w:val="none" w:sz="0" w:space="0" w:color="auto"/>
        <w:bottom w:val="none" w:sz="0" w:space="0" w:color="auto"/>
        <w:right w:val="none" w:sz="0" w:space="0" w:color="auto"/>
      </w:divBdr>
    </w:div>
    <w:div w:id="1549218404">
      <w:bodyDiv w:val="1"/>
      <w:marLeft w:val="0"/>
      <w:marRight w:val="0"/>
      <w:marTop w:val="0"/>
      <w:marBottom w:val="0"/>
      <w:divBdr>
        <w:top w:val="none" w:sz="0" w:space="0" w:color="auto"/>
        <w:left w:val="none" w:sz="0" w:space="0" w:color="auto"/>
        <w:bottom w:val="none" w:sz="0" w:space="0" w:color="auto"/>
        <w:right w:val="none" w:sz="0" w:space="0" w:color="auto"/>
      </w:divBdr>
    </w:div>
    <w:div w:id="1567719238">
      <w:bodyDiv w:val="1"/>
      <w:marLeft w:val="0"/>
      <w:marRight w:val="0"/>
      <w:marTop w:val="0"/>
      <w:marBottom w:val="0"/>
      <w:divBdr>
        <w:top w:val="none" w:sz="0" w:space="0" w:color="auto"/>
        <w:left w:val="none" w:sz="0" w:space="0" w:color="auto"/>
        <w:bottom w:val="none" w:sz="0" w:space="0" w:color="auto"/>
        <w:right w:val="none" w:sz="0" w:space="0" w:color="auto"/>
      </w:divBdr>
      <w:divsChild>
        <w:div w:id="671840438">
          <w:marLeft w:val="0"/>
          <w:marRight w:val="0"/>
          <w:marTop w:val="0"/>
          <w:marBottom w:val="0"/>
          <w:divBdr>
            <w:top w:val="none" w:sz="0" w:space="0" w:color="auto"/>
            <w:left w:val="none" w:sz="0" w:space="0" w:color="auto"/>
            <w:bottom w:val="none" w:sz="0" w:space="0" w:color="auto"/>
            <w:right w:val="none" w:sz="0" w:space="0" w:color="auto"/>
          </w:divBdr>
        </w:div>
      </w:divsChild>
    </w:div>
    <w:div w:id="1572036986">
      <w:bodyDiv w:val="1"/>
      <w:marLeft w:val="0"/>
      <w:marRight w:val="0"/>
      <w:marTop w:val="0"/>
      <w:marBottom w:val="0"/>
      <w:divBdr>
        <w:top w:val="none" w:sz="0" w:space="0" w:color="auto"/>
        <w:left w:val="none" w:sz="0" w:space="0" w:color="auto"/>
        <w:bottom w:val="none" w:sz="0" w:space="0" w:color="auto"/>
        <w:right w:val="none" w:sz="0" w:space="0" w:color="auto"/>
      </w:divBdr>
    </w:div>
    <w:div w:id="1574851559">
      <w:bodyDiv w:val="1"/>
      <w:marLeft w:val="0"/>
      <w:marRight w:val="0"/>
      <w:marTop w:val="0"/>
      <w:marBottom w:val="0"/>
      <w:divBdr>
        <w:top w:val="none" w:sz="0" w:space="0" w:color="auto"/>
        <w:left w:val="none" w:sz="0" w:space="0" w:color="auto"/>
        <w:bottom w:val="none" w:sz="0" w:space="0" w:color="auto"/>
        <w:right w:val="none" w:sz="0" w:space="0" w:color="auto"/>
      </w:divBdr>
    </w:div>
    <w:div w:id="1578781212">
      <w:bodyDiv w:val="1"/>
      <w:marLeft w:val="0"/>
      <w:marRight w:val="0"/>
      <w:marTop w:val="0"/>
      <w:marBottom w:val="0"/>
      <w:divBdr>
        <w:top w:val="none" w:sz="0" w:space="0" w:color="auto"/>
        <w:left w:val="none" w:sz="0" w:space="0" w:color="auto"/>
        <w:bottom w:val="none" w:sz="0" w:space="0" w:color="auto"/>
        <w:right w:val="none" w:sz="0" w:space="0" w:color="auto"/>
      </w:divBdr>
    </w:div>
    <w:div w:id="1585383626">
      <w:bodyDiv w:val="1"/>
      <w:marLeft w:val="0"/>
      <w:marRight w:val="0"/>
      <w:marTop w:val="0"/>
      <w:marBottom w:val="0"/>
      <w:divBdr>
        <w:top w:val="none" w:sz="0" w:space="0" w:color="auto"/>
        <w:left w:val="none" w:sz="0" w:space="0" w:color="auto"/>
        <w:bottom w:val="none" w:sz="0" w:space="0" w:color="auto"/>
        <w:right w:val="none" w:sz="0" w:space="0" w:color="auto"/>
      </w:divBdr>
    </w:div>
    <w:div w:id="1597786597">
      <w:bodyDiv w:val="1"/>
      <w:marLeft w:val="0"/>
      <w:marRight w:val="0"/>
      <w:marTop w:val="0"/>
      <w:marBottom w:val="0"/>
      <w:divBdr>
        <w:top w:val="none" w:sz="0" w:space="0" w:color="auto"/>
        <w:left w:val="none" w:sz="0" w:space="0" w:color="auto"/>
        <w:bottom w:val="none" w:sz="0" w:space="0" w:color="auto"/>
        <w:right w:val="none" w:sz="0" w:space="0" w:color="auto"/>
      </w:divBdr>
      <w:divsChild>
        <w:div w:id="642394705">
          <w:marLeft w:val="0"/>
          <w:marRight w:val="0"/>
          <w:marTop w:val="0"/>
          <w:marBottom w:val="0"/>
          <w:divBdr>
            <w:top w:val="none" w:sz="0" w:space="0" w:color="auto"/>
            <w:left w:val="none" w:sz="0" w:space="0" w:color="auto"/>
            <w:bottom w:val="none" w:sz="0" w:space="0" w:color="auto"/>
            <w:right w:val="none" w:sz="0" w:space="0" w:color="auto"/>
          </w:divBdr>
          <w:divsChild>
            <w:div w:id="443816662">
              <w:marLeft w:val="0"/>
              <w:marRight w:val="0"/>
              <w:marTop w:val="0"/>
              <w:marBottom w:val="0"/>
              <w:divBdr>
                <w:top w:val="none" w:sz="0" w:space="0" w:color="auto"/>
                <w:left w:val="none" w:sz="0" w:space="0" w:color="auto"/>
                <w:bottom w:val="none" w:sz="0" w:space="0" w:color="auto"/>
                <w:right w:val="none" w:sz="0" w:space="0" w:color="auto"/>
              </w:divBdr>
              <w:divsChild>
                <w:div w:id="1346782237">
                  <w:marLeft w:val="0"/>
                  <w:marRight w:val="0"/>
                  <w:marTop w:val="0"/>
                  <w:marBottom w:val="0"/>
                  <w:divBdr>
                    <w:top w:val="none" w:sz="0" w:space="0" w:color="auto"/>
                    <w:left w:val="none" w:sz="0" w:space="0" w:color="auto"/>
                    <w:bottom w:val="none" w:sz="0" w:space="0" w:color="auto"/>
                    <w:right w:val="none" w:sz="0" w:space="0" w:color="auto"/>
                  </w:divBdr>
                  <w:divsChild>
                    <w:div w:id="192348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100060">
      <w:bodyDiv w:val="1"/>
      <w:marLeft w:val="0"/>
      <w:marRight w:val="0"/>
      <w:marTop w:val="0"/>
      <w:marBottom w:val="0"/>
      <w:divBdr>
        <w:top w:val="none" w:sz="0" w:space="0" w:color="auto"/>
        <w:left w:val="none" w:sz="0" w:space="0" w:color="auto"/>
        <w:bottom w:val="none" w:sz="0" w:space="0" w:color="auto"/>
        <w:right w:val="none" w:sz="0" w:space="0" w:color="auto"/>
      </w:divBdr>
    </w:div>
    <w:div w:id="1664896959">
      <w:bodyDiv w:val="1"/>
      <w:marLeft w:val="0"/>
      <w:marRight w:val="0"/>
      <w:marTop w:val="0"/>
      <w:marBottom w:val="0"/>
      <w:divBdr>
        <w:top w:val="none" w:sz="0" w:space="0" w:color="auto"/>
        <w:left w:val="none" w:sz="0" w:space="0" w:color="auto"/>
        <w:bottom w:val="none" w:sz="0" w:space="0" w:color="auto"/>
        <w:right w:val="none" w:sz="0" w:space="0" w:color="auto"/>
      </w:divBdr>
    </w:div>
    <w:div w:id="1669013834">
      <w:bodyDiv w:val="1"/>
      <w:marLeft w:val="0"/>
      <w:marRight w:val="0"/>
      <w:marTop w:val="0"/>
      <w:marBottom w:val="0"/>
      <w:divBdr>
        <w:top w:val="none" w:sz="0" w:space="0" w:color="auto"/>
        <w:left w:val="none" w:sz="0" w:space="0" w:color="auto"/>
        <w:bottom w:val="none" w:sz="0" w:space="0" w:color="auto"/>
        <w:right w:val="none" w:sz="0" w:space="0" w:color="auto"/>
      </w:divBdr>
      <w:divsChild>
        <w:div w:id="1168668893">
          <w:marLeft w:val="300"/>
          <w:marRight w:val="0"/>
          <w:marTop w:val="0"/>
          <w:marBottom w:val="0"/>
          <w:divBdr>
            <w:top w:val="none" w:sz="0" w:space="0" w:color="auto"/>
            <w:left w:val="none" w:sz="0" w:space="0" w:color="auto"/>
            <w:bottom w:val="none" w:sz="0" w:space="0" w:color="auto"/>
            <w:right w:val="none" w:sz="0" w:space="0" w:color="auto"/>
          </w:divBdr>
        </w:div>
      </w:divsChild>
    </w:div>
    <w:div w:id="1696272456">
      <w:bodyDiv w:val="1"/>
      <w:marLeft w:val="0"/>
      <w:marRight w:val="0"/>
      <w:marTop w:val="0"/>
      <w:marBottom w:val="0"/>
      <w:divBdr>
        <w:top w:val="none" w:sz="0" w:space="0" w:color="auto"/>
        <w:left w:val="none" w:sz="0" w:space="0" w:color="auto"/>
        <w:bottom w:val="none" w:sz="0" w:space="0" w:color="auto"/>
        <w:right w:val="none" w:sz="0" w:space="0" w:color="auto"/>
      </w:divBdr>
    </w:div>
    <w:div w:id="1700616925">
      <w:bodyDiv w:val="1"/>
      <w:marLeft w:val="0"/>
      <w:marRight w:val="0"/>
      <w:marTop w:val="0"/>
      <w:marBottom w:val="0"/>
      <w:divBdr>
        <w:top w:val="none" w:sz="0" w:space="0" w:color="auto"/>
        <w:left w:val="none" w:sz="0" w:space="0" w:color="auto"/>
        <w:bottom w:val="none" w:sz="0" w:space="0" w:color="auto"/>
        <w:right w:val="none" w:sz="0" w:space="0" w:color="auto"/>
      </w:divBdr>
    </w:div>
    <w:div w:id="1731423309">
      <w:bodyDiv w:val="1"/>
      <w:marLeft w:val="0"/>
      <w:marRight w:val="0"/>
      <w:marTop w:val="0"/>
      <w:marBottom w:val="0"/>
      <w:divBdr>
        <w:top w:val="none" w:sz="0" w:space="0" w:color="auto"/>
        <w:left w:val="none" w:sz="0" w:space="0" w:color="auto"/>
        <w:bottom w:val="none" w:sz="0" w:space="0" w:color="auto"/>
        <w:right w:val="none" w:sz="0" w:space="0" w:color="auto"/>
      </w:divBdr>
    </w:div>
    <w:div w:id="1756973431">
      <w:bodyDiv w:val="1"/>
      <w:marLeft w:val="0"/>
      <w:marRight w:val="0"/>
      <w:marTop w:val="0"/>
      <w:marBottom w:val="0"/>
      <w:divBdr>
        <w:top w:val="none" w:sz="0" w:space="0" w:color="auto"/>
        <w:left w:val="none" w:sz="0" w:space="0" w:color="auto"/>
        <w:bottom w:val="none" w:sz="0" w:space="0" w:color="auto"/>
        <w:right w:val="none" w:sz="0" w:space="0" w:color="auto"/>
      </w:divBdr>
    </w:div>
    <w:div w:id="1760521055">
      <w:bodyDiv w:val="1"/>
      <w:marLeft w:val="0"/>
      <w:marRight w:val="0"/>
      <w:marTop w:val="0"/>
      <w:marBottom w:val="0"/>
      <w:divBdr>
        <w:top w:val="none" w:sz="0" w:space="0" w:color="auto"/>
        <w:left w:val="none" w:sz="0" w:space="0" w:color="auto"/>
        <w:bottom w:val="none" w:sz="0" w:space="0" w:color="auto"/>
        <w:right w:val="none" w:sz="0" w:space="0" w:color="auto"/>
      </w:divBdr>
      <w:divsChild>
        <w:div w:id="1272786836">
          <w:marLeft w:val="0"/>
          <w:marRight w:val="0"/>
          <w:marTop w:val="0"/>
          <w:marBottom w:val="0"/>
          <w:divBdr>
            <w:top w:val="none" w:sz="0" w:space="0" w:color="auto"/>
            <w:left w:val="none" w:sz="0" w:space="0" w:color="auto"/>
            <w:bottom w:val="none" w:sz="0" w:space="0" w:color="auto"/>
            <w:right w:val="none" w:sz="0" w:space="0" w:color="auto"/>
          </w:divBdr>
        </w:div>
        <w:div w:id="1750692816">
          <w:marLeft w:val="0"/>
          <w:marRight w:val="0"/>
          <w:marTop w:val="0"/>
          <w:marBottom w:val="0"/>
          <w:divBdr>
            <w:top w:val="none" w:sz="0" w:space="0" w:color="auto"/>
            <w:left w:val="none" w:sz="0" w:space="0" w:color="auto"/>
            <w:bottom w:val="none" w:sz="0" w:space="0" w:color="auto"/>
            <w:right w:val="none" w:sz="0" w:space="0" w:color="auto"/>
          </w:divBdr>
        </w:div>
        <w:div w:id="303118808">
          <w:marLeft w:val="0"/>
          <w:marRight w:val="0"/>
          <w:marTop w:val="0"/>
          <w:marBottom w:val="0"/>
          <w:divBdr>
            <w:top w:val="none" w:sz="0" w:space="0" w:color="auto"/>
            <w:left w:val="none" w:sz="0" w:space="0" w:color="auto"/>
            <w:bottom w:val="none" w:sz="0" w:space="0" w:color="auto"/>
            <w:right w:val="none" w:sz="0" w:space="0" w:color="auto"/>
          </w:divBdr>
        </w:div>
      </w:divsChild>
    </w:div>
    <w:div w:id="1775978476">
      <w:bodyDiv w:val="1"/>
      <w:marLeft w:val="0"/>
      <w:marRight w:val="0"/>
      <w:marTop w:val="0"/>
      <w:marBottom w:val="0"/>
      <w:divBdr>
        <w:top w:val="none" w:sz="0" w:space="0" w:color="auto"/>
        <w:left w:val="none" w:sz="0" w:space="0" w:color="auto"/>
        <w:bottom w:val="none" w:sz="0" w:space="0" w:color="auto"/>
        <w:right w:val="none" w:sz="0" w:space="0" w:color="auto"/>
      </w:divBdr>
    </w:div>
    <w:div w:id="1798405106">
      <w:bodyDiv w:val="1"/>
      <w:marLeft w:val="0"/>
      <w:marRight w:val="0"/>
      <w:marTop w:val="0"/>
      <w:marBottom w:val="0"/>
      <w:divBdr>
        <w:top w:val="none" w:sz="0" w:space="0" w:color="auto"/>
        <w:left w:val="none" w:sz="0" w:space="0" w:color="auto"/>
        <w:bottom w:val="none" w:sz="0" w:space="0" w:color="auto"/>
        <w:right w:val="none" w:sz="0" w:space="0" w:color="auto"/>
      </w:divBdr>
    </w:div>
    <w:div w:id="1800954226">
      <w:bodyDiv w:val="1"/>
      <w:marLeft w:val="0"/>
      <w:marRight w:val="0"/>
      <w:marTop w:val="0"/>
      <w:marBottom w:val="0"/>
      <w:divBdr>
        <w:top w:val="none" w:sz="0" w:space="0" w:color="auto"/>
        <w:left w:val="none" w:sz="0" w:space="0" w:color="auto"/>
        <w:bottom w:val="none" w:sz="0" w:space="0" w:color="auto"/>
        <w:right w:val="none" w:sz="0" w:space="0" w:color="auto"/>
      </w:divBdr>
    </w:div>
    <w:div w:id="1807819231">
      <w:bodyDiv w:val="1"/>
      <w:marLeft w:val="0"/>
      <w:marRight w:val="0"/>
      <w:marTop w:val="0"/>
      <w:marBottom w:val="0"/>
      <w:divBdr>
        <w:top w:val="none" w:sz="0" w:space="0" w:color="auto"/>
        <w:left w:val="none" w:sz="0" w:space="0" w:color="auto"/>
        <w:bottom w:val="none" w:sz="0" w:space="0" w:color="auto"/>
        <w:right w:val="none" w:sz="0" w:space="0" w:color="auto"/>
      </w:divBdr>
    </w:div>
    <w:div w:id="1827159171">
      <w:bodyDiv w:val="1"/>
      <w:marLeft w:val="0"/>
      <w:marRight w:val="0"/>
      <w:marTop w:val="0"/>
      <w:marBottom w:val="0"/>
      <w:divBdr>
        <w:top w:val="none" w:sz="0" w:space="0" w:color="auto"/>
        <w:left w:val="none" w:sz="0" w:space="0" w:color="auto"/>
        <w:bottom w:val="none" w:sz="0" w:space="0" w:color="auto"/>
        <w:right w:val="none" w:sz="0" w:space="0" w:color="auto"/>
      </w:divBdr>
    </w:div>
    <w:div w:id="1830053104">
      <w:bodyDiv w:val="1"/>
      <w:marLeft w:val="0"/>
      <w:marRight w:val="0"/>
      <w:marTop w:val="0"/>
      <w:marBottom w:val="0"/>
      <w:divBdr>
        <w:top w:val="none" w:sz="0" w:space="0" w:color="auto"/>
        <w:left w:val="none" w:sz="0" w:space="0" w:color="auto"/>
        <w:bottom w:val="none" w:sz="0" w:space="0" w:color="auto"/>
        <w:right w:val="none" w:sz="0" w:space="0" w:color="auto"/>
      </w:divBdr>
      <w:divsChild>
        <w:div w:id="1790128428">
          <w:marLeft w:val="0"/>
          <w:marRight w:val="0"/>
          <w:marTop w:val="0"/>
          <w:marBottom w:val="0"/>
          <w:divBdr>
            <w:top w:val="none" w:sz="0" w:space="0" w:color="auto"/>
            <w:left w:val="none" w:sz="0" w:space="0" w:color="auto"/>
            <w:bottom w:val="none" w:sz="0" w:space="0" w:color="auto"/>
            <w:right w:val="none" w:sz="0" w:space="0" w:color="auto"/>
          </w:divBdr>
        </w:div>
        <w:div w:id="1927110783">
          <w:marLeft w:val="0"/>
          <w:marRight w:val="0"/>
          <w:marTop w:val="0"/>
          <w:marBottom w:val="0"/>
          <w:divBdr>
            <w:top w:val="none" w:sz="0" w:space="0" w:color="auto"/>
            <w:left w:val="none" w:sz="0" w:space="0" w:color="auto"/>
            <w:bottom w:val="none" w:sz="0" w:space="0" w:color="auto"/>
            <w:right w:val="none" w:sz="0" w:space="0" w:color="auto"/>
          </w:divBdr>
        </w:div>
        <w:div w:id="322054855">
          <w:marLeft w:val="0"/>
          <w:marRight w:val="0"/>
          <w:marTop w:val="0"/>
          <w:marBottom w:val="0"/>
          <w:divBdr>
            <w:top w:val="none" w:sz="0" w:space="0" w:color="auto"/>
            <w:left w:val="none" w:sz="0" w:space="0" w:color="auto"/>
            <w:bottom w:val="none" w:sz="0" w:space="0" w:color="auto"/>
            <w:right w:val="none" w:sz="0" w:space="0" w:color="auto"/>
          </w:divBdr>
        </w:div>
        <w:div w:id="1036855233">
          <w:marLeft w:val="0"/>
          <w:marRight w:val="0"/>
          <w:marTop w:val="0"/>
          <w:marBottom w:val="0"/>
          <w:divBdr>
            <w:top w:val="none" w:sz="0" w:space="0" w:color="auto"/>
            <w:left w:val="none" w:sz="0" w:space="0" w:color="auto"/>
            <w:bottom w:val="none" w:sz="0" w:space="0" w:color="auto"/>
            <w:right w:val="none" w:sz="0" w:space="0" w:color="auto"/>
          </w:divBdr>
        </w:div>
        <w:div w:id="2106293830">
          <w:marLeft w:val="0"/>
          <w:marRight w:val="0"/>
          <w:marTop w:val="0"/>
          <w:marBottom w:val="0"/>
          <w:divBdr>
            <w:top w:val="none" w:sz="0" w:space="0" w:color="auto"/>
            <w:left w:val="none" w:sz="0" w:space="0" w:color="auto"/>
            <w:bottom w:val="none" w:sz="0" w:space="0" w:color="auto"/>
            <w:right w:val="none" w:sz="0" w:space="0" w:color="auto"/>
          </w:divBdr>
          <w:divsChild>
            <w:div w:id="68363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875161">
      <w:bodyDiv w:val="1"/>
      <w:marLeft w:val="0"/>
      <w:marRight w:val="0"/>
      <w:marTop w:val="0"/>
      <w:marBottom w:val="0"/>
      <w:divBdr>
        <w:top w:val="none" w:sz="0" w:space="0" w:color="auto"/>
        <w:left w:val="none" w:sz="0" w:space="0" w:color="auto"/>
        <w:bottom w:val="none" w:sz="0" w:space="0" w:color="auto"/>
        <w:right w:val="none" w:sz="0" w:space="0" w:color="auto"/>
      </w:divBdr>
    </w:div>
    <w:div w:id="1898740734">
      <w:bodyDiv w:val="1"/>
      <w:marLeft w:val="0"/>
      <w:marRight w:val="0"/>
      <w:marTop w:val="0"/>
      <w:marBottom w:val="0"/>
      <w:divBdr>
        <w:top w:val="none" w:sz="0" w:space="0" w:color="auto"/>
        <w:left w:val="none" w:sz="0" w:space="0" w:color="auto"/>
        <w:bottom w:val="none" w:sz="0" w:space="0" w:color="auto"/>
        <w:right w:val="none" w:sz="0" w:space="0" w:color="auto"/>
      </w:divBdr>
    </w:div>
    <w:div w:id="1899783449">
      <w:bodyDiv w:val="1"/>
      <w:marLeft w:val="0"/>
      <w:marRight w:val="0"/>
      <w:marTop w:val="0"/>
      <w:marBottom w:val="0"/>
      <w:divBdr>
        <w:top w:val="none" w:sz="0" w:space="0" w:color="auto"/>
        <w:left w:val="none" w:sz="0" w:space="0" w:color="auto"/>
        <w:bottom w:val="none" w:sz="0" w:space="0" w:color="auto"/>
        <w:right w:val="none" w:sz="0" w:space="0" w:color="auto"/>
      </w:divBdr>
    </w:div>
    <w:div w:id="1900166477">
      <w:bodyDiv w:val="1"/>
      <w:marLeft w:val="0"/>
      <w:marRight w:val="0"/>
      <w:marTop w:val="0"/>
      <w:marBottom w:val="0"/>
      <w:divBdr>
        <w:top w:val="none" w:sz="0" w:space="0" w:color="auto"/>
        <w:left w:val="none" w:sz="0" w:space="0" w:color="auto"/>
        <w:bottom w:val="none" w:sz="0" w:space="0" w:color="auto"/>
        <w:right w:val="none" w:sz="0" w:space="0" w:color="auto"/>
      </w:divBdr>
    </w:div>
    <w:div w:id="1922447930">
      <w:bodyDiv w:val="1"/>
      <w:marLeft w:val="0"/>
      <w:marRight w:val="0"/>
      <w:marTop w:val="0"/>
      <w:marBottom w:val="0"/>
      <w:divBdr>
        <w:top w:val="none" w:sz="0" w:space="0" w:color="auto"/>
        <w:left w:val="none" w:sz="0" w:space="0" w:color="auto"/>
        <w:bottom w:val="none" w:sz="0" w:space="0" w:color="auto"/>
        <w:right w:val="none" w:sz="0" w:space="0" w:color="auto"/>
      </w:divBdr>
    </w:div>
    <w:div w:id="1925452283">
      <w:bodyDiv w:val="1"/>
      <w:marLeft w:val="0"/>
      <w:marRight w:val="0"/>
      <w:marTop w:val="0"/>
      <w:marBottom w:val="0"/>
      <w:divBdr>
        <w:top w:val="none" w:sz="0" w:space="0" w:color="auto"/>
        <w:left w:val="none" w:sz="0" w:space="0" w:color="auto"/>
        <w:bottom w:val="none" w:sz="0" w:space="0" w:color="auto"/>
        <w:right w:val="none" w:sz="0" w:space="0" w:color="auto"/>
      </w:divBdr>
    </w:div>
    <w:div w:id="1933732245">
      <w:bodyDiv w:val="1"/>
      <w:marLeft w:val="0"/>
      <w:marRight w:val="0"/>
      <w:marTop w:val="0"/>
      <w:marBottom w:val="0"/>
      <w:divBdr>
        <w:top w:val="none" w:sz="0" w:space="0" w:color="auto"/>
        <w:left w:val="none" w:sz="0" w:space="0" w:color="auto"/>
        <w:bottom w:val="none" w:sz="0" w:space="0" w:color="auto"/>
        <w:right w:val="none" w:sz="0" w:space="0" w:color="auto"/>
      </w:divBdr>
    </w:div>
    <w:div w:id="1949774792">
      <w:bodyDiv w:val="1"/>
      <w:marLeft w:val="0"/>
      <w:marRight w:val="0"/>
      <w:marTop w:val="0"/>
      <w:marBottom w:val="0"/>
      <w:divBdr>
        <w:top w:val="none" w:sz="0" w:space="0" w:color="auto"/>
        <w:left w:val="none" w:sz="0" w:space="0" w:color="auto"/>
        <w:bottom w:val="none" w:sz="0" w:space="0" w:color="auto"/>
        <w:right w:val="none" w:sz="0" w:space="0" w:color="auto"/>
      </w:divBdr>
    </w:div>
    <w:div w:id="1959487194">
      <w:bodyDiv w:val="1"/>
      <w:marLeft w:val="0"/>
      <w:marRight w:val="0"/>
      <w:marTop w:val="0"/>
      <w:marBottom w:val="0"/>
      <w:divBdr>
        <w:top w:val="none" w:sz="0" w:space="0" w:color="auto"/>
        <w:left w:val="none" w:sz="0" w:space="0" w:color="auto"/>
        <w:bottom w:val="none" w:sz="0" w:space="0" w:color="auto"/>
        <w:right w:val="none" w:sz="0" w:space="0" w:color="auto"/>
      </w:divBdr>
    </w:div>
    <w:div w:id="1974287371">
      <w:bodyDiv w:val="1"/>
      <w:marLeft w:val="0"/>
      <w:marRight w:val="0"/>
      <w:marTop w:val="0"/>
      <w:marBottom w:val="0"/>
      <w:divBdr>
        <w:top w:val="none" w:sz="0" w:space="0" w:color="auto"/>
        <w:left w:val="none" w:sz="0" w:space="0" w:color="auto"/>
        <w:bottom w:val="none" w:sz="0" w:space="0" w:color="auto"/>
        <w:right w:val="none" w:sz="0" w:space="0" w:color="auto"/>
      </w:divBdr>
    </w:div>
    <w:div w:id="2016610386">
      <w:bodyDiv w:val="1"/>
      <w:marLeft w:val="0"/>
      <w:marRight w:val="0"/>
      <w:marTop w:val="0"/>
      <w:marBottom w:val="0"/>
      <w:divBdr>
        <w:top w:val="none" w:sz="0" w:space="0" w:color="auto"/>
        <w:left w:val="none" w:sz="0" w:space="0" w:color="auto"/>
        <w:bottom w:val="none" w:sz="0" w:space="0" w:color="auto"/>
        <w:right w:val="none" w:sz="0" w:space="0" w:color="auto"/>
      </w:divBdr>
    </w:div>
    <w:div w:id="2027822846">
      <w:bodyDiv w:val="1"/>
      <w:marLeft w:val="0"/>
      <w:marRight w:val="0"/>
      <w:marTop w:val="0"/>
      <w:marBottom w:val="0"/>
      <w:divBdr>
        <w:top w:val="none" w:sz="0" w:space="0" w:color="auto"/>
        <w:left w:val="none" w:sz="0" w:space="0" w:color="auto"/>
        <w:bottom w:val="none" w:sz="0" w:space="0" w:color="auto"/>
        <w:right w:val="none" w:sz="0" w:space="0" w:color="auto"/>
      </w:divBdr>
    </w:div>
    <w:div w:id="2036228501">
      <w:bodyDiv w:val="1"/>
      <w:marLeft w:val="0"/>
      <w:marRight w:val="0"/>
      <w:marTop w:val="0"/>
      <w:marBottom w:val="0"/>
      <w:divBdr>
        <w:top w:val="none" w:sz="0" w:space="0" w:color="auto"/>
        <w:left w:val="none" w:sz="0" w:space="0" w:color="auto"/>
        <w:bottom w:val="none" w:sz="0" w:space="0" w:color="auto"/>
        <w:right w:val="none" w:sz="0" w:space="0" w:color="auto"/>
      </w:divBdr>
    </w:div>
    <w:div w:id="2059157520">
      <w:bodyDiv w:val="1"/>
      <w:marLeft w:val="0"/>
      <w:marRight w:val="0"/>
      <w:marTop w:val="0"/>
      <w:marBottom w:val="0"/>
      <w:divBdr>
        <w:top w:val="none" w:sz="0" w:space="0" w:color="auto"/>
        <w:left w:val="none" w:sz="0" w:space="0" w:color="auto"/>
        <w:bottom w:val="none" w:sz="0" w:space="0" w:color="auto"/>
        <w:right w:val="none" w:sz="0" w:space="0" w:color="auto"/>
      </w:divBdr>
    </w:div>
    <w:div w:id="2061973281">
      <w:bodyDiv w:val="1"/>
      <w:marLeft w:val="0"/>
      <w:marRight w:val="0"/>
      <w:marTop w:val="0"/>
      <w:marBottom w:val="0"/>
      <w:divBdr>
        <w:top w:val="none" w:sz="0" w:space="0" w:color="auto"/>
        <w:left w:val="none" w:sz="0" w:space="0" w:color="auto"/>
        <w:bottom w:val="none" w:sz="0" w:space="0" w:color="auto"/>
        <w:right w:val="none" w:sz="0" w:space="0" w:color="auto"/>
      </w:divBdr>
    </w:div>
    <w:div w:id="2079554353">
      <w:bodyDiv w:val="1"/>
      <w:marLeft w:val="0"/>
      <w:marRight w:val="0"/>
      <w:marTop w:val="0"/>
      <w:marBottom w:val="0"/>
      <w:divBdr>
        <w:top w:val="none" w:sz="0" w:space="0" w:color="auto"/>
        <w:left w:val="none" w:sz="0" w:space="0" w:color="auto"/>
        <w:bottom w:val="none" w:sz="0" w:space="0" w:color="auto"/>
        <w:right w:val="none" w:sz="0" w:space="0" w:color="auto"/>
      </w:divBdr>
    </w:div>
    <w:div w:id="2088650273">
      <w:bodyDiv w:val="1"/>
      <w:marLeft w:val="0"/>
      <w:marRight w:val="0"/>
      <w:marTop w:val="0"/>
      <w:marBottom w:val="0"/>
      <w:divBdr>
        <w:top w:val="none" w:sz="0" w:space="0" w:color="auto"/>
        <w:left w:val="none" w:sz="0" w:space="0" w:color="auto"/>
        <w:bottom w:val="none" w:sz="0" w:space="0" w:color="auto"/>
        <w:right w:val="none" w:sz="0" w:space="0" w:color="auto"/>
      </w:divBdr>
    </w:div>
    <w:div w:id="2096633273">
      <w:bodyDiv w:val="1"/>
      <w:marLeft w:val="0"/>
      <w:marRight w:val="0"/>
      <w:marTop w:val="0"/>
      <w:marBottom w:val="0"/>
      <w:divBdr>
        <w:top w:val="none" w:sz="0" w:space="0" w:color="auto"/>
        <w:left w:val="none" w:sz="0" w:space="0" w:color="auto"/>
        <w:bottom w:val="none" w:sz="0" w:space="0" w:color="auto"/>
        <w:right w:val="none" w:sz="0" w:space="0" w:color="auto"/>
      </w:divBdr>
    </w:div>
    <w:div w:id="2120904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m.coe.int/digest-ecsr-prems-106522-web-en/1680a95dbd"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coe.int/en/web/european-social-charter/signatures-ratifications" TargetMode="External"/><Relationship Id="rId3" Type="http://schemas.openxmlformats.org/officeDocument/2006/relationships/hyperlink" Target="https://eur-lex.europa.eu/advanced-search-form.html?action=update&amp;qid=1712479490950" TargetMode="External"/><Relationship Id="rId7" Type="http://schemas.openxmlformats.org/officeDocument/2006/relationships/hyperlink" Target="https://www.coe.int/en/web/conventions/full-list?module=treaty-detail&amp;treatynum=005" TargetMode="External"/><Relationship Id="rId12" Type="http://schemas.openxmlformats.org/officeDocument/2006/relationships/hyperlink" Target="https://www.icj-cij.org/case/191" TargetMode="External"/><Relationship Id="rId2" Type="http://schemas.openxmlformats.org/officeDocument/2006/relationships/hyperlink" Target="https://www.cbs.nl/nl-nl/nieuws/2024/18/in-2023-meeste-stakingen-in-meer-dan-halve-eeuw" TargetMode="External"/><Relationship Id="rId1" Type="http://schemas.openxmlformats.org/officeDocument/2006/relationships/hyperlink" Target="https://www.fnv.nl/nieuwsbericht/algemeen-nieuws/2023/03/tot-nu-toe-4-keer-zoveel-stakingen-als-in-gemiddel" TargetMode="External"/><Relationship Id="rId6" Type="http://schemas.openxmlformats.org/officeDocument/2006/relationships/hyperlink" Target="https://www.ilo.org/dyn/normlex/en/f?p=NORMLEXPUB:20060:0::NO" TargetMode="External"/><Relationship Id="rId11" Type="http://schemas.openxmlformats.org/officeDocument/2006/relationships/hyperlink" Target="https://www.ilo.org/global/about-the-ilo/newsroom/news/WCMS_901633/lang--en/index.htm" TargetMode="External"/><Relationship Id="rId5" Type="http://schemas.openxmlformats.org/officeDocument/2006/relationships/hyperlink" Target="https://hudoc.esc.coe.int/eng/" TargetMode="External"/><Relationship Id="rId10" Type="http://schemas.openxmlformats.org/officeDocument/2006/relationships/hyperlink" Target="https://www.ilo.org/dyn/normlex/en/f?p=NORMLEXPUB:11300:0::NO::P11300_INSTRUMENT_ID:312232" TargetMode="External"/><Relationship Id="rId4" Type="http://schemas.openxmlformats.org/officeDocument/2006/relationships/hyperlink" Target="https://hudoc.echr.coe.int/" TargetMode="External"/><Relationship Id="rId9" Type="http://schemas.openxmlformats.org/officeDocument/2006/relationships/hyperlink" Target="https://rm.coe.int/country-by-country-table-of-accepted-provisions/168063074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55152-4F00-4C13-9983-99C645E4A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30191</Words>
  <Characters>166054</Characters>
  <Application>Microsoft Office Word</Application>
  <DocSecurity>0</DocSecurity>
  <Lines>1383</Lines>
  <Paragraphs>391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Disseldorp, B.G. van (Björk)</dc:creator>
  <cp:keywords/>
  <dc:description/>
  <cp:lastModifiedBy>Disseldorp, B.G. van (Björk)</cp:lastModifiedBy>
  <cp:revision>242</cp:revision>
  <dcterms:created xsi:type="dcterms:W3CDTF">2024-04-23T12:24:00Z</dcterms:created>
  <dcterms:modified xsi:type="dcterms:W3CDTF">2024-06-22T16:34:00Z</dcterms:modified>
</cp:coreProperties>
</file>